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933450</wp:posOffset>
            </wp:positionH>
            <wp:positionV relativeFrom="page">
              <wp:posOffset>332740</wp:posOffset>
            </wp:positionV>
            <wp:extent cx="568261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2615" cy="18415"/>
                    </a:xfrm>
                    <a:prstGeom prst="rect">
                      <a:avLst/>
                    </a:prstGeom>
                    <a:noFill/>
                  </pic:spPr>
                </pic:pic>
              </a:graphicData>
            </a:graphic>
          </wp:anchor>
        </w:drawing>
        <w:drawing>
          <wp:anchor simplePos="0" relativeHeight="251657728" behindDoc="1" locked="0" layoutInCell="0" allowOverlap="1">
            <wp:simplePos x="0" y="0"/>
            <wp:positionH relativeFrom="page">
              <wp:posOffset>933450</wp:posOffset>
            </wp:positionH>
            <wp:positionV relativeFrom="page">
              <wp:posOffset>375920</wp:posOffset>
            </wp:positionV>
            <wp:extent cx="56826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2615" cy="635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135890</wp:posOffset>
            </wp:positionV>
            <wp:extent cx="14224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148590</wp:posOffset>
            </wp:positionV>
            <wp:extent cx="142240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CURRENT REPORT</w:t>
      </w:r>
    </w:p>
    <w:p>
      <w:pPr>
        <w:spacing w:after="0" w:line="137"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December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103505</wp:posOffset>
            </wp:positionV>
            <wp:extent cx="14224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Lucid Group,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51435</wp:posOffset>
            </wp:positionV>
            <wp:extent cx="142240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2400" cy="12065"/>
                    </a:xfrm>
                    <a:prstGeom prst="rect">
                      <a:avLst/>
                    </a:prstGeom>
                    <a:noFill/>
                  </pic:spPr>
                </pic:pic>
              </a:graphicData>
            </a:graphic>
          </wp:anchor>
        </w:drawing>
      </w:r>
    </w:p>
    <w:p>
      <w:pPr>
        <w:sectPr>
          <w:pgSz w:w="11900" w:h="16838" w:orient="portrait"/>
          <w:cols w:equalWidth="0" w:num="1">
            <w:col w:w="9019"/>
          </w:cols>
          <w:pgMar w:left="1440" w:top="627" w:right="1440" w:bottom="1440" w:gutter="0" w:footer="0" w:header="0"/>
        </w:sectPr>
      </w:pPr>
    </w:p>
    <w:p>
      <w:pPr>
        <w:spacing w:after="0" w:line="318" w:lineRule="exact"/>
        <w:rPr>
          <w:sz w:val="24"/>
          <w:szCs w:val="24"/>
          <w:color w:val="auto"/>
        </w:rPr>
      </w:pPr>
    </w:p>
    <w:p>
      <w:pPr>
        <w:ind w:left="122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jc w:val="center"/>
        <w:ind w:right="1740"/>
        <w:spacing w:after="0"/>
        <w:rPr>
          <w:sz w:val="20"/>
          <w:szCs w:val="20"/>
          <w:color w:val="auto"/>
        </w:rPr>
      </w:pPr>
      <w:r>
        <w:rPr>
          <w:rFonts w:ascii="Arial" w:cs="Arial" w:eastAsia="Arial" w:hAnsi="Arial"/>
          <w:sz w:val="11"/>
          <w:szCs w:val="11"/>
          <w:b w:val="1"/>
          <w:bCs w:val="1"/>
          <w:color w:val="auto"/>
        </w:rPr>
        <w:t>001-39408</w:t>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85-0891392</w:t>
      </w:r>
    </w:p>
    <w:p>
      <w:pPr>
        <w:spacing w:after="0" w:line="40" w:lineRule="exact"/>
        <w:rPr>
          <w:sz w:val="24"/>
          <w:szCs w:val="24"/>
          <w:color w:val="auto"/>
        </w:rPr>
      </w:pPr>
    </w:p>
    <w:p>
      <w:pPr>
        <w:sectPr>
          <w:pgSz w:w="11900" w:h="16838" w:orient="portrait"/>
          <w:cols w:equalWidth="0" w:num="3">
            <w:col w:w="3500" w:space="720"/>
            <w:col w:w="2300" w:space="720"/>
            <w:col w:w="1779"/>
          </w:cols>
          <w:pgMar w:left="1440" w:top="627" w:right="1440" w:bottom="1440" w:gutter="0" w:footer="0" w:header="0"/>
          <w:type w:val="continuous"/>
        </w:sectPr>
      </w:pPr>
    </w:p>
    <w:p>
      <w:pPr>
        <w:ind w:left="460"/>
        <w:spacing w:after="0"/>
        <w:rPr>
          <w:sz w:val="20"/>
          <w:szCs w:val="20"/>
          <w:color w:val="auto"/>
        </w:rPr>
      </w:pPr>
      <w:r>
        <w:rPr>
          <w:rFonts w:ascii="Arial" w:cs="Arial" w:eastAsia="Arial" w:hAnsi="Arial"/>
          <w:sz w:val="10"/>
          <w:szCs w:val="10"/>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Identification No.)</w:t>
      </w:r>
    </w:p>
    <w:p>
      <w:pPr>
        <w:spacing w:after="0" w:line="188" w:lineRule="exact"/>
        <w:rPr>
          <w:sz w:val="24"/>
          <w:szCs w:val="24"/>
          <w:color w:val="auto"/>
        </w:rPr>
      </w:pPr>
    </w:p>
    <w:p>
      <w:pPr>
        <w:sectPr>
          <w:pgSz w:w="11900" w:h="16838" w:orient="portrait"/>
          <w:cols w:equalWidth="0" w:num="3">
            <w:col w:w="3140" w:space="720"/>
            <w:col w:w="2540" w:space="720"/>
            <w:col w:w="1899"/>
          </w:cols>
          <w:pgMar w:left="1440" w:top="627" w:right="1440" w:bottom="1440" w:gutter="0" w:footer="0" w:header="0"/>
          <w:type w:val="continuous"/>
        </w:sectPr>
      </w:pPr>
    </w:p>
    <w:p>
      <w:pPr>
        <w:jc w:val="center"/>
        <w:ind w:right="1360"/>
        <w:spacing w:after="0"/>
        <w:rPr>
          <w:sz w:val="20"/>
          <w:szCs w:val="20"/>
          <w:color w:val="auto"/>
        </w:rPr>
      </w:pPr>
      <w:r>
        <w:rPr>
          <w:rFonts w:ascii="Arial" w:cs="Arial" w:eastAsia="Arial" w:hAnsi="Arial"/>
          <w:sz w:val="12"/>
          <w:szCs w:val="12"/>
          <w:b w:val="1"/>
          <w:bCs w:val="1"/>
          <w:color w:val="auto"/>
        </w:rPr>
        <w:t>7373 Gateway Blvd</w:t>
      </w:r>
    </w:p>
    <w:p>
      <w:pPr>
        <w:spacing w:after="0" w:line="11"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Newark, CA</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2"/>
          <w:szCs w:val="12"/>
          <w:b w:val="1"/>
          <w:bCs w:val="1"/>
          <w:color w:val="auto"/>
        </w:rPr>
        <w:t>94560</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(Zip Code)</w:t>
      </w:r>
    </w:p>
    <w:p>
      <w:pPr>
        <w:spacing w:after="0" w:line="332" w:lineRule="exact"/>
        <w:rPr>
          <w:sz w:val="24"/>
          <w:szCs w:val="24"/>
          <w:color w:val="auto"/>
        </w:rPr>
      </w:pPr>
    </w:p>
    <w:p>
      <w:pPr>
        <w:sectPr>
          <w:pgSz w:w="11900" w:h="16838" w:orient="portrait"/>
          <w:cols w:equalWidth="0" w:num="2">
            <w:col w:w="5860" w:space="720"/>
            <w:col w:w="2439"/>
          </w:cols>
          <w:pgMar w:left="1440" w:top="627"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Registrant’s telephone number, including area code: (510) 648-3553</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63500</wp:posOffset>
            </wp:positionV>
            <wp:extent cx="14224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159" w:lineRule="exact"/>
        <w:rPr>
          <w:sz w:val="24"/>
          <w:szCs w:val="24"/>
          <w:color w:val="auto"/>
        </w:rPr>
      </w:pPr>
    </w:p>
    <w:p>
      <w:pPr>
        <w:ind w:left="20" w:right="119"/>
        <w:spacing w:after="0" w:line="26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0" w:lineRule="exact"/>
        <w:rPr>
          <w:sz w:val="24"/>
          <w:szCs w:val="24"/>
          <w:color w:val="auto"/>
        </w:rPr>
      </w:pPr>
    </w:p>
    <w:p>
      <w:pPr>
        <w:ind w:left="220" w:hanging="194"/>
        <w:spacing w:after="0"/>
        <w:tabs>
          <w:tab w:leader="none" w:pos="2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3" w:lineRule="exact"/>
        <w:rPr>
          <w:rFonts w:ascii="MS PGothic" w:cs="MS PGothic" w:eastAsia="MS PGothic" w:hAnsi="MS PGothic"/>
          <w:sz w:val="12"/>
          <w:szCs w:val="12"/>
          <w:color w:val="auto"/>
        </w:rPr>
      </w:pPr>
    </w:p>
    <w:p>
      <w:pPr>
        <w:ind w:left="220" w:hanging="194"/>
        <w:spacing w:after="0"/>
        <w:tabs>
          <w:tab w:leader="none" w:pos="2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3" w:lineRule="exact"/>
        <w:rPr>
          <w:rFonts w:ascii="MS PGothic" w:cs="MS PGothic" w:eastAsia="MS PGothic" w:hAnsi="MS PGothic"/>
          <w:sz w:val="12"/>
          <w:szCs w:val="12"/>
          <w:color w:val="auto"/>
        </w:rPr>
      </w:pPr>
    </w:p>
    <w:p>
      <w:pPr>
        <w:ind w:left="220" w:hanging="194"/>
        <w:spacing w:after="0"/>
        <w:tabs>
          <w:tab w:leader="none" w:pos="2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3" w:lineRule="exact"/>
        <w:rPr>
          <w:rFonts w:ascii="MS PGothic" w:cs="MS PGothic" w:eastAsia="MS PGothic" w:hAnsi="MS PGothic"/>
          <w:sz w:val="12"/>
          <w:szCs w:val="12"/>
          <w:color w:val="auto"/>
        </w:rPr>
      </w:pPr>
    </w:p>
    <w:p>
      <w:pPr>
        <w:ind w:left="220" w:hanging="194"/>
        <w:spacing w:after="0"/>
        <w:tabs>
          <w:tab w:leader="none" w:pos="2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Trading</w:t>
            </w:r>
          </w:p>
        </w:tc>
        <w:tc>
          <w:tcPr>
            <w:tcW w:w="2640" w:type="dxa"/>
            <w:vAlign w:val="bottom"/>
          </w:tcPr>
          <w:p>
            <w:pPr>
              <w:spacing w:after="0"/>
              <w:rPr>
                <w:sz w:val="13"/>
                <w:szCs w:val="13"/>
                <w:color w:val="auto"/>
              </w:rPr>
            </w:pPr>
          </w:p>
        </w:tc>
      </w:tr>
      <w:tr>
        <w:trPr>
          <w:trHeight w:val="166"/>
        </w:trPr>
        <w:tc>
          <w:tcPr>
            <w:tcW w:w="3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Title of each class</w:t>
            </w:r>
          </w:p>
        </w:tc>
        <w:tc>
          <w:tcPr>
            <w:tcW w:w="2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Symbol</w:t>
            </w:r>
          </w:p>
        </w:tc>
        <w:tc>
          <w:tcPr>
            <w:tcW w:w="264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52"/>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Class A Common Stock, $0.0001 par value per share</w:t>
            </w:r>
          </w:p>
        </w:tc>
        <w:tc>
          <w:tcPr>
            <w:tcW w:w="200" w:type="dxa"/>
            <w:vAlign w:val="bottom"/>
          </w:tcPr>
          <w:p>
            <w:pPr>
              <w:spacing w:after="0"/>
              <w:rPr>
                <w:sz w:val="13"/>
                <w:szCs w:val="13"/>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LCID</w:t>
            </w:r>
          </w:p>
        </w:tc>
        <w:tc>
          <w:tcPr>
            <w:tcW w:w="220" w:type="dxa"/>
            <w:vAlign w:val="bottom"/>
          </w:tcPr>
          <w:p>
            <w:pPr>
              <w:spacing w:after="0"/>
              <w:rPr>
                <w:sz w:val="13"/>
                <w:szCs w:val="13"/>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The Nasdaq Stock Market LLC</w:t>
            </w:r>
          </w:p>
        </w:tc>
      </w:tr>
    </w:tbl>
    <w:p>
      <w:pPr>
        <w:spacing w:after="0" w:line="138" w:lineRule="exact"/>
        <w:rPr>
          <w:sz w:val="24"/>
          <w:szCs w:val="24"/>
          <w:color w:val="auto"/>
        </w:rPr>
      </w:pPr>
    </w:p>
    <w:p>
      <w:pPr>
        <w:ind w:left="20" w:right="299"/>
        <w:spacing w:after="0" w:line="253"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1933(§230.405 of this chapter) or Rule 12b-2 of the Securities Exchange Act of 1934 (§240.12b-2 of this chapter).</w:t>
      </w: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71" w:lineRule="exact"/>
        <w:rPr>
          <w:sz w:val="24"/>
          <w:szCs w:val="24"/>
          <w:color w:val="auto"/>
        </w:rPr>
      </w:pPr>
    </w:p>
    <w:p>
      <w:pPr>
        <w:ind w:left="20" w:right="39"/>
        <w:spacing w:after="0" w:line="15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19050</wp:posOffset>
            </wp:positionH>
            <wp:positionV relativeFrom="paragraph">
              <wp:posOffset>349250</wp:posOffset>
            </wp:positionV>
            <wp:extent cx="568261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2615" cy="1841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62865</wp:posOffset>
            </wp:positionV>
            <wp:extent cx="56826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2615" cy="6350"/>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86995</wp:posOffset>
            </wp:positionV>
            <wp:extent cx="568261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627" w:right="1440" w:bottom="1440" w:gutter="0" w:footer="0" w:header="0"/>
          <w:type w:val="continuous"/>
        </w:sectPr>
      </w:pPr>
    </w:p>
    <w:bookmarkStart w:id="1" w:name="page2"/>
    <w:bookmarkEnd w:id="1"/>
    <w:p>
      <w:pPr>
        <w:ind w:left="20"/>
        <w:spacing w:after="0"/>
        <w:tabs>
          <w:tab w:leader="none" w:pos="92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Private Offering of Convertible Senior Notes</w:t>
      </w:r>
    </w:p>
    <w:p>
      <w:pPr>
        <w:spacing w:after="0" w:line="139" w:lineRule="exact"/>
        <w:rPr>
          <w:sz w:val="20"/>
          <w:szCs w:val="20"/>
          <w:color w:val="auto"/>
        </w:rPr>
      </w:pPr>
    </w:p>
    <w:p>
      <w:pPr>
        <w:ind w:left="20" w:right="139"/>
        <w:spacing w:after="0" w:line="257" w:lineRule="auto"/>
        <w:rPr>
          <w:sz w:val="20"/>
          <w:szCs w:val="20"/>
          <w:color w:val="auto"/>
        </w:rPr>
      </w:pPr>
      <w:r>
        <w:rPr>
          <w:rFonts w:ascii="Arial" w:cs="Arial" w:eastAsia="Arial" w:hAnsi="Arial"/>
          <w:sz w:val="13"/>
          <w:szCs w:val="13"/>
          <w:color w:val="auto"/>
        </w:rPr>
        <w:t>On December 8, 2021, Lucid Group, Inc. (the “Company”) distributed a confidential preliminary offering memorandum dated December 8, 2021 relating to a proposed private offering (the “Private Offering”) of Convertible Senior Notes due 2026 (the “Notes”) to qualified institutional buyers pursuant to Rule 144A under the Securities Act of 1933, as amended.</w:t>
      </w:r>
    </w:p>
    <w:p>
      <w:pPr>
        <w:spacing w:after="0" w:line="106" w:lineRule="exact"/>
        <w:rPr>
          <w:sz w:val="20"/>
          <w:szCs w:val="20"/>
          <w:color w:val="auto"/>
        </w:rPr>
      </w:pPr>
    </w:p>
    <w:p>
      <w:pPr>
        <w:ind w:left="20" w:right="139"/>
        <w:spacing w:after="0" w:line="257" w:lineRule="auto"/>
        <w:rPr>
          <w:sz w:val="20"/>
          <w:szCs w:val="20"/>
          <w:color w:val="auto"/>
        </w:rPr>
      </w:pPr>
      <w:r>
        <w:rPr>
          <w:rFonts w:ascii="Arial" w:cs="Arial" w:eastAsia="Arial" w:hAnsi="Arial"/>
          <w:sz w:val="13"/>
          <w:szCs w:val="13"/>
          <w:color w:val="auto"/>
        </w:rPr>
        <w:t>On December 8, 2021, the Company issued a press release relating to the Private Offering. A copy of the press release is attached as Exhibit 99.1 to this Current Report on Form 8-K and is incorporated by reference into this Item 8.01. Neither this Current Report on Form 8-K nor the press release constitutes an offer to sell, or the solicitation of an offer to buy, any securities.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Recast of Historical Financial Statements</w:t>
      </w:r>
    </w:p>
    <w:p>
      <w:pPr>
        <w:spacing w:after="0" w:line="139" w:lineRule="exact"/>
        <w:rPr>
          <w:sz w:val="20"/>
          <w:szCs w:val="20"/>
          <w:color w:val="auto"/>
        </w:rPr>
      </w:pPr>
    </w:p>
    <w:p>
      <w:pPr>
        <w:ind w:left="20" w:right="79"/>
        <w:spacing w:after="0" w:line="253" w:lineRule="auto"/>
        <w:rPr>
          <w:sz w:val="20"/>
          <w:szCs w:val="20"/>
          <w:color w:val="auto"/>
        </w:rPr>
      </w:pPr>
      <w:r>
        <w:rPr>
          <w:rFonts w:ascii="Arial" w:cs="Arial" w:eastAsia="Arial" w:hAnsi="Arial"/>
          <w:sz w:val="13"/>
          <w:szCs w:val="13"/>
          <w:color w:val="auto"/>
        </w:rPr>
        <w:t>The Company is filing the attached Exhibit 99.2 and Exhibit 99.3 to recast its financial statements for the years ended December 31, 2020 and 2019 and related disclosures to retrospectively reflect the effects of the reverse recapitalization that occurred in connection with the Merger, as further described below. Exhibits 99.2 and 99.3 are incorporated by reference into this Item 8.01. The Company provided the information in Exhibit 99.2 and Exhibit 99.3 to investors in connection with the Private Offering described above.</w:t>
      </w:r>
    </w:p>
    <w:p>
      <w:pPr>
        <w:spacing w:after="0" w:line="110" w:lineRule="exact"/>
        <w:rPr>
          <w:sz w:val="20"/>
          <w:szCs w:val="20"/>
          <w:color w:val="auto"/>
        </w:rPr>
      </w:pPr>
    </w:p>
    <w:p>
      <w:pPr>
        <w:ind w:left="20" w:right="119"/>
        <w:spacing w:after="0" w:line="288" w:lineRule="auto"/>
        <w:rPr>
          <w:sz w:val="20"/>
          <w:szCs w:val="20"/>
          <w:color w:val="auto"/>
        </w:rPr>
      </w:pPr>
      <w:r>
        <w:rPr>
          <w:rFonts w:ascii="Arial" w:cs="Arial" w:eastAsia="Arial" w:hAnsi="Arial"/>
          <w:sz w:val="12"/>
          <w:szCs w:val="12"/>
          <w:color w:val="auto"/>
        </w:rPr>
        <w:t>As previously disclosed, on July 23, 2021 (the “Closing Date”), the Company (f/k/a Churchill Capital Corp IV), consummated the previously announced merger transactions (collectively, the “Merger”) pursuant to that certain Agreement and Plan of Merger, dated February 22, 2021, by and among the Company (at such time named Churchill Capital Corp IV), Air Merger Sub, Inc. (“Merger Sub”), a direct, wholly owned subsidiary of the Company, and Atieva, Inc. (“Legacy Lucid”).</w:t>
      </w:r>
    </w:p>
    <w:p>
      <w:pPr>
        <w:spacing w:after="0" w:line="90" w:lineRule="exact"/>
        <w:rPr>
          <w:sz w:val="20"/>
          <w:szCs w:val="20"/>
          <w:color w:val="auto"/>
        </w:rPr>
      </w:pPr>
    </w:p>
    <w:p>
      <w:pPr>
        <w:ind w:left="20" w:right="179"/>
        <w:spacing w:after="0" w:line="250" w:lineRule="auto"/>
        <w:rPr>
          <w:sz w:val="20"/>
          <w:szCs w:val="20"/>
          <w:color w:val="auto"/>
        </w:rPr>
      </w:pPr>
      <w:r>
        <w:rPr>
          <w:rFonts w:ascii="Arial" w:cs="Arial" w:eastAsia="Arial" w:hAnsi="Arial"/>
          <w:sz w:val="13"/>
          <w:szCs w:val="13"/>
          <w:color w:val="auto"/>
        </w:rPr>
        <w:t>The Merger was accounted for as a reverse recapitalization in accordance with U.S. generally accepted accounting principles. Under this method of accounting, Churchill Capital Corp IV was treated as the “acquired” company for financial reporting purposes. The financial statements of the combined entity upon consummation of the Merger represented a continuation of the financial statements of Lucid with the Merger being treated as the equivalent of Lucid issuing stock for the net assets of Churchill Capital Corp IV, accompanied by a recapitalization. The net assets of Churchill Capital Corp IV are stated at historical cost, with no goodwill or other intangible assets recorded. Operations prior to the Merger are presented as those of Legacy Lucid in future reports of the combined entity. All periods prior to the Merger have been retroactively adjusted using the exchange ratio in the Merger of approximately 2.644 for the equivalent number of shares outstanding immediately after the Merger to effect the reverse recapitalization.</w:t>
      </w:r>
    </w:p>
    <w:p>
      <w:pPr>
        <w:spacing w:after="0" w:line="121" w:lineRule="exact"/>
        <w:rPr>
          <w:sz w:val="20"/>
          <w:szCs w:val="20"/>
          <w:color w:val="auto"/>
        </w:rPr>
      </w:pPr>
    </w:p>
    <w:p>
      <w:pPr>
        <w:ind w:left="20" w:right="59"/>
        <w:spacing w:after="0" w:line="275" w:lineRule="auto"/>
        <w:rPr>
          <w:sz w:val="20"/>
          <w:szCs w:val="20"/>
          <w:color w:val="auto"/>
        </w:rPr>
      </w:pPr>
      <w:r>
        <w:rPr>
          <w:rFonts w:ascii="Arial" w:cs="Arial" w:eastAsia="Arial" w:hAnsi="Arial"/>
          <w:sz w:val="12"/>
          <w:szCs w:val="12"/>
          <w:color w:val="auto"/>
        </w:rPr>
        <w:t>Included herein as Exhibit 99.3 are the audited consolidated financial statements of the Company as of December 31, 2020 and 2019, and for each of the two years in the period ended December 31, 2020. These financial statements update the audited consolidated financial statements of Legacy Lucid included in Item 2.01 and Item 9.01 of the Company’s Current Report on Form 8-K filed with the SEC on July 26, 2021, (the “Super 8-K”) and in the Company’s proxy statement/prospectus dated June 11, 2021 (the “Proxy Statement”) to reflect the effects of the reverse recapitalization. Also included herein as Exhibit 99.2 is Management’s Discussion and Analysis of Financial Condition and Results of Operations, which relates to the audited consolidated financial statements, and updates Management’s Discussion and Analysis of Financial Condition and Results of Operations included in Item 2.01 of the Super 8-K and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410210</wp:posOffset>
            </wp:positionV>
            <wp:extent cx="568261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 w:name="page3"/>
    <w:bookmarkEnd w:id="2"/>
    <w:p>
      <w:pPr>
        <w:ind w:left="20"/>
        <w:spacing w:after="0"/>
        <w:tabs>
          <w:tab w:leader="none" w:pos="92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33" w:lineRule="exact"/>
        <w:rPr>
          <w:sz w:val="20"/>
          <w:szCs w:val="20"/>
          <w:color w:val="auto"/>
        </w:rPr>
      </w:pPr>
    </w:p>
    <w:p>
      <w:pPr>
        <w:ind w:left="480" w:hanging="454"/>
        <w:spacing w:after="0"/>
        <w:tabs>
          <w:tab w:leader="none" w:pos="48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Number</w:t>
            </w:r>
          </w:p>
        </w:tc>
        <w:tc>
          <w:tcPr>
            <w:tcW w:w="9140" w:type="dxa"/>
            <w:vAlign w:val="bottom"/>
            <w:gridSpan w:val="5"/>
          </w:tcPr>
          <w:p>
            <w:pPr>
              <w:spacing w:after="0"/>
              <w:rPr>
                <w:sz w:val="20"/>
                <w:szCs w:val="20"/>
                <w:color w:val="auto"/>
              </w:rPr>
            </w:pPr>
            <w:r>
              <w:rPr>
                <w:rFonts w:ascii="Arial" w:cs="Arial" w:eastAsia="Arial" w:hAnsi="Arial"/>
                <w:sz w:val="13"/>
                <w:szCs w:val="13"/>
                <w:b w:val="1"/>
                <w:bCs w:val="1"/>
                <w:color w:val="auto"/>
              </w:rPr>
              <w:t>Description</w:t>
            </w:r>
          </w:p>
        </w:tc>
      </w:tr>
      <w:tr>
        <w:trPr>
          <w:trHeight w:val="115"/>
        </w:trPr>
        <w:tc>
          <w:tcPr>
            <w:tcW w:w="92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3"/>
                <w:szCs w:val="13"/>
                <w:color w:val="auto"/>
              </w:rPr>
              <w:t>23.1</w:t>
            </w:r>
          </w:p>
        </w:tc>
        <w:tc>
          <w:tcPr>
            <w:tcW w:w="140" w:type="dxa"/>
            <w:vAlign w:val="bottom"/>
          </w:tcPr>
          <w:p>
            <w:pPr>
              <w:spacing w:after="0"/>
              <w:rPr>
                <w:sz w:val="9"/>
                <w:szCs w:val="9"/>
                <w:color w:val="auto"/>
              </w:rPr>
            </w:pPr>
          </w:p>
        </w:tc>
        <w:tc>
          <w:tcPr>
            <w:tcW w:w="4200" w:type="dxa"/>
            <w:vAlign w:val="bottom"/>
            <w:tcBorders>
              <w:top w:val="single" w:sz="8" w:color="auto"/>
              <w:bottom w:val="single" w:sz="8" w:color="0000EE"/>
            </w:tcBorders>
            <w:gridSpan w:val="2"/>
          </w:tcPr>
          <w:p>
            <w:pPr>
              <w:spacing w:after="0" w:line="115" w:lineRule="exact"/>
              <w:rPr>
                <w:rFonts w:ascii="Arial" w:cs="Arial" w:eastAsia="Arial" w:hAnsi="Arial"/>
                <w:sz w:val="13"/>
                <w:szCs w:val="13"/>
                <w:color w:val="0000EE"/>
                <w:w w:val="90"/>
              </w:rPr>
            </w:pPr>
            <w:hyperlink w:anchor="page5">
              <w:r>
                <w:rPr>
                  <w:rFonts w:ascii="Arial" w:cs="Arial" w:eastAsia="Arial" w:hAnsi="Arial"/>
                  <w:sz w:val="13"/>
                  <w:szCs w:val="13"/>
                  <w:color w:val="0000EE"/>
                  <w:w w:val="90"/>
                </w:rPr>
                <w:t>Consent of Grant Thornton LLP, Independent Registered Public Accounting Firm</w:t>
              </w:r>
            </w:hyperlink>
          </w:p>
        </w:tc>
        <w:tc>
          <w:tcPr>
            <w:tcW w:w="4940" w:type="dxa"/>
            <w:vAlign w:val="bottom"/>
            <w:tcBorders>
              <w:top w:val="single" w:sz="8" w:color="auto"/>
            </w:tcBorders>
            <w:gridSpan w:val="3"/>
          </w:tcPr>
          <w:p>
            <w:pPr>
              <w:spacing w:after="0"/>
              <w:rPr>
                <w:sz w:val="9"/>
                <w:szCs w:val="9"/>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3"/>
                <w:szCs w:val="13"/>
                <w:color w:val="auto"/>
              </w:rPr>
              <w:t>99.1</w:t>
            </w:r>
          </w:p>
        </w:tc>
        <w:tc>
          <w:tcPr>
            <w:tcW w:w="140" w:type="dxa"/>
            <w:vAlign w:val="bottom"/>
          </w:tcPr>
          <w:p>
            <w:pPr>
              <w:spacing w:after="0"/>
              <w:rPr>
                <w:sz w:val="11"/>
                <w:szCs w:val="11"/>
                <w:color w:val="auto"/>
              </w:rPr>
            </w:pPr>
          </w:p>
        </w:tc>
        <w:tc>
          <w:tcPr>
            <w:tcW w:w="2000" w:type="dxa"/>
            <w:vAlign w:val="bottom"/>
            <w:tcBorders>
              <w:bottom w:val="single" w:sz="8" w:color="0000EE"/>
            </w:tcBorders>
          </w:tcPr>
          <w:p>
            <w:pPr>
              <w:spacing w:after="0" w:line="134" w:lineRule="exact"/>
              <w:rPr>
                <w:rFonts w:ascii="Arial" w:cs="Arial" w:eastAsia="Arial" w:hAnsi="Arial"/>
                <w:sz w:val="13"/>
                <w:szCs w:val="13"/>
                <w:color w:val="0000EE"/>
                <w:w w:val="85"/>
              </w:rPr>
            </w:pPr>
            <w:hyperlink w:anchor="page6">
              <w:r>
                <w:rPr>
                  <w:rFonts w:ascii="Arial" w:cs="Arial" w:eastAsia="Arial" w:hAnsi="Arial"/>
                  <w:sz w:val="13"/>
                  <w:szCs w:val="13"/>
                  <w:color w:val="0000EE"/>
                  <w:w w:val="85"/>
                </w:rPr>
                <w:t>Press Release dated December 8, 2021</w:t>
              </w:r>
            </w:hyperlink>
          </w:p>
        </w:tc>
        <w:tc>
          <w:tcPr>
            <w:tcW w:w="7140" w:type="dxa"/>
            <w:vAlign w:val="bottom"/>
            <w:gridSpan w:val="4"/>
          </w:tcPr>
          <w:p>
            <w:pPr>
              <w:spacing w:after="0"/>
              <w:rPr>
                <w:sz w:val="11"/>
                <w:szCs w:val="1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3"/>
                <w:szCs w:val="13"/>
                <w:color w:val="auto"/>
              </w:rPr>
              <w:t>99.2</w:t>
            </w:r>
          </w:p>
        </w:tc>
        <w:tc>
          <w:tcPr>
            <w:tcW w:w="140" w:type="dxa"/>
            <w:vAlign w:val="bottom"/>
          </w:tcPr>
          <w:p>
            <w:pPr>
              <w:spacing w:after="0"/>
              <w:rPr>
                <w:sz w:val="11"/>
                <w:szCs w:val="11"/>
                <w:color w:val="auto"/>
              </w:rPr>
            </w:pPr>
          </w:p>
        </w:tc>
        <w:tc>
          <w:tcPr>
            <w:tcW w:w="9140" w:type="dxa"/>
            <w:vAlign w:val="bottom"/>
            <w:gridSpan w:val="5"/>
          </w:tcPr>
          <w:p>
            <w:pPr>
              <w:spacing w:after="0" w:line="134" w:lineRule="exact"/>
              <w:rPr>
                <w:rFonts w:ascii="Arial" w:cs="Arial" w:eastAsia="Arial" w:hAnsi="Arial"/>
                <w:sz w:val="13"/>
                <w:szCs w:val="13"/>
                <w:color w:val="0000EE"/>
              </w:rPr>
            </w:pPr>
            <w:hyperlink w:anchor="page8">
              <w:r>
                <w:rPr>
                  <w:rFonts w:ascii="Arial" w:cs="Arial" w:eastAsia="Arial" w:hAnsi="Arial"/>
                  <w:sz w:val="13"/>
                  <w:szCs w:val="13"/>
                  <w:color w:val="0000EE"/>
                </w:rPr>
                <w:t>Management’s Discussion and Analysis of Financial Condition and Results of Operations</w:t>
              </w:r>
            </w:hyperlink>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134"/>
        </w:trPr>
        <w:tc>
          <w:tcPr>
            <w:tcW w:w="920" w:type="dxa"/>
            <w:vAlign w:val="bottom"/>
          </w:tcPr>
          <w:p>
            <w:pPr>
              <w:ind w:left="20"/>
              <w:spacing w:after="0" w:line="134" w:lineRule="exact"/>
              <w:rPr>
                <w:sz w:val="20"/>
                <w:szCs w:val="20"/>
                <w:color w:val="auto"/>
              </w:rPr>
            </w:pPr>
            <w:r>
              <w:rPr>
                <w:rFonts w:ascii="Arial" w:cs="Arial" w:eastAsia="Arial" w:hAnsi="Arial"/>
                <w:sz w:val="13"/>
                <w:szCs w:val="13"/>
                <w:color w:val="auto"/>
              </w:rPr>
              <w:t>99.3</w:t>
            </w:r>
          </w:p>
        </w:tc>
        <w:tc>
          <w:tcPr>
            <w:tcW w:w="140" w:type="dxa"/>
            <w:vAlign w:val="bottom"/>
          </w:tcPr>
          <w:p>
            <w:pPr>
              <w:spacing w:after="0"/>
              <w:rPr>
                <w:sz w:val="11"/>
                <w:szCs w:val="11"/>
                <w:color w:val="auto"/>
              </w:rPr>
            </w:pPr>
          </w:p>
        </w:tc>
        <w:tc>
          <w:tcPr>
            <w:tcW w:w="9140" w:type="dxa"/>
            <w:vAlign w:val="bottom"/>
            <w:tcBorders>
              <w:bottom w:val="single" w:sz="8" w:color="0000EE"/>
            </w:tcBorders>
            <w:gridSpan w:val="5"/>
          </w:tcPr>
          <w:p>
            <w:pPr>
              <w:spacing w:after="0" w:line="134" w:lineRule="exact"/>
              <w:rPr>
                <w:rFonts w:ascii="Arial" w:cs="Arial" w:eastAsia="Arial" w:hAnsi="Arial"/>
                <w:sz w:val="13"/>
                <w:szCs w:val="13"/>
                <w:color w:val="0000EE"/>
                <w:w w:val="88"/>
              </w:rPr>
            </w:pPr>
            <w:hyperlink w:anchor="page26">
              <w:r>
                <w:rPr>
                  <w:rFonts w:ascii="Arial" w:cs="Arial" w:eastAsia="Arial" w:hAnsi="Arial"/>
                  <w:sz w:val="13"/>
                  <w:szCs w:val="13"/>
                  <w:color w:val="0000EE"/>
                  <w:w w:val="88"/>
                </w:rPr>
                <w:t>Audited Consolidated Financial Statements of Lucid Group, Inc. for the Years Ended December 31, 2020 and 2019 and for each of the two years in the period ended December 31</w:t>
              </w:r>
            </w:hyperlink>
          </w:p>
        </w:tc>
      </w:tr>
      <w:tr>
        <w:trPr>
          <w:trHeight w:val="162"/>
        </w:trPr>
        <w:tc>
          <w:tcPr>
            <w:tcW w:w="920" w:type="dxa"/>
            <w:vAlign w:val="bottom"/>
          </w:tcPr>
          <w:p>
            <w:pPr>
              <w:ind w:left="20"/>
              <w:spacing w:after="0"/>
              <w:rPr>
                <w:sz w:val="20"/>
                <w:szCs w:val="20"/>
                <w:color w:val="auto"/>
              </w:rPr>
            </w:pPr>
            <w:r>
              <w:rPr>
                <w:rFonts w:ascii="Arial" w:cs="Arial" w:eastAsia="Arial" w:hAnsi="Arial"/>
                <w:sz w:val="13"/>
                <w:szCs w:val="13"/>
                <w:color w:val="auto"/>
              </w:rPr>
              <w:t>104</w:t>
            </w:r>
          </w:p>
        </w:tc>
        <w:tc>
          <w:tcPr>
            <w:tcW w:w="140" w:type="dxa"/>
            <w:vAlign w:val="bottom"/>
          </w:tcPr>
          <w:p>
            <w:pPr>
              <w:spacing w:after="0"/>
              <w:rPr>
                <w:sz w:val="14"/>
                <w:szCs w:val="14"/>
                <w:color w:val="auto"/>
              </w:rPr>
            </w:pPr>
          </w:p>
        </w:tc>
        <w:tc>
          <w:tcPr>
            <w:tcW w:w="9140" w:type="dxa"/>
            <w:vAlign w:val="bottom"/>
            <w:gridSpan w:val="5"/>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r>
      <w:tr>
        <w:trPr>
          <w:trHeight w:val="702"/>
        </w:trPr>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20"/>
          </w:cols>
          <w:pgMar w:left="1440" w:top="12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3"/>
          <w:szCs w:val="13"/>
          <w:b w:val="1"/>
          <w:bCs w:val="1"/>
          <w:color w:val="auto"/>
        </w:rPr>
        <w:t>SIGNATURE</w:t>
      </w:r>
    </w:p>
    <w:p>
      <w:pPr>
        <w:spacing w:after="0" w:line="133" w:lineRule="exact"/>
        <w:rPr>
          <w:sz w:val="20"/>
          <w:szCs w:val="20"/>
          <w:color w:val="auto"/>
        </w:rPr>
      </w:pPr>
    </w:p>
    <w:p>
      <w:pPr>
        <w:ind w:left="20" w:right="519"/>
        <w:spacing w:after="0" w:line="267"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Current Report on Form 8-K to be signed on its behalf by the undersigned hereunto duly authorized.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Arial" w:cs="Arial" w:eastAsia="Arial" w:hAnsi="Arial"/>
                <w:sz w:val="13"/>
                <w:szCs w:val="13"/>
                <w:color w:val="auto"/>
              </w:rPr>
              <w:t>Dated: December 9, 2021</w:t>
            </w:r>
          </w:p>
        </w:tc>
        <w:tc>
          <w:tcPr>
            <w:tcW w:w="6100" w:type="dxa"/>
            <w:vAlign w:val="bottom"/>
            <w:gridSpan w:val="3"/>
          </w:tcPr>
          <w:p>
            <w:pPr>
              <w:ind w:left="1560"/>
              <w:spacing w:after="0"/>
              <w:rPr>
                <w:sz w:val="20"/>
                <w:szCs w:val="20"/>
                <w:color w:val="auto"/>
              </w:rPr>
            </w:pPr>
            <w:r>
              <w:rPr>
                <w:rFonts w:ascii="Arial" w:cs="Arial" w:eastAsia="Arial" w:hAnsi="Arial"/>
                <w:sz w:val="13"/>
                <w:szCs w:val="13"/>
                <w:color w:val="auto"/>
              </w:rPr>
              <w:t>LUCID GROUP, INC.</w:t>
            </w:r>
          </w:p>
        </w:tc>
      </w:tr>
      <w:tr>
        <w:trPr>
          <w:trHeight w:val="308"/>
        </w:trPr>
        <w:tc>
          <w:tcPr>
            <w:tcW w:w="2860" w:type="dxa"/>
            <w:vAlign w:val="bottom"/>
          </w:tcPr>
          <w:p>
            <w:pPr>
              <w:spacing w:after="0"/>
              <w:rPr>
                <w:sz w:val="24"/>
                <w:szCs w:val="24"/>
                <w:color w:val="auto"/>
              </w:rPr>
            </w:pPr>
          </w:p>
        </w:tc>
        <w:tc>
          <w:tcPr>
            <w:tcW w:w="6100" w:type="dxa"/>
            <w:vAlign w:val="bottom"/>
            <w:gridSpan w:val="3"/>
          </w:tcPr>
          <w:p>
            <w:pPr>
              <w:ind w:left="1560"/>
              <w:spacing w:after="0"/>
              <w:rPr>
                <w:sz w:val="20"/>
                <w:szCs w:val="20"/>
                <w:color w:val="auto"/>
              </w:rPr>
            </w:pPr>
            <w:r>
              <w:rPr>
                <w:rFonts w:ascii="Arial" w:cs="Arial" w:eastAsia="Arial" w:hAnsi="Arial"/>
                <w:sz w:val="13"/>
                <w:szCs w:val="13"/>
                <w:color w:val="auto"/>
              </w:rPr>
              <w:t>By:  /s/ Sherry House</w:t>
            </w:r>
          </w:p>
        </w:tc>
      </w:tr>
      <w:tr>
        <w:trPr>
          <w:trHeight w:val="135"/>
        </w:trPr>
        <w:tc>
          <w:tcPr>
            <w:tcW w:w="28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20" w:type="dxa"/>
            <w:vAlign w:val="bottom"/>
            <w:tcBorders>
              <w:top w:val="single" w:sz="8" w:color="auto"/>
            </w:tcBorders>
          </w:tcPr>
          <w:p>
            <w:pPr>
              <w:spacing w:after="0" w:line="135" w:lineRule="exact"/>
              <w:rPr>
                <w:sz w:val="20"/>
                <w:szCs w:val="20"/>
                <w:color w:val="auto"/>
              </w:rPr>
            </w:pPr>
            <w:r>
              <w:rPr>
                <w:rFonts w:ascii="Arial" w:cs="Arial" w:eastAsia="Arial" w:hAnsi="Arial"/>
                <w:sz w:val="13"/>
                <w:szCs w:val="13"/>
                <w:color w:val="auto"/>
              </w:rPr>
              <w:t>Name:</w:t>
            </w:r>
          </w:p>
        </w:tc>
        <w:tc>
          <w:tcPr>
            <w:tcW w:w="3800" w:type="dxa"/>
            <w:vAlign w:val="bottom"/>
            <w:tcBorders>
              <w:top w:val="single" w:sz="8" w:color="auto"/>
            </w:tcBorders>
          </w:tcPr>
          <w:p>
            <w:pPr>
              <w:ind w:left="60"/>
              <w:spacing w:after="0" w:line="135" w:lineRule="exact"/>
              <w:rPr>
                <w:sz w:val="20"/>
                <w:szCs w:val="20"/>
                <w:color w:val="auto"/>
              </w:rPr>
            </w:pPr>
            <w:r>
              <w:rPr>
                <w:rFonts w:ascii="Arial" w:cs="Arial" w:eastAsia="Arial" w:hAnsi="Arial"/>
                <w:sz w:val="13"/>
                <w:szCs w:val="13"/>
                <w:color w:val="auto"/>
              </w:rPr>
              <w:t>Sherry House</w:t>
            </w:r>
          </w:p>
        </w:tc>
      </w:tr>
      <w:tr>
        <w:trPr>
          <w:trHeight w:val="162"/>
        </w:trPr>
        <w:tc>
          <w:tcPr>
            <w:tcW w:w="2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3800" w:type="dxa"/>
            <w:vAlign w:val="bottom"/>
          </w:tcPr>
          <w:p>
            <w:pPr>
              <w:ind w:left="60"/>
              <w:spacing w:after="0"/>
              <w:rPr>
                <w:sz w:val="20"/>
                <w:szCs w:val="20"/>
                <w:color w:val="auto"/>
              </w:rPr>
            </w:pPr>
            <w:r>
              <w:rPr>
                <w:rFonts w:ascii="Arial" w:cs="Arial" w:eastAsia="Arial" w:hAnsi="Arial"/>
                <w:sz w:val="13"/>
                <w:szCs w:val="13"/>
                <w:color w:val="auto"/>
              </w:rPr>
              <w:t>Chief Financial Officer</w:t>
            </w:r>
          </w:p>
        </w:tc>
      </w:tr>
      <w:tr>
        <w:trPr>
          <w:trHeight w:val="702"/>
        </w:trPr>
        <w:tc>
          <w:tcPr>
            <w:tcW w:w="2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2"/>
          <w:szCs w:val="12"/>
          <w:color w:val="auto"/>
        </w:rPr>
        <w:t>We have issued our report dated December 8, 2021, with respect to the consolidated financial statements of Atieva, Inc. included in this Current Report on Form 8-K of Lucid Group, Inc. We consent to the incorporation by reference of said report in the Registration Statement of Lucid Group, Inc on Form S-8 (File No. 333-259794).</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/s/ GRANT THORNTON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December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63296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29680" cy="18415"/>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5" w:name="page6"/>
    <w:bookmarkEnd w:id="5"/>
    <w:p>
      <w:pPr>
        <w:jc w:val="right"/>
        <w:spacing w:after="0"/>
        <w:rPr>
          <w:sz w:val="20"/>
          <w:szCs w:val="20"/>
          <w:color w:val="auto"/>
        </w:rPr>
      </w:pPr>
      <w:r>
        <w:rPr>
          <w:rFonts w:ascii="Arial" w:cs="Arial" w:eastAsia="Arial" w:hAnsi="Arial"/>
          <w:sz w:val="13"/>
          <w:szCs w:val="13"/>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Lucid Group, Inc. Announces Proposed Convertible Senior Notes Offering</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NEWARK, CALIFORNIA—(PRNewswire)—December 8, 2021—Lucid Group, Inc. (“Lucid”)(Nasdaq: LCID) today announced its intention to offer, subject to market and other conditions, $1,750,000,000 aggregate principal amount of convertible senior notes due 2026 (the “notes”) in a private offering to persons reasonably believed to be qualified institutional buyers pursuant to Rule 144A under the Securities Act of 1933, as amended (the “Securities Act”). Lucid also expects to grant the initial purchasers of the notes an option, for settlement within a period of 13 days from, and including, the date the notes are first issued, to purchase up to an additional $262,500,000 principal amount of notes.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The notes will be senior, unsecured obligations of Lucid, will accrue interest payable semi-annually in arrears, and will mature on December 15, 2026, unless earlier repurchased, redeemed, or converted. Noteholders will only have the right to convert their notes in certain circumstances and during specified periods. Lucid will settle conversions of notes by paying or delivering, as applicable, cash, shares of its Class A common stock (the “common stock”) or a combination of cash and shares of its common stock, at Lucid’s election. The notes will be redeemable, in whole or in part (subject to certain limitations), for cash at Lucid’s option at any time, and from time to time, on or after December 20, 2024 and on or before the 31st scheduled trading day immediately before the maturity date, but only if the last reported sale price per share of Lucid’s common stock exceeds 130% of the conversion price for a specified period of time and certain liquidity conditions are satisfied. The redemption price will be equal to the principal amount of the notes to be redeemed, plus accrued and unpaid interest, if any, to, but excluding, the redemption date. The interest rate, initial conversion rate and other terms of the notes will be determined at the pricing of the offering.</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 Pending such allocation, Lucid intends to use the net proceeds of the offering for business expansion and general corporate purposes, which may include investing in our manufacturing capabilities, expanding and improving operations such as our retail and service network, investing in research and development, and supporting other potential growth opportunities.</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63296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29680" cy="18415"/>
                    </a:xfrm>
                    <a:prstGeom prst="rect">
                      <a:avLst/>
                    </a:prstGeom>
                    <a:noFill/>
                  </pic:spPr>
                </pic:pic>
              </a:graphicData>
            </a:graphic>
          </wp:anchor>
        </w:drawing>
      </w:r>
    </w:p>
    <w:p>
      <w:pPr>
        <w:sectPr>
          <w:pgSz w:w="11900" w:h="16838" w:orient="portrait"/>
          <w:cols w:equalWidth="0" w:num="1">
            <w:col w:w="9960"/>
          </w:cols>
          <w:pgMar w:left="960" w:top="127" w:right="97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About Lucid Group</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Lucid’s mission is to inspire the adoption of sustainable energy by creating the most captivating electric vehicles, centered around the human experience. The company’s first car, Lucid Air, is a state-of-the-art luxury sedan with a California-inspired design that features luxurious full-size interior space in a mid-size exterior footprint. Underpinned by race-proven technology, Lucid Air offers up to 520 miles of range and 1,111 horsepower, and was named the 2022 MotorTrend Car of the Year. Customer deliveries of Lucid Air, which is produced at Lucid’s new factory in Casa Grande, Arizona, are underway.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This press release includes forward-looking statements, including statements regarding the anticipated terms of the notes being offered, the completion, timing and size of the proposed offering and the intended use of the net proceeds from the offering. Forward-looking statements represent Lucid’s current expectations regarding future events and are subject to known and unknown risks and uncertainties that could cause actual results to differ materially from those implied by the forward-looking statements. Among those risks and uncertainties are market conditions, including market interest rates, the trading price and volatility of Lucid’s common stock and risks relating to Lucid’s business, including those described in periodic reports that Lucid files from time to time with the SEC. Lucid may not consummate the proposed offering described in this press release and, if the proposed offering is consummated, cannot provide any assurances regarding the final terms of the offering or the notes or its ability to effectively apply the net proceeds as described above. The forward-looking statements included in this press release speak only as of the date of this press release, and Lucid does not undertake to update the statements included in this press release for subsequent developments, except as may be required by law.</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6329680"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29680" cy="18415"/>
                    </a:xfrm>
                    <a:prstGeom prst="rect">
                      <a:avLst/>
                    </a:prstGeom>
                    <a:noFill/>
                  </pic:spPr>
                </pic:pic>
              </a:graphicData>
            </a:graphic>
          </wp:anchor>
        </w:drawing>
      </w:r>
    </w:p>
    <w:p>
      <w:pPr>
        <w:sectPr>
          <w:pgSz w:w="11900" w:h="16838" w:orient="portrait"/>
          <w:cols w:equalWidth="0" w:num="1">
            <w:col w:w="9960"/>
          </w:cols>
          <w:pgMar w:left="960" w:top="280" w:right="979" w:bottom="1440" w:gutter="0" w:footer="0" w:header="0"/>
        </w:sectPr>
      </w:pPr>
    </w:p>
    <w:bookmarkStart w:id="7" w:name="page8"/>
    <w:bookmarkEnd w:id="7"/>
    <w:p>
      <w:pPr>
        <w:ind w:left="8320"/>
        <w:spacing w:after="0"/>
        <w:rPr>
          <w:sz w:val="20"/>
          <w:szCs w:val="20"/>
          <w:color w:val="auto"/>
        </w:rPr>
      </w:pPr>
      <w:r>
        <w:rPr>
          <w:rFonts w:ascii="Arial" w:cs="Arial" w:eastAsia="Arial" w:hAnsi="Arial"/>
          <w:sz w:val="11"/>
          <w:szCs w:val="11"/>
          <w:b w:val="1"/>
          <w:bCs w:val="1"/>
          <w:color w:val="auto"/>
        </w:rPr>
        <w:t>Exhibit 99.2</w:t>
      </w:r>
    </w:p>
    <w:p>
      <w:pPr>
        <w:spacing w:after="0" w:line="185" w:lineRule="exact"/>
        <w:rPr>
          <w:sz w:val="20"/>
          <w:szCs w:val="20"/>
          <w:color w:val="auto"/>
        </w:rPr>
      </w:pPr>
    </w:p>
    <w:p>
      <w:pPr>
        <w:ind w:left="20" w:right="79" w:firstLine="258"/>
        <w:spacing w:after="0" w:line="274" w:lineRule="auto"/>
        <w:rPr>
          <w:sz w:val="20"/>
          <w:szCs w:val="20"/>
          <w:color w:val="auto"/>
        </w:rPr>
      </w:pPr>
      <w:r>
        <w:rPr>
          <w:rFonts w:ascii="Arial" w:cs="Arial" w:eastAsia="Arial" w:hAnsi="Arial"/>
          <w:sz w:val="12"/>
          <w:szCs w:val="12"/>
          <w:i w:val="1"/>
          <w:iCs w:val="1"/>
          <w:color w:val="auto"/>
        </w:rPr>
        <w:t xml:space="preserve">This discussion should be read together with the consolidated financial statements and the related notes that are included in Exhibit 99.3 to this Current Report on Form 8-K. This discussion may contain forward-looking statements based upon Lucid’s current expectations, estimates and projections that involve risks and uncertainties. Our actual results could differ materially from those anticipated in these forward-looking statements due to, among other considerations, the matters discussed in the sections entitled </w:t>
      </w:r>
      <w:r>
        <w:rPr>
          <w:rFonts w:ascii="Arial" w:cs="Arial" w:eastAsia="Arial" w:hAnsi="Arial"/>
          <w:sz w:val="12"/>
          <w:szCs w:val="12"/>
          <w:color w:val="auto"/>
        </w:rPr>
        <w:t>“</w:t>
      </w:r>
      <w:r>
        <w:rPr>
          <w:rFonts w:ascii="Arial" w:cs="Arial" w:eastAsia="Arial" w:hAnsi="Arial"/>
          <w:sz w:val="12"/>
          <w:szCs w:val="12"/>
          <w:i w:val="1"/>
          <w:iCs w:val="1"/>
          <w:color w:val="auto"/>
        </w:rPr>
        <w:t>Risk Factors” and “Cautionary Note Regarding Forward-Looking Statements” in our Quarterly Report for the quarterly period ended September 30, 2021 and our Registration Statement on Form S-1 filed with the Securities and Exchange Commission on August 20, 2021. Unless the context otherwise requires, all references in this section to “Lucid,” the “Company,” “we,” “us,” “our,” and other similar terms refer to Legacy Lucid and its subsidiaries prior to the Closing, and Lucid Group, Inc. (“Lucid Group”), a Delaware corporation, and its subsidiaries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330835</wp:posOffset>
            </wp:positionV>
            <wp:extent cx="568261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162"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i w:val="1"/>
          <w:iCs w:val="1"/>
          <w:color w:val="auto"/>
        </w:rPr>
        <w:t xml:space="preserve">This discussion should be read together with the consolidated financial statements and the related notes that are included elsewhere in this offering memorandum. This discussion may contain forward-looking statements based upon Lucid’s current expectations, estimates and projections that involve risks and uncertainties. Our actual results could differ materially from those anticipated in these forward-looking statements due to, among other considerations, the matters discussed in the sections entitled </w:t>
      </w:r>
      <w:r>
        <w:rPr>
          <w:rFonts w:ascii="Arial" w:cs="Arial" w:eastAsia="Arial" w:hAnsi="Arial"/>
          <w:sz w:val="13"/>
          <w:szCs w:val="13"/>
          <w:color w:val="auto"/>
        </w:rPr>
        <w:t>“</w:t>
      </w:r>
      <w:r>
        <w:rPr>
          <w:rFonts w:ascii="Arial" w:cs="Arial" w:eastAsia="Arial" w:hAnsi="Arial"/>
          <w:sz w:val="13"/>
          <w:szCs w:val="13"/>
          <w:i w:val="1"/>
          <w:iCs w:val="1"/>
          <w:color w:val="auto"/>
        </w:rPr>
        <w:t>Risk Factors” and “Cautionary Note Regarding Forward-Looking Statements.” Unless the context otherwise requires, all references in this section to “Lucid,” the “Company,” “we,” “us,” “our,” and other similar terms refer to Legacy Lucid and its subsidiaries prior to the Closing, and Lucid Group, Inc.(“Lucid Group”), a Delaware corporation, and its subsidiaries after the Closing.</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Overview</w:t>
      </w:r>
    </w:p>
    <w:p>
      <w:pPr>
        <w:spacing w:after="0" w:line="162" w:lineRule="exact"/>
        <w:rPr>
          <w:sz w:val="20"/>
          <w:szCs w:val="20"/>
          <w:color w:val="auto"/>
        </w:rPr>
      </w:pPr>
    </w:p>
    <w:p>
      <w:pPr>
        <w:ind w:left="20" w:right="459" w:firstLine="256"/>
        <w:spacing w:after="0" w:line="288" w:lineRule="auto"/>
        <w:rPr>
          <w:sz w:val="20"/>
          <w:szCs w:val="20"/>
          <w:color w:val="auto"/>
        </w:rPr>
      </w:pPr>
      <w:r>
        <w:rPr>
          <w:rFonts w:ascii="Arial" w:cs="Arial" w:eastAsia="Arial" w:hAnsi="Arial"/>
          <w:sz w:val="12"/>
          <w:szCs w:val="12"/>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has gone into production.</w:t>
      </w:r>
    </w:p>
    <w:p>
      <w:pPr>
        <w:spacing w:after="0" w:line="118" w:lineRule="exact"/>
        <w:rPr>
          <w:sz w:val="20"/>
          <w:szCs w:val="20"/>
          <w:color w:val="auto"/>
        </w:rPr>
      </w:pPr>
    </w:p>
    <w:p>
      <w:pPr>
        <w:ind w:left="20" w:right="39" w:firstLine="256"/>
        <w:spacing w:after="0" w:line="303" w:lineRule="auto"/>
        <w:rPr>
          <w:sz w:val="20"/>
          <w:szCs w:val="20"/>
          <w:color w:val="auto"/>
        </w:rPr>
      </w:pPr>
      <w:r>
        <w:rPr>
          <w:rFonts w:ascii="Arial" w:cs="Arial" w:eastAsia="Arial" w:hAnsi="Arial"/>
          <w:sz w:val="11"/>
          <w:szCs w:val="11"/>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13" w:lineRule="exact"/>
        <w:rPr>
          <w:sz w:val="20"/>
          <w:szCs w:val="20"/>
          <w:color w:val="auto"/>
        </w:rPr>
      </w:pPr>
    </w:p>
    <w:p>
      <w:pPr>
        <w:ind w:left="20" w:right="139" w:firstLine="256"/>
        <w:spacing w:after="0" w:line="250" w:lineRule="auto"/>
        <w:rPr>
          <w:sz w:val="20"/>
          <w:szCs w:val="20"/>
          <w:color w:val="auto"/>
        </w:rPr>
      </w:pPr>
      <w:r>
        <w:rPr>
          <w:rFonts w:ascii="Arial" w:cs="Arial" w:eastAsia="Arial" w:hAnsi="Arial"/>
          <w:sz w:val="13"/>
          <w:szCs w:val="13"/>
          <w:color w:val="auto"/>
        </w:rPr>
        <w:t>The Lucid Air is manufactured in-house at our greenfield purpose-built electric vehicle manufacturing facilities in Casa Grande, Arizona, named Advanced Manufacturing Plant-1 (“AMP-1”) and Lucid Powertrain Manufacturing Plant (“LPM-1”). Upon completion of our facilities, our manufacturing footprint in Casa Grande is expected to exceed 5 million square feet on 495 acres. Our manufacturing footprint has an initial output capacity to produce up to 34,000 vehicles per year, and we plan to incrementally build out over time. Expansion activities are already underway to bring capacity at our Arizona site to 90,000 vehicles per year by 2023 for production of both the Lucid Air and Lucid Gravity, with flexibility to shift production between vehicles based on demand. We started our production of the Lucid Air utilizing our AMP-1 facility in September. In late October 2021, reservation holders of Lucid Air Dream Edition models began receiving their vehicles, with customer deliveries ramping up thereafter.</w:t>
      </w:r>
    </w:p>
    <w:p>
      <w:pPr>
        <w:spacing w:after="0" w:line="140"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w:t>
      </w:r>
    </w:p>
    <w:p>
      <w:pPr>
        <w:spacing w:after="0" w:line="142" w:lineRule="exact"/>
        <w:rPr>
          <w:sz w:val="20"/>
          <w:szCs w:val="20"/>
          <w:color w:val="auto"/>
        </w:rPr>
      </w:pPr>
    </w:p>
    <w:p>
      <w:pPr>
        <w:ind w:left="20" w:right="59" w:firstLine="256"/>
        <w:spacing w:after="0" w:line="253" w:lineRule="auto"/>
        <w:rPr>
          <w:sz w:val="20"/>
          <w:szCs w:val="20"/>
          <w:color w:val="auto"/>
        </w:rPr>
      </w:pPr>
      <w:r>
        <w:rPr>
          <w:rFonts w:ascii="Arial" w:cs="Arial" w:eastAsia="Arial" w:hAnsi="Arial"/>
          <w:sz w:val="13"/>
          <w:szCs w:val="13"/>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September 30, 2021, we have opened nine retail stores and expect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9" w:name="page10"/>
    <w:bookmarkEnd w:id="9"/>
    <w:p>
      <w:pPr>
        <w:ind w:left="20" w:right="239"/>
        <w:spacing w:after="0" w:line="253" w:lineRule="auto"/>
        <w:rPr>
          <w:sz w:val="20"/>
          <w:szCs w:val="20"/>
          <w:color w:val="auto"/>
        </w:rPr>
      </w:pPr>
      <w:r>
        <w:rPr>
          <w:rFonts w:ascii="Arial" w:cs="Arial" w:eastAsia="Arial" w:hAnsi="Arial"/>
          <w:sz w:val="13"/>
          <w:szCs w:val="13"/>
          <w:color w:val="auto"/>
        </w:rPr>
        <w:t>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139" w:lineRule="exact"/>
        <w:rPr>
          <w:sz w:val="20"/>
          <w:szCs w:val="20"/>
          <w:color w:val="auto"/>
        </w:rPr>
      </w:pPr>
    </w:p>
    <w:p>
      <w:pPr>
        <w:ind w:left="20" w:right="39" w:firstLine="256"/>
        <w:spacing w:after="0" w:line="274" w:lineRule="auto"/>
        <w:rPr>
          <w:sz w:val="20"/>
          <w:szCs w:val="20"/>
          <w:color w:val="auto"/>
        </w:rPr>
      </w:pPr>
      <w:r>
        <w:rPr>
          <w:rFonts w:ascii="Arial" w:cs="Arial" w:eastAsia="Arial" w:hAnsi="Arial"/>
          <w:sz w:val="12"/>
          <w:szCs w:val="12"/>
          <w:color w:val="auto"/>
        </w:rPr>
        <w:t>Our revenue to date has been generated primarily from the sales of battery pack systems, supplies and related services. Through September 30, 2021, we had not sold any vehicles. We began commercial sales of Lucid Air Dream Edition in late October 2021. We incurred net losses of $524.4 million and $161.2 million for the three months ended September 30, 2021 and 2020, respectively, $1.5 billion and $408.1 million for the nine months ended September 30, 2021 and 2020, respectively, and $719.4 million and $277.4 million for the years ended December 31, 2020 and 2019, respectively.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will be sufficient to meet our capital expenditure and working capital requirements for a period of at least twelve months from the date of this offering memorandum.</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 Developments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Closing of the Merger</w:t>
      </w:r>
    </w:p>
    <w:p>
      <w:pPr>
        <w:spacing w:after="0" w:line="158" w:lineRule="exact"/>
        <w:rPr>
          <w:sz w:val="20"/>
          <w:szCs w:val="20"/>
          <w:color w:val="auto"/>
        </w:rPr>
      </w:pPr>
    </w:p>
    <w:p>
      <w:pPr>
        <w:ind w:left="20" w:right="99" w:firstLine="256"/>
        <w:spacing w:after="0" w:line="250" w:lineRule="auto"/>
        <w:rPr>
          <w:sz w:val="20"/>
          <w:szCs w:val="20"/>
          <w:color w:val="auto"/>
        </w:rPr>
      </w:pPr>
      <w:r>
        <w:rPr>
          <w:rFonts w:ascii="Arial" w:cs="Arial" w:eastAsia="Arial" w:hAnsi="Arial"/>
          <w:sz w:val="13"/>
          <w:szCs w:val="13"/>
          <w:color w:val="auto"/>
        </w:rPr>
        <w:t>On the Closing Date, Churchill and Lucid consummated the Merger. Pursuant to the Merger Agreement, Lucid became a wholly owned subsidiary of Churchill and Churchill was immediately renamed “Lucid Group, Inc.” Upon the consummation of the Merger in connection with the Merger Agreement, all holders of 451,295,965 issued and outstanding Legacy Lucid common stock received shares of Lucid common stock at a deemed value of $10.00 per share after giving effect to the exchange ratio of 2.644 (the “Exchange Ratio”) resulting in 1,193,226,511 shares of Lucid Group common stock issued and outstanding as of the Closing and all holders of 42,182,931 issued and outstanding Legacy Lucid equity awards received Lucid Group equity awards covering 111,531,080 shares of Lucid Group common stock at a deemed value of $10.00 per share after giving effect to the Exchange Ratio.</w:t>
      </w:r>
    </w:p>
    <w:p>
      <w:pPr>
        <w:spacing w:after="0" w:line="142" w:lineRule="exact"/>
        <w:rPr>
          <w:sz w:val="20"/>
          <w:szCs w:val="20"/>
          <w:color w:val="auto"/>
        </w:rPr>
      </w:pPr>
    </w:p>
    <w:p>
      <w:pPr>
        <w:ind w:left="20" w:right="59" w:firstLine="256"/>
        <w:spacing w:after="0" w:line="273" w:lineRule="auto"/>
        <w:rPr>
          <w:sz w:val="20"/>
          <w:szCs w:val="20"/>
          <w:color w:val="auto"/>
        </w:rPr>
      </w:pPr>
      <w:r>
        <w:rPr>
          <w:rFonts w:ascii="Arial" w:cs="Arial" w:eastAsia="Arial" w:hAnsi="Arial"/>
          <w:sz w:val="12"/>
          <w:szCs w:val="12"/>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Group and having the ability to nominate the majority of the members of the Lucid Group board of directors, senior management of Legacy Lucid comprise the senior management of Lucid Group, and the strategy and operations of Legacy Lucid prior to the Merger comprise the only ongoing strategy and operations of Lucid Group. Accordingly, for accounting purposes, the financial statements of Lucid Group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28" w:lineRule="exact"/>
        <w:rPr>
          <w:sz w:val="20"/>
          <w:szCs w:val="20"/>
          <w:color w:val="auto"/>
        </w:rPr>
      </w:pPr>
    </w:p>
    <w:p>
      <w:pPr>
        <w:ind w:left="20" w:right="399" w:firstLine="256"/>
        <w:spacing w:after="0" w:line="267" w:lineRule="auto"/>
        <w:rPr>
          <w:sz w:val="20"/>
          <w:szCs w:val="20"/>
          <w:color w:val="auto"/>
        </w:rPr>
      </w:pPr>
      <w:r>
        <w:rPr>
          <w:rFonts w:ascii="Arial" w:cs="Arial" w:eastAsia="Arial" w:hAnsi="Arial"/>
          <w:sz w:val="13"/>
          <w:szCs w:val="13"/>
          <w:color w:val="auto"/>
        </w:rPr>
        <w:t>All periods prior to the Merger have been retrospectively adjusted using the Exchange Ratio for the equivalent number of shares outstanding immediately after the Closing to effect the reverse recapitalization.</w:t>
      </w:r>
    </w:p>
    <w:p>
      <w:pPr>
        <w:spacing w:after="0" w:line="129" w:lineRule="exact"/>
        <w:rPr>
          <w:sz w:val="20"/>
          <w:szCs w:val="20"/>
          <w:color w:val="auto"/>
        </w:rPr>
      </w:pPr>
    </w:p>
    <w:p>
      <w:pPr>
        <w:ind w:left="20" w:right="119" w:firstLine="256"/>
        <w:spacing w:after="0" w:line="275" w:lineRule="auto"/>
        <w:rPr>
          <w:sz w:val="20"/>
          <w:szCs w:val="20"/>
          <w:color w:val="auto"/>
        </w:rPr>
      </w:pPr>
      <w:r>
        <w:rPr>
          <w:rFonts w:ascii="Arial" w:cs="Arial" w:eastAsia="Arial" w:hAnsi="Arial"/>
          <w:sz w:val="12"/>
          <w:szCs w:val="12"/>
          <w:color w:val="auto"/>
        </w:rPr>
        <w:t>In connection with the Closing, we raised $4,439.2 million of gross proceeds, including the contribution of $2,070.1 million of cash held in Churchill’s trust account from its initial public offering along with $2,500.0 million of cash raised by Churchill in connection with the PIPE Investment and $0.4 million of cash held in the Churchill operating cash account. The gross proceeds were net of $0.2 million paid to redeem 21,644 shares of Churchill Class A common stock held by public stockholders and $131.4 million in costs incurred by Churchill prior to the Closing. We additionally incurred $38.9 million of transaction costs, consisting of banking, legal, and other professional fees, of which $36.2 million was recorded as a reduction to additional paid-in capital of proceeds and the remaining $2.7 million was expensed in the condensed consolidated statements of operations for the three and nine months ended September 30,</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0" w:name="page11"/>
    <w:bookmarkEnd w:id="10"/>
    <w:p>
      <w:pPr>
        <w:ind w:left="20" w:right="239"/>
        <w:spacing w:after="0" w:line="267" w:lineRule="auto"/>
        <w:rPr>
          <w:sz w:val="20"/>
          <w:szCs w:val="20"/>
          <w:color w:val="auto"/>
        </w:rPr>
      </w:pPr>
      <w:r>
        <w:rPr>
          <w:rFonts w:ascii="Arial" w:cs="Arial" w:eastAsia="Arial" w:hAnsi="Arial"/>
          <w:sz w:val="13"/>
          <w:szCs w:val="13"/>
          <w:color w:val="auto"/>
        </w:rPr>
        <w:t>2021. The total net cash proceeds to us were $4,400.3 million. We intend to use the net proceeds for future capacity expansion, general corporate purposes and to meet our working capital needs.</w:t>
      </w:r>
    </w:p>
    <w:p>
      <w:pPr>
        <w:spacing w:after="0" w:line="129" w:lineRule="exact"/>
        <w:rPr>
          <w:sz w:val="20"/>
          <w:szCs w:val="20"/>
          <w:color w:val="auto"/>
        </w:rPr>
      </w:pPr>
    </w:p>
    <w:p>
      <w:pPr>
        <w:ind w:left="20" w:right="119" w:firstLine="256"/>
        <w:spacing w:after="0" w:line="267" w:lineRule="auto"/>
        <w:rPr>
          <w:sz w:val="20"/>
          <w:szCs w:val="20"/>
          <w:color w:val="auto"/>
        </w:rPr>
      </w:pPr>
      <w:r>
        <w:rPr>
          <w:rFonts w:ascii="Arial" w:cs="Arial" w:eastAsia="Arial" w:hAnsi="Arial"/>
          <w:sz w:val="13"/>
          <w:szCs w:val="13"/>
          <w:color w:val="auto"/>
        </w:rPr>
        <w:t>See Note 1 — Description of Business and Note 3 — Reverse Recapitalization in our unaudited interim condensed consolidated financial statements included elsewhere in this offering memorandum for more information.</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62" w:lineRule="exact"/>
        <w:rPr>
          <w:sz w:val="20"/>
          <w:szCs w:val="20"/>
          <w:color w:val="auto"/>
        </w:rPr>
      </w:pPr>
    </w:p>
    <w:p>
      <w:pPr>
        <w:ind w:left="20" w:right="259" w:firstLine="256"/>
        <w:spacing w:after="0" w:line="267" w:lineRule="auto"/>
        <w:rPr>
          <w:sz w:val="20"/>
          <w:szCs w:val="20"/>
          <w:color w:val="auto"/>
        </w:rPr>
      </w:pPr>
      <w:r>
        <w:rPr>
          <w:rFonts w:ascii="Arial" w:cs="Arial" w:eastAsia="Arial" w:hAnsi="Arial"/>
          <w:sz w:val="13"/>
          <w:szCs w:val="13"/>
          <w:color w:val="auto"/>
        </w:rPr>
        <w:t>We believe that our future success and financial performance depend on a number of factors that present significant opportunities for our business, but also pose risks and challenges, including those discussed below and in the section entitled “Risk Factors”.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Design and Technology Leadership</w:t>
      </w:r>
    </w:p>
    <w:p>
      <w:pPr>
        <w:spacing w:after="0" w:line="158" w:lineRule="exact"/>
        <w:rPr>
          <w:sz w:val="20"/>
          <w:szCs w:val="20"/>
          <w:color w:val="auto"/>
        </w:rPr>
      </w:pPr>
    </w:p>
    <w:p>
      <w:pPr>
        <w:ind w:left="20" w:right="39" w:firstLine="256"/>
        <w:spacing w:after="0" w:line="250" w:lineRule="auto"/>
        <w:rPr>
          <w:sz w:val="20"/>
          <w:szCs w:val="20"/>
          <w:color w:val="auto"/>
        </w:rPr>
      </w:pPr>
      <w:r>
        <w:rPr>
          <w:rFonts w:ascii="Arial" w:cs="Arial" w:eastAsia="Arial" w:hAnsi="Arial"/>
          <w:sz w:val="13"/>
          <w:szCs w:val="13"/>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Through November 15, 2021, we have refundable reservations and non-refundable orders of cars yet to be delivered that reflect potential sales greater than $1,300.0 million.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Direct-to-Consumer Model</w:t>
      </w:r>
    </w:p>
    <w:p>
      <w:pPr>
        <w:spacing w:after="0" w:line="158" w:lineRule="exact"/>
        <w:rPr>
          <w:sz w:val="20"/>
          <w:szCs w:val="20"/>
          <w:color w:val="auto"/>
        </w:rPr>
      </w:pPr>
    </w:p>
    <w:p>
      <w:pPr>
        <w:ind w:left="20" w:right="59" w:firstLine="256"/>
        <w:spacing w:after="0" w:line="305" w:lineRule="auto"/>
        <w:rPr>
          <w:sz w:val="20"/>
          <w:szCs w:val="20"/>
          <w:color w:val="auto"/>
        </w:rPr>
      </w:pPr>
      <w:r>
        <w:rPr>
          <w:rFonts w:ascii="Arial" w:cs="Arial" w:eastAsia="Arial" w:hAnsi="Arial"/>
          <w:sz w:val="11"/>
          <w:szCs w:val="11"/>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September 30, 2021, we had opened nine Studios, four locations in California, two locations in Florida, one location in New York, one location in Illinois and one location in Arizona.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Establishing Manufacturing Capacity</w:t>
      </w:r>
    </w:p>
    <w:p>
      <w:pPr>
        <w:spacing w:after="0" w:line="158" w:lineRule="exact"/>
        <w:rPr>
          <w:sz w:val="20"/>
          <w:szCs w:val="20"/>
          <w:color w:val="auto"/>
        </w:rPr>
      </w:pPr>
    </w:p>
    <w:p>
      <w:pPr>
        <w:ind w:left="20" w:right="119" w:firstLine="256"/>
        <w:spacing w:after="0" w:line="305" w:lineRule="auto"/>
        <w:rPr>
          <w:sz w:val="20"/>
          <w:szCs w:val="20"/>
          <w:color w:val="auto"/>
        </w:rPr>
      </w:pPr>
      <w:r>
        <w:rPr>
          <w:rFonts w:ascii="Arial" w:cs="Arial" w:eastAsia="Arial" w:hAnsi="Arial"/>
          <w:sz w:val="11"/>
          <w:szCs w:val="11"/>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Technology Innovation</w:t>
      </w:r>
    </w:p>
    <w:p>
      <w:pPr>
        <w:spacing w:after="0" w:line="158" w:lineRule="exact"/>
        <w:rPr>
          <w:sz w:val="20"/>
          <w:szCs w:val="20"/>
          <w:color w:val="auto"/>
        </w:rPr>
      </w:pPr>
    </w:p>
    <w:p>
      <w:pPr>
        <w:ind w:left="20" w:right="99" w:firstLine="256"/>
        <w:spacing w:after="0" w:line="253" w:lineRule="auto"/>
        <w:rPr>
          <w:sz w:val="20"/>
          <w:szCs w:val="20"/>
          <w:color w:val="auto"/>
        </w:rPr>
      </w:pPr>
      <w:r>
        <w:rPr>
          <w:rFonts w:ascii="Arial" w:cs="Arial" w:eastAsia="Arial" w:hAnsi="Arial"/>
          <w:sz w:val="13"/>
          <w:szCs w:val="13"/>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 w:name="page12"/>
    <w:bookmarkEnd w:id="11"/>
    <w:p>
      <w:pPr>
        <w:ind w:left="20"/>
        <w:spacing w:after="0"/>
        <w:rPr>
          <w:sz w:val="20"/>
          <w:szCs w:val="20"/>
          <w:color w:val="auto"/>
        </w:rPr>
      </w:pPr>
      <w:r>
        <w:rPr>
          <w:rFonts w:ascii="Arial" w:cs="Arial" w:eastAsia="Arial" w:hAnsi="Arial"/>
          <w:sz w:val="13"/>
          <w:szCs w:val="13"/>
          <w:b w:val="1"/>
          <w:bCs w:val="1"/>
          <w:color w:val="auto"/>
        </w:rPr>
        <w:t>Components of 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Revenue</w:t>
      </w:r>
    </w:p>
    <w:p>
      <w:pPr>
        <w:spacing w:after="0" w:line="158" w:lineRule="exact"/>
        <w:rPr>
          <w:sz w:val="20"/>
          <w:szCs w:val="20"/>
          <w:color w:val="auto"/>
        </w:rPr>
      </w:pPr>
    </w:p>
    <w:p>
      <w:pPr>
        <w:ind w:left="20" w:right="59" w:firstLine="256"/>
        <w:spacing w:after="0" w:line="281" w:lineRule="auto"/>
        <w:rPr>
          <w:sz w:val="20"/>
          <w:szCs w:val="20"/>
          <w:color w:val="auto"/>
        </w:rPr>
      </w:pPr>
      <w:r>
        <w:rPr>
          <w:rFonts w:ascii="Arial" w:cs="Arial" w:eastAsia="Arial" w:hAnsi="Arial"/>
          <w:sz w:val="12"/>
          <w:szCs w:val="12"/>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8" w:lineRule="exact"/>
        <w:rPr>
          <w:sz w:val="20"/>
          <w:szCs w:val="20"/>
          <w:color w:val="auto"/>
        </w:rPr>
      </w:pPr>
    </w:p>
    <w:p>
      <w:pPr>
        <w:jc w:val="both"/>
        <w:ind w:left="20" w:right="139" w:firstLine="256"/>
        <w:spacing w:after="0" w:line="253" w:lineRule="auto"/>
        <w:rPr>
          <w:sz w:val="20"/>
          <w:szCs w:val="20"/>
          <w:color w:val="auto"/>
        </w:rPr>
      </w:pPr>
      <w:r>
        <w:rPr>
          <w:rFonts w:ascii="Arial" w:cs="Arial" w:eastAsia="Arial" w:hAnsi="Arial"/>
          <w:sz w:val="13"/>
          <w:szCs w:val="13"/>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stock-based compensation, and estimated warranty expenses related to battery pack systems. Cost of revenue also includes allocated overhead costs such as depreciation of manufacturing related equipment and facilities, amortization of capitalized internal-use software, facilities, and information technology costs.</w:t>
      </w:r>
    </w:p>
    <w:p>
      <w:pPr>
        <w:spacing w:after="0" w:line="139" w:lineRule="exact"/>
        <w:rPr>
          <w:sz w:val="20"/>
          <w:szCs w:val="20"/>
          <w:color w:val="auto"/>
        </w:rPr>
      </w:pPr>
    </w:p>
    <w:p>
      <w:pPr>
        <w:ind w:left="20" w:right="79" w:firstLine="256"/>
        <w:spacing w:after="0" w:line="309" w:lineRule="auto"/>
        <w:rPr>
          <w:sz w:val="20"/>
          <w:szCs w:val="20"/>
          <w:color w:val="auto"/>
        </w:rPr>
      </w:pPr>
      <w:r>
        <w:rPr>
          <w:rFonts w:ascii="Arial" w:cs="Arial" w:eastAsia="Arial" w:hAnsi="Arial"/>
          <w:sz w:val="12"/>
          <w:szCs w:val="12"/>
          <w:color w:val="auto"/>
        </w:rPr>
        <w:t>We have commenced commercial production of the Lucid Air, and we expect to capitalize the cost to manufacture vehicles and expense these capitalized inventory costs in the fourth quarter of 2021 when the vehicles are sold within cost of revenue. We have not capitalized any vehicle manufacturing costs to date.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Our operating expenses consist of research and development and selling, general and administrative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Research and Development</w:t>
      </w:r>
    </w:p>
    <w:p>
      <w:pPr>
        <w:spacing w:after="0" w:line="158" w:lineRule="exact"/>
        <w:rPr>
          <w:sz w:val="20"/>
          <w:szCs w:val="20"/>
          <w:color w:val="auto"/>
        </w:rPr>
      </w:pPr>
    </w:p>
    <w:p>
      <w:pPr>
        <w:ind w:left="20" w:right="39" w:firstLine="256"/>
        <w:spacing w:after="0" w:line="251" w:lineRule="auto"/>
        <w:rPr>
          <w:sz w:val="20"/>
          <w:szCs w:val="20"/>
          <w:color w:val="auto"/>
        </w:rPr>
      </w:pPr>
      <w:r>
        <w:rPr>
          <w:rFonts w:ascii="Arial" w:cs="Arial" w:eastAsia="Arial" w:hAnsi="Arial"/>
          <w:sz w:val="13"/>
          <w:szCs w:val="13"/>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professional services fees, allocated facilities costs, such as office and rent expense and depreciation expense, and other engineering, designing, and testing expenses.</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Selling, General, and Administrative</w:t>
      </w:r>
    </w:p>
    <w:p>
      <w:pPr>
        <w:spacing w:after="0" w:line="158" w:lineRule="exact"/>
        <w:rPr>
          <w:sz w:val="20"/>
          <w:szCs w:val="20"/>
          <w:color w:val="auto"/>
        </w:rPr>
      </w:pPr>
    </w:p>
    <w:p>
      <w:pPr>
        <w:ind w:left="20" w:right="99" w:firstLine="256"/>
        <w:spacing w:after="0" w:line="277" w:lineRule="auto"/>
        <w:rPr>
          <w:sz w:val="20"/>
          <w:szCs w:val="20"/>
          <w:color w:val="auto"/>
        </w:rPr>
      </w:pPr>
      <w:r>
        <w:rPr>
          <w:rFonts w:ascii="Arial" w:cs="Arial" w:eastAsia="Arial" w:hAnsi="Arial"/>
          <w:sz w:val="12"/>
          <w:szCs w:val="12"/>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26" w:lineRule="exact"/>
        <w:rPr>
          <w:sz w:val="20"/>
          <w:szCs w:val="20"/>
          <w:color w:val="auto"/>
        </w:rPr>
      </w:pPr>
    </w:p>
    <w:p>
      <w:pPr>
        <w:ind w:left="20" w:right="139" w:firstLine="256"/>
        <w:spacing w:after="0" w:line="257" w:lineRule="auto"/>
        <w:rPr>
          <w:sz w:val="20"/>
          <w:szCs w:val="20"/>
          <w:color w:val="auto"/>
        </w:rPr>
      </w:pPr>
      <w:r>
        <w:rPr>
          <w:rFonts w:ascii="Arial" w:cs="Arial" w:eastAsia="Arial" w:hAnsi="Arial"/>
          <w:sz w:val="13"/>
          <w:szCs w:val="13"/>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i w:val="1"/>
          <w:iCs w:val="1"/>
          <w:color w:val="auto"/>
        </w:rPr>
        <w:t>Change in Fair Value of Contingent Forward Contracts</w:t>
      </w:r>
    </w:p>
    <w:p>
      <w:pPr>
        <w:spacing w:after="0" w:line="158" w:lineRule="exact"/>
        <w:rPr>
          <w:sz w:val="20"/>
          <w:szCs w:val="20"/>
          <w:color w:val="auto"/>
        </w:rPr>
      </w:pPr>
    </w:p>
    <w:p>
      <w:pPr>
        <w:ind w:left="20" w:right="219" w:firstLine="256"/>
        <w:spacing w:after="0" w:line="257" w:lineRule="auto"/>
        <w:rPr>
          <w:sz w:val="20"/>
          <w:szCs w:val="20"/>
          <w:color w:val="auto"/>
        </w:rPr>
      </w:pPr>
      <w:r>
        <w:rPr>
          <w:rFonts w:ascii="Arial" w:cs="Arial" w:eastAsia="Arial" w:hAnsi="Arial"/>
          <w:sz w:val="13"/>
          <w:szCs w:val="13"/>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condensed consolidated statements of operations and comprehensive loss.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Convertible Preferred Stock Warrant Liability</w:t>
      </w:r>
    </w:p>
    <w:p>
      <w:pPr>
        <w:spacing w:after="0" w:line="158" w:lineRule="exact"/>
        <w:rPr>
          <w:sz w:val="20"/>
          <w:szCs w:val="20"/>
          <w:color w:val="auto"/>
        </w:rPr>
      </w:pPr>
    </w:p>
    <w:p>
      <w:pPr>
        <w:ind w:left="20" w:right="59" w:firstLine="256"/>
        <w:spacing w:after="0" w:line="281" w:lineRule="auto"/>
        <w:rPr>
          <w:sz w:val="20"/>
          <w:szCs w:val="20"/>
          <w:color w:val="auto"/>
        </w:rPr>
      </w:pPr>
      <w:r>
        <w:rPr>
          <w:rFonts w:ascii="Arial" w:cs="Arial" w:eastAsia="Arial" w:hAnsi="Arial"/>
          <w:sz w:val="12"/>
          <w:szCs w:val="12"/>
          <w:color w:val="auto"/>
        </w:rPr>
        <w:t>Our convertible preferred stock warrant liability related to the warrants to purchase stock of Legacy Lucid Series D preferred shares was subject to remeasurement to fair value at each balance sheet date. Changes in the fair value of our convertible preferred stock warrant liability were recognized in the condensed consolidated statements of operations and comprehensive loss. All issued and outstanding stock of Legacy Lucid Series D preferred stock were settled in March 2021 and there will no longer be future earnings adjustments pertaining to the convertible preferred share warrant liability related to Legacy Lucid Series D preferred shares.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Common Stock Warrant Liability</w:t>
      </w:r>
    </w:p>
    <w:p>
      <w:pPr>
        <w:spacing w:after="0" w:line="158" w:lineRule="exact"/>
        <w:rPr>
          <w:sz w:val="20"/>
          <w:szCs w:val="20"/>
          <w:color w:val="auto"/>
        </w:rPr>
      </w:pPr>
    </w:p>
    <w:p>
      <w:pPr>
        <w:jc w:val="both"/>
        <w:ind w:left="20" w:right="279" w:firstLine="256"/>
        <w:spacing w:after="0" w:line="325" w:lineRule="auto"/>
        <w:rPr>
          <w:sz w:val="20"/>
          <w:szCs w:val="20"/>
          <w:color w:val="auto"/>
        </w:rPr>
      </w:pPr>
      <w:r>
        <w:rPr>
          <w:rFonts w:ascii="Arial" w:cs="Arial" w:eastAsia="Arial" w:hAnsi="Arial"/>
          <w:sz w:val="11"/>
          <w:szCs w:val="11"/>
          <w:color w:val="auto"/>
        </w:rPr>
        <w:t>Our common stock warrant liability related to the private warrants to purchase shares of Lucid Group common stock that were effectively issued upon the Closing in connection with the reverse recapitalization treatment of the Merger. Our common stock warrant liability was subject to remeasurement to fair value at each balance sheet date. Changes in the fair value of our common stock warrant liability were recognized in the condensed consolidated statements of operations and comprehensive loss.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Transaction Costs Expensed</w:t>
      </w:r>
    </w:p>
    <w:p>
      <w:pPr>
        <w:spacing w:after="0" w:line="158" w:lineRule="exact"/>
        <w:rPr>
          <w:sz w:val="20"/>
          <w:szCs w:val="20"/>
          <w:color w:val="auto"/>
        </w:rPr>
      </w:pPr>
    </w:p>
    <w:p>
      <w:pPr>
        <w:ind w:left="20" w:right="39" w:firstLine="256"/>
        <w:spacing w:after="0" w:line="275" w:lineRule="auto"/>
        <w:rPr>
          <w:sz w:val="20"/>
          <w:szCs w:val="20"/>
          <w:color w:val="auto"/>
        </w:rPr>
      </w:pPr>
      <w:r>
        <w:rPr>
          <w:rFonts w:ascii="Arial" w:cs="Arial" w:eastAsia="Arial" w:hAnsi="Arial"/>
          <w:sz w:val="12"/>
          <w:szCs w:val="12"/>
          <w:color w:val="auto"/>
        </w:rPr>
        <w:t>In connection with the Merger, the Company incurred $38.9 million in one-time direct and incremental transaction costs, consisting of banking, legal, and other professional fees. Transaction costs incurred by Lucid Group were allocated on a relative fair value basis between equity and liability-classified instruments deemed to be issued for financial reporting purposes at the Closing by Lucid Group. The Company’s $36.2 million transaction costs allocable to equity-classified instruments, including the common stock and public warrants, were charged as a direct reduction to Lucid Group’s additional paid-in capital of the gross proceeds remitted to Lucid Group from Churchill. The Company’s $2.7 million transaction costs allocable to liability-classified instruments measured at fair value, including the private warrants, were charged to the condensed consolidated statement of operations upon the Closing for the three and nine months ended September 30, 2021.</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Interest expense consists primarily of the interest incurred on our capital leases.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58" w:lineRule="exact"/>
        <w:rPr>
          <w:sz w:val="20"/>
          <w:szCs w:val="20"/>
          <w:color w:val="auto"/>
        </w:rPr>
      </w:pPr>
    </w:p>
    <w:p>
      <w:pPr>
        <w:jc w:val="both"/>
        <w:ind w:left="20" w:right="79" w:firstLine="256"/>
        <w:spacing w:after="0" w:line="257" w:lineRule="auto"/>
        <w:rPr>
          <w:sz w:val="20"/>
          <w:szCs w:val="20"/>
          <w:color w:val="auto"/>
        </w:rPr>
      </w:pPr>
      <w:r>
        <w:rPr>
          <w:rFonts w:ascii="Arial" w:cs="Arial" w:eastAsia="Arial" w:hAnsi="Arial"/>
          <w:sz w:val="13"/>
          <w:szCs w:val="13"/>
          <w:color w:val="auto"/>
        </w:rPr>
        <w:t>Other income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158" w:lineRule="exact"/>
        <w:rPr>
          <w:sz w:val="20"/>
          <w:szCs w:val="20"/>
          <w:color w:val="auto"/>
        </w:rPr>
      </w:pPr>
    </w:p>
    <w:p>
      <w:pPr>
        <w:jc w:val="both"/>
        <w:ind w:left="20" w:right="179" w:firstLine="256"/>
        <w:spacing w:after="0" w:line="325" w:lineRule="auto"/>
        <w:rPr>
          <w:sz w:val="20"/>
          <w:szCs w:val="20"/>
          <w:color w:val="auto"/>
        </w:rPr>
      </w:pPr>
      <w:r>
        <w:rPr>
          <w:rFonts w:ascii="Arial" w:cs="Arial" w:eastAsia="Arial" w:hAnsi="Arial"/>
          <w:sz w:val="11"/>
          <w:szCs w:val="11"/>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3" w:name="page14"/>
    <w:bookmarkEnd w:id="13"/>
    <w:p>
      <w:pPr>
        <w:ind w:left="20"/>
        <w:spacing w:after="0"/>
        <w:rPr>
          <w:sz w:val="20"/>
          <w:szCs w:val="20"/>
          <w:color w:val="auto"/>
        </w:rPr>
      </w:pPr>
      <w:r>
        <w:rPr>
          <w:rFonts w:ascii="Arial" w:cs="Arial" w:eastAsia="Arial" w:hAnsi="Arial"/>
          <w:sz w:val="13"/>
          <w:szCs w:val="13"/>
          <w:b w:val="1"/>
          <w:bCs w:val="1"/>
          <w:color w:val="auto"/>
        </w:rPr>
        <w:t>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Comparison of the Nine Months Ended September 30, 2021 and 2020 and Fiscal Years Ended December 31, 2020 and 2019</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tables set forth our results of operations for the periods presented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4"/>
          </w:tcPr>
          <w:p>
            <w:pPr>
              <w:jc w:val="right"/>
              <w:spacing w:after="0"/>
              <w:rPr>
                <w:sz w:val="20"/>
                <w:szCs w:val="20"/>
                <w:color w:val="auto"/>
              </w:rPr>
            </w:pPr>
            <w:r>
              <w:rPr>
                <w:rFonts w:ascii="Arial" w:cs="Arial" w:eastAsia="Arial" w:hAnsi="Arial"/>
                <w:sz w:val="9"/>
                <w:szCs w:val="9"/>
                <w:b w:val="1"/>
                <w:bCs w:val="1"/>
                <w:color w:val="auto"/>
              </w:rPr>
              <w:t>Fiscal Year Ended</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9"/>
                <w:szCs w:val="9"/>
                <w:b w:val="1"/>
                <w:bCs w:val="1"/>
                <w:color w:val="auto"/>
              </w:rPr>
              <w:t>September 30,</w:t>
            </w:r>
          </w:p>
        </w:tc>
        <w:tc>
          <w:tcPr>
            <w:tcW w:w="5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 change</w:t>
            </w:r>
          </w:p>
        </w:tc>
        <w:tc>
          <w:tcPr>
            <w:tcW w:w="600" w:type="dxa"/>
            <w:vAlign w:val="bottom"/>
            <w:vMerge w:val="restart"/>
          </w:tcPr>
          <w:p>
            <w:pPr>
              <w:jc w:val="right"/>
              <w:ind w:right="55"/>
              <w:spacing w:after="0"/>
              <w:rPr>
                <w:sz w:val="20"/>
                <w:szCs w:val="20"/>
                <w:color w:val="auto"/>
              </w:rPr>
            </w:pPr>
            <w:r>
              <w:rPr>
                <w:rFonts w:ascii="Arial" w:cs="Arial" w:eastAsia="Arial" w:hAnsi="Arial"/>
                <w:sz w:val="9"/>
                <w:szCs w:val="9"/>
                <w:b w:val="1"/>
                <w:bCs w:val="1"/>
                <w:color w:val="auto"/>
              </w:rPr>
              <w:t>% change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9"/>
                <w:szCs w:val="9"/>
                <w:b w:val="1"/>
                <w:bCs w:val="1"/>
                <w:color w:val="auto"/>
              </w:rPr>
              <w:t>December 31,</w:t>
            </w: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 change</w:t>
            </w:r>
          </w:p>
        </w:tc>
        <w:tc>
          <w:tcPr>
            <w:tcW w:w="640" w:type="dxa"/>
            <w:vAlign w:val="bottom"/>
            <w:vMerge w:val="restart"/>
          </w:tcPr>
          <w:p>
            <w:pPr>
              <w:jc w:val="right"/>
              <w:ind w:right="75"/>
              <w:spacing w:after="0"/>
              <w:rPr>
                <w:sz w:val="20"/>
                <w:szCs w:val="20"/>
                <w:color w:val="auto"/>
              </w:rPr>
            </w:pPr>
            <w:r>
              <w:rPr>
                <w:rFonts w:ascii="Arial" w:cs="Arial" w:eastAsia="Arial" w:hAnsi="Arial"/>
                <w:sz w:val="9"/>
                <w:szCs w:val="9"/>
                <w:b w:val="1"/>
                <w:bCs w:val="1"/>
                <w:color w:val="auto"/>
              </w:rPr>
              <w:t>% change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jc w:val="right"/>
              <w:ind w:right="215"/>
              <w:spacing w:after="0" w:line="86" w:lineRule="exact"/>
              <w:rPr>
                <w:sz w:val="20"/>
                <w:szCs w:val="20"/>
                <w:color w:val="auto"/>
              </w:rPr>
            </w:pPr>
            <w:r>
              <w:rPr>
                <w:rFonts w:ascii="Arial" w:cs="Arial" w:eastAsia="Arial" w:hAnsi="Arial"/>
                <w:sz w:val="9"/>
                <w:szCs w:val="9"/>
                <w:b w:val="1"/>
                <w:bCs w:val="1"/>
                <w:color w:val="auto"/>
              </w:rPr>
              <w:t>2021</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w w:val="89"/>
              </w:rPr>
              <w:t>2021</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w w:val="89"/>
              </w:rPr>
              <w:t>2019</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44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Revenue</w:t>
            </w:r>
          </w:p>
        </w:tc>
        <w:tc>
          <w:tcPr>
            <w:tcW w:w="2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tcBorders>
            <w:gridSpan w:val="2"/>
            <w:shd w:val="clear" w:color="auto" w:fill="CCEEFF"/>
          </w:tcPr>
          <w:p>
            <w:pPr>
              <w:jc w:val="right"/>
              <w:ind w:right="40"/>
              <w:spacing w:after="0" w:line="86" w:lineRule="exact"/>
              <w:rPr>
                <w:sz w:val="20"/>
                <w:szCs w:val="20"/>
                <w:color w:val="auto"/>
              </w:rPr>
            </w:pPr>
            <w:r>
              <w:rPr>
                <w:rFonts w:ascii="Arial" w:cs="Arial" w:eastAsia="Arial" w:hAnsi="Arial"/>
                <w:sz w:val="9"/>
                <w:szCs w:val="9"/>
                <w:color w:val="auto"/>
              </w:rPr>
              <w:t>719</w:t>
            </w:r>
          </w:p>
        </w:tc>
        <w:tc>
          <w:tcPr>
            <w:tcW w:w="1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ind w:right="175"/>
              <w:spacing w:after="0" w:line="86" w:lineRule="exact"/>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342</w:t>
            </w:r>
          </w:p>
        </w:tc>
        <w:tc>
          <w:tcPr>
            <w:tcW w:w="1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7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377</w:t>
            </w:r>
          </w:p>
        </w:tc>
        <w:tc>
          <w:tcPr>
            <w:tcW w:w="1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110</w:t>
            </w:r>
          </w:p>
        </w:tc>
        <w:tc>
          <w:tcPr>
            <w:tcW w:w="14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4"/>
                <w:szCs w:val="4"/>
                <w:color w:val="auto"/>
                <w:w w:val="87"/>
              </w:rPr>
              <w:t>$</w:t>
            </w: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3,976</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4"/>
                <w:szCs w:val="4"/>
                <w:color w:val="auto"/>
                <w:w w:val="87"/>
              </w:rPr>
              <w:t>$</w:t>
            </w:r>
          </w:p>
        </w:tc>
        <w:tc>
          <w:tcPr>
            <w:tcW w:w="5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4,590</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(614)</w:t>
            </w:r>
          </w:p>
        </w:tc>
        <w:tc>
          <w:tcPr>
            <w:tcW w:w="14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gridSpan w:val="2"/>
            <w:shd w:val="clear" w:color="auto" w:fill="CCEEFF"/>
          </w:tcPr>
          <w:p>
            <w:pPr>
              <w:jc w:val="right"/>
              <w:ind w:right="52"/>
              <w:spacing w:after="0" w:line="86" w:lineRule="exact"/>
              <w:rPr>
                <w:sz w:val="20"/>
                <w:szCs w:val="20"/>
                <w:color w:val="auto"/>
              </w:rPr>
            </w:pPr>
            <w:r>
              <w:rPr>
                <w:rFonts w:ascii="Arial" w:cs="Arial" w:eastAsia="Arial" w:hAnsi="Arial"/>
                <w:sz w:val="9"/>
                <w:szCs w:val="9"/>
                <w:color w:val="auto"/>
              </w:rPr>
              <w:t>(13)%</w:t>
            </w:r>
          </w:p>
        </w:tc>
        <w:tc>
          <w:tcPr>
            <w:tcW w:w="0" w:type="dxa"/>
            <w:vAlign w:val="bottom"/>
          </w:tcPr>
          <w:p>
            <w:pPr>
              <w:spacing w:after="0"/>
              <w:rPr>
                <w:sz w:val="1"/>
                <w:szCs w:val="1"/>
                <w:color w:val="auto"/>
              </w:rPr>
            </w:pPr>
          </w:p>
        </w:tc>
      </w:tr>
      <w:tr>
        <w:trPr>
          <w:trHeight w:val="96"/>
        </w:trPr>
        <w:tc>
          <w:tcPr>
            <w:tcW w:w="1440" w:type="dxa"/>
            <w:vAlign w:val="bottom"/>
            <w:tcBorders>
              <w:bottom w:val="single" w:sz="8" w:color="CCEEFF"/>
            </w:tcBorders>
          </w:tcPr>
          <w:p>
            <w:pPr>
              <w:spacing w:after="0" w:line="96" w:lineRule="exact"/>
              <w:rPr>
                <w:sz w:val="20"/>
                <w:szCs w:val="20"/>
                <w:color w:val="auto"/>
              </w:rPr>
            </w:pPr>
            <w:r>
              <w:rPr>
                <w:rFonts w:ascii="Arial" w:cs="Arial" w:eastAsia="Arial" w:hAnsi="Arial"/>
                <w:sz w:val="9"/>
                <w:szCs w:val="9"/>
                <w:color w:val="auto"/>
              </w:rPr>
              <w:t>Cost of revenue</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jc w:val="right"/>
              <w:ind w:right="40"/>
              <w:spacing w:after="0" w:line="96" w:lineRule="exact"/>
              <w:rPr>
                <w:sz w:val="20"/>
                <w:szCs w:val="20"/>
                <w:color w:val="auto"/>
              </w:rPr>
            </w:pPr>
            <w:r>
              <w:rPr>
                <w:rFonts w:ascii="Arial" w:cs="Arial" w:eastAsia="Arial" w:hAnsi="Arial"/>
                <w:sz w:val="9"/>
                <w:szCs w:val="9"/>
                <w:color w:val="auto"/>
              </w:rPr>
              <w:t>3,424</w:t>
            </w:r>
          </w:p>
        </w:tc>
        <w:tc>
          <w:tcPr>
            <w:tcW w:w="16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550</w:t>
            </w:r>
          </w:p>
        </w:tc>
        <w:tc>
          <w:tcPr>
            <w:tcW w:w="1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2,874</w:t>
            </w:r>
          </w:p>
        </w:tc>
        <w:tc>
          <w:tcPr>
            <w:tcW w:w="16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jc w:val="right"/>
              <w:spacing w:after="0" w:line="96" w:lineRule="exact"/>
              <w:rPr>
                <w:sz w:val="20"/>
                <w:szCs w:val="20"/>
                <w:color w:val="auto"/>
              </w:rPr>
            </w:pPr>
            <w:r>
              <w:rPr>
                <w:rFonts w:ascii="Arial" w:cs="Arial" w:eastAsia="Arial" w:hAnsi="Arial"/>
                <w:sz w:val="9"/>
                <w:szCs w:val="9"/>
                <w:color w:val="auto"/>
              </w:rPr>
              <w:t>523</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3,070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3,926</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(856)</w:t>
            </w:r>
          </w:p>
        </w:tc>
        <w:tc>
          <w:tcPr>
            <w:tcW w:w="1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gridSpan w:val="2"/>
          </w:tcPr>
          <w:p>
            <w:pPr>
              <w:jc w:val="right"/>
              <w:ind w:right="52"/>
              <w:spacing w:after="0" w:line="96"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86"/>
        </w:trPr>
        <w:tc>
          <w:tcPr>
            <w:tcW w:w="1440" w:type="dxa"/>
            <w:vAlign w:val="bottom"/>
            <w:shd w:val="clear" w:color="auto" w:fill="CCEEFF"/>
          </w:tcPr>
          <w:p>
            <w:pPr>
              <w:ind w:left="80"/>
              <w:spacing w:after="0" w:line="86" w:lineRule="exact"/>
              <w:rPr>
                <w:sz w:val="20"/>
                <w:szCs w:val="20"/>
                <w:color w:val="auto"/>
              </w:rPr>
            </w:pPr>
            <w:r>
              <w:rPr>
                <w:rFonts w:ascii="Arial" w:cs="Arial" w:eastAsia="Arial" w:hAnsi="Arial"/>
                <w:sz w:val="9"/>
                <w:szCs w:val="9"/>
                <w:color w:val="auto"/>
              </w:rPr>
              <w:t>Gross loss</w:t>
            </w:r>
          </w:p>
        </w:tc>
        <w:tc>
          <w:tcPr>
            <w:tcW w:w="20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6" w:lineRule="exact"/>
              <w:rPr>
                <w:sz w:val="20"/>
                <w:szCs w:val="20"/>
                <w:color w:val="auto"/>
              </w:rPr>
            </w:pPr>
            <w:r>
              <w:rPr>
                <w:rFonts w:ascii="Arial" w:cs="Arial" w:eastAsia="Arial" w:hAnsi="Arial"/>
                <w:sz w:val="9"/>
                <w:szCs w:val="9"/>
                <w:color w:val="auto"/>
              </w:rPr>
              <w:t>(2,705)</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(208)</w:t>
            </w: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(2,497)</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906</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664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242</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36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1440" w:type="dxa"/>
            <w:vAlign w:val="bottom"/>
          </w:tcPr>
          <w:p>
            <w:pPr>
              <w:spacing w:after="0" w:line="96" w:lineRule="exact"/>
              <w:rPr>
                <w:sz w:val="20"/>
                <w:szCs w:val="20"/>
                <w:color w:val="auto"/>
              </w:rPr>
            </w:pPr>
            <w:r>
              <w:rPr>
                <w:rFonts w:ascii="Arial" w:cs="Arial" w:eastAsia="Arial" w:hAnsi="Arial"/>
                <w:sz w:val="9"/>
                <w:szCs w:val="9"/>
                <w:color w:val="auto"/>
              </w:rPr>
              <w:t>Operating expenses</w:t>
            </w: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8"/>
                <w:szCs w:val="8"/>
                <w:color w:val="auto"/>
              </w:rPr>
              <w:t>Research and development</w:t>
            </w:r>
            <w:r>
              <w:rPr>
                <w:rFonts w:ascii="Arial" w:cs="Arial" w:eastAsia="Arial" w:hAnsi="Arial"/>
                <w:sz w:val="11"/>
                <w:szCs w:val="11"/>
                <w:color w:val="auto"/>
                <w:vertAlign w:val="superscript"/>
              </w:rPr>
              <w:t>(1)</w:t>
            </w:r>
          </w:p>
        </w:tc>
        <w:tc>
          <w:tcPr>
            <w:tcW w:w="20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40"/>
              <w:spacing w:after="0" w:line="96" w:lineRule="exact"/>
              <w:rPr>
                <w:sz w:val="20"/>
                <w:szCs w:val="20"/>
                <w:color w:val="auto"/>
              </w:rPr>
            </w:pPr>
            <w:r>
              <w:rPr>
                <w:rFonts w:ascii="Arial" w:cs="Arial" w:eastAsia="Arial" w:hAnsi="Arial"/>
                <w:sz w:val="9"/>
                <w:szCs w:val="9"/>
                <w:color w:val="auto"/>
              </w:rPr>
              <w:t>586,579</w:t>
            </w: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341,589</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244,990</w:t>
            </w: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511,110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220,223</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290,887</w:t>
            </w: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Selling, general and</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Borders>
              <w:bottom w:val="single" w:sz="8" w:color="CCEEFF"/>
            </w:tcBorders>
          </w:tcPr>
          <w:p>
            <w:pPr>
              <w:ind w:left="180"/>
              <w:spacing w:after="0" w:line="107" w:lineRule="exact"/>
              <w:rPr>
                <w:sz w:val="20"/>
                <w:szCs w:val="20"/>
                <w:color w:val="auto"/>
              </w:rPr>
            </w:pPr>
            <w:r>
              <w:rPr>
                <w:rFonts w:ascii="Arial" w:cs="Arial" w:eastAsia="Arial" w:hAnsi="Arial"/>
                <w:sz w:val="8"/>
                <w:szCs w:val="8"/>
                <w:color w:val="auto"/>
              </w:rPr>
              <w:t>administrative</w:t>
            </w:r>
            <w:r>
              <w:rPr>
                <w:rFonts w:ascii="Arial" w:cs="Arial" w:eastAsia="Arial" w:hAnsi="Arial"/>
                <w:sz w:val="12"/>
                <w:szCs w:val="12"/>
                <w:color w:val="auto"/>
                <w:vertAlign w:val="superscript"/>
              </w:rPr>
              <w:t>(1)</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455,478</w:t>
            </w:r>
          </w:p>
        </w:tc>
        <w:tc>
          <w:tcPr>
            <w:tcW w:w="16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57,719</w:t>
            </w:r>
          </w:p>
        </w:tc>
        <w:tc>
          <w:tcPr>
            <w:tcW w:w="1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397,759</w:t>
            </w:r>
          </w:p>
        </w:tc>
        <w:tc>
          <w:tcPr>
            <w:tcW w:w="16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9"/>
                <w:szCs w:val="9"/>
                <w:color w:val="auto"/>
              </w:rPr>
              <w:t>689</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89,023</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38,375</w:t>
            </w: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50,648</w:t>
            </w:r>
          </w:p>
        </w:tc>
        <w:tc>
          <w:tcPr>
            <w:tcW w:w="14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9"/>
                <w:szCs w:val="9"/>
                <w:color w:val="auto"/>
              </w:rPr>
              <w:t>132</w:t>
            </w:r>
          </w:p>
        </w:tc>
        <w:tc>
          <w:tcPr>
            <w:tcW w:w="140" w:type="dxa"/>
            <w:vAlign w:val="bottom"/>
            <w:tcBorders>
              <w:bottom w:val="single" w:sz="8" w:color="CCEEFF"/>
            </w:tcBorders>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6"/>
        </w:trPr>
        <w:tc>
          <w:tcPr>
            <w:tcW w:w="1440" w:type="dxa"/>
            <w:vAlign w:val="bottom"/>
            <w:shd w:val="clear" w:color="auto" w:fill="CCEEFF"/>
          </w:tcPr>
          <w:p>
            <w:pPr>
              <w:ind w:left="140"/>
              <w:spacing w:after="0" w:line="86" w:lineRule="exact"/>
              <w:rPr>
                <w:sz w:val="20"/>
                <w:szCs w:val="20"/>
                <w:color w:val="auto"/>
              </w:rPr>
            </w:pPr>
            <w:r>
              <w:rPr>
                <w:rFonts w:ascii="Arial" w:cs="Arial" w:eastAsia="Arial" w:hAnsi="Arial"/>
                <w:sz w:val="9"/>
                <w:szCs w:val="9"/>
                <w:color w:val="auto"/>
              </w:rPr>
              <w:t>Total operating expenses</w:t>
            </w:r>
          </w:p>
        </w:tc>
        <w:tc>
          <w:tcPr>
            <w:tcW w:w="20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gridSpan w:val="2"/>
            <w:shd w:val="clear" w:color="auto" w:fill="CCEEFF"/>
          </w:tcPr>
          <w:p>
            <w:pPr>
              <w:jc w:val="right"/>
              <w:ind w:right="40"/>
              <w:spacing w:after="0" w:line="86" w:lineRule="exact"/>
              <w:rPr>
                <w:sz w:val="20"/>
                <w:szCs w:val="20"/>
                <w:color w:val="auto"/>
              </w:rPr>
            </w:pPr>
            <w:r>
              <w:rPr>
                <w:rFonts w:ascii="Arial" w:cs="Arial" w:eastAsia="Arial" w:hAnsi="Arial"/>
                <w:sz w:val="9"/>
                <w:szCs w:val="9"/>
                <w:color w:val="auto"/>
              </w:rPr>
              <w:t>1,042,057</w:t>
            </w:r>
          </w:p>
        </w:tc>
        <w:tc>
          <w:tcPr>
            <w:tcW w:w="16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399,308</w:t>
            </w:r>
          </w:p>
        </w:tc>
        <w:tc>
          <w:tcPr>
            <w:tcW w:w="18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642,749</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161</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600,133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258,598</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341,535</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132</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6"/>
        </w:trPr>
        <w:tc>
          <w:tcPr>
            <w:tcW w:w="1440" w:type="dxa"/>
            <w:vAlign w:val="bottom"/>
          </w:tcPr>
          <w:p>
            <w:pPr>
              <w:spacing w:after="0" w:line="86" w:lineRule="exact"/>
              <w:rPr>
                <w:sz w:val="20"/>
                <w:szCs w:val="20"/>
                <w:color w:val="auto"/>
              </w:rPr>
            </w:pPr>
            <w:r>
              <w:rPr>
                <w:rFonts w:ascii="Arial" w:cs="Arial" w:eastAsia="Arial" w:hAnsi="Arial"/>
                <w:sz w:val="9"/>
                <w:szCs w:val="9"/>
                <w:color w:val="auto"/>
              </w:rPr>
              <w:t>Loss from operations</w:t>
            </w:r>
          </w:p>
        </w:tc>
        <w:tc>
          <w:tcPr>
            <w:tcW w:w="200" w:type="dxa"/>
            <w:vAlign w:val="bottom"/>
          </w:tcPr>
          <w:p>
            <w:pPr>
              <w:spacing w:after="0"/>
              <w:rPr>
                <w:sz w:val="7"/>
                <w:szCs w:val="7"/>
                <w:color w:val="auto"/>
              </w:rPr>
            </w:pPr>
          </w:p>
        </w:tc>
        <w:tc>
          <w:tcPr>
            <w:tcW w:w="700" w:type="dxa"/>
            <w:vAlign w:val="bottom"/>
            <w:gridSpan w:val="2"/>
          </w:tcPr>
          <w:p>
            <w:pPr>
              <w:jc w:val="right"/>
              <w:spacing w:after="0" w:line="86" w:lineRule="exact"/>
              <w:rPr>
                <w:sz w:val="20"/>
                <w:szCs w:val="20"/>
                <w:color w:val="auto"/>
              </w:rPr>
            </w:pPr>
            <w:r>
              <w:rPr>
                <w:rFonts w:ascii="Arial" w:cs="Arial" w:eastAsia="Arial" w:hAnsi="Arial"/>
                <w:sz w:val="9"/>
                <w:szCs w:val="9"/>
                <w:color w:val="auto"/>
              </w:rPr>
              <w:t>(1,044,762)</w:t>
            </w: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spacing w:after="0" w:line="86" w:lineRule="exact"/>
              <w:rPr>
                <w:sz w:val="20"/>
                <w:szCs w:val="20"/>
                <w:color w:val="auto"/>
              </w:rPr>
            </w:pPr>
            <w:r>
              <w:rPr>
                <w:rFonts w:ascii="Arial" w:cs="Arial" w:eastAsia="Arial" w:hAnsi="Arial"/>
                <w:sz w:val="9"/>
                <w:szCs w:val="9"/>
                <w:color w:val="auto"/>
              </w:rPr>
              <w:t>(399,516)</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jc w:val="right"/>
              <w:spacing w:after="0" w:line="86" w:lineRule="exact"/>
              <w:rPr>
                <w:sz w:val="20"/>
                <w:szCs w:val="20"/>
                <w:color w:val="auto"/>
              </w:rPr>
            </w:pPr>
            <w:r>
              <w:rPr>
                <w:rFonts w:ascii="Arial" w:cs="Arial" w:eastAsia="Arial" w:hAnsi="Arial"/>
                <w:sz w:val="9"/>
                <w:szCs w:val="9"/>
                <w:color w:val="auto"/>
              </w:rPr>
              <w:t>(645,246)</w:t>
            </w:r>
          </w:p>
        </w:tc>
        <w:tc>
          <w:tcPr>
            <w:tcW w:w="160" w:type="dxa"/>
            <w:vAlign w:val="bottom"/>
          </w:tcPr>
          <w:p>
            <w:pPr>
              <w:spacing w:after="0"/>
              <w:rPr>
                <w:sz w:val="7"/>
                <w:szCs w:val="7"/>
                <w:color w:val="auto"/>
              </w:rPr>
            </w:pPr>
          </w:p>
        </w:tc>
        <w:tc>
          <w:tcPr>
            <w:tcW w:w="600" w:type="dxa"/>
            <w:vAlign w:val="bottom"/>
          </w:tcPr>
          <w:p>
            <w:pPr>
              <w:jc w:val="right"/>
              <w:spacing w:after="0" w:line="86" w:lineRule="exact"/>
              <w:rPr>
                <w:sz w:val="20"/>
                <w:szCs w:val="20"/>
                <w:color w:val="auto"/>
              </w:rPr>
            </w:pPr>
            <w:r>
              <w:rPr>
                <w:rFonts w:ascii="Arial" w:cs="Arial" w:eastAsia="Arial" w:hAnsi="Arial"/>
                <w:sz w:val="9"/>
                <w:szCs w:val="9"/>
                <w:color w:val="auto"/>
              </w:rPr>
              <w:t>162</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jc w:val="right"/>
              <w:spacing w:after="0" w:line="86" w:lineRule="exact"/>
              <w:rPr>
                <w:sz w:val="20"/>
                <w:szCs w:val="20"/>
                <w:color w:val="auto"/>
              </w:rPr>
            </w:pPr>
            <w:r>
              <w:rPr>
                <w:rFonts w:ascii="Arial" w:cs="Arial" w:eastAsia="Arial" w:hAnsi="Arial"/>
                <w:sz w:val="9"/>
                <w:szCs w:val="9"/>
                <w:color w:val="auto"/>
              </w:rPr>
              <w:t>(599,227)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jc w:val="right"/>
              <w:spacing w:after="0" w:line="86" w:lineRule="exact"/>
              <w:rPr>
                <w:sz w:val="20"/>
                <w:szCs w:val="20"/>
                <w:color w:val="auto"/>
              </w:rPr>
            </w:pPr>
            <w:r>
              <w:rPr>
                <w:rFonts w:ascii="Arial" w:cs="Arial" w:eastAsia="Arial" w:hAnsi="Arial"/>
                <w:sz w:val="9"/>
                <w:szCs w:val="9"/>
                <w:color w:val="auto"/>
              </w:rPr>
              <w:t>(257,934)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spacing w:after="0" w:line="86" w:lineRule="exact"/>
              <w:rPr>
                <w:sz w:val="20"/>
                <w:szCs w:val="20"/>
                <w:color w:val="auto"/>
              </w:rPr>
            </w:pPr>
            <w:r>
              <w:rPr>
                <w:rFonts w:ascii="Arial" w:cs="Arial" w:eastAsia="Arial" w:hAnsi="Arial"/>
                <w:sz w:val="9"/>
                <w:szCs w:val="9"/>
                <w:color w:val="auto"/>
              </w:rPr>
              <w:t>(341,293)</w:t>
            </w:r>
          </w:p>
        </w:tc>
        <w:tc>
          <w:tcPr>
            <w:tcW w:w="140" w:type="dxa"/>
            <w:vAlign w:val="bottom"/>
          </w:tcPr>
          <w:p>
            <w:pPr>
              <w:spacing w:after="0"/>
              <w:rPr>
                <w:sz w:val="7"/>
                <w:szCs w:val="7"/>
                <w:color w:val="auto"/>
              </w:rPr>
            </w:pPr>
          </w:p>
        </w:tc>
        <w:tc>
          <w:tcPr>
            <w:tcW w:w="640" w:type="dxa"/>
            <w:vAlign w:val="bottom"/>
          </w:tcPr>
          <w:p>
            <w:pPr>
              <w:jc w:val="right"/>
              <w:spacing w:after="0" w:line="86" w:lineRule="exact"/>
              <w:rPr>
                <w:sz w:val="20"/>
                <w:szCs w:val="20"/>
                <w:color w:val="auto"/>
              </w:rPr>
            </w:pPr>
            <w:r>
              <w:rPr>
                <w:rFonts w:ascii="Arial" w:cs="Arial" w:eastAsia="Arial" w:hAnsi="Arial"/>
                <w:sz w:val="9"/>
                <w:szCs w:val="9"/>
                <w:color w:val="auto"/>
              </w:rPr>
              <w:t>132</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Other income (expense), net:</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Change in fair value of forward</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80"/>
              <w:spacing w:after="0"/>
              <w:rPr>
                <w:sz w:val="20"/>
                <w:szCs w:val="20"/>
                <w:color w:val="auto"/>
              </w:rPr>
            </w:pPr>
            <w:r>
              <w:rPr>
                <w:rFonts w:ascii="Arial" w:cs="Arial" w:eastAsia="Arial" w:hAnsi="Arial"/>
                <w:sz w:val="9"/>
                <w:szCs w:val="9"/>
                <w:color w:val="auto"/>
              </w:rPr>
              <w:t>contracts</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(454,546)</w:t>
            </w: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(8,719)</w:t>
            </w:r>
          </w:p>
        </w:tc>
        <w:tc>
          <w:tcPr>
            <w:tcW w:w="16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(445,827)</w:t>
            </w: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(118,382)</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9"/>
                <w:szCs w:val="9"/>
                <w:color w:val="auto"/>
              </w:rPr>
              <w:t>(15,053)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(103,329)</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44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rPr>
              <w:t>Change in fair value of</w:t>
            </w:r>
          </w:p>
        </w:tc>
        <w:tc>
          <w:tcPr>
            <w:tcW w:w="2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180"/>
              <w:spacing w:after="0" w:line="96" w:lineRule="exact"/>
              <w:rPr>
                <w:sz w:val="20"/>
                <w:szCs w:val="20"/>
                <w:color w:val="auto"/>
              </w:rPr>
            </w:pPr>
            <w:r>
              <w:rPr>
                <w:rFonts w:ascii="Arial" w:cs="Arial" w:eastAsia="Arial" w:hAnsi="Arial"/>
                <w:sz w:val="9"/>
                <w:szCs w:val="9"/>
                <w:color w:val="auto"/>
              </w:rPr>
              <w:t>convertible preferred stock</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40" w:type="dxa"/>
            <w:vAlign w:val="bottom"/>
            <w:shd w:val="clear" w:color="auto" w:fill="CCEEFF"/>
          </w:tcPr>
          <w:p>
            <w:pPr>
              <w:ind w:left="180"/>
              <w:spacing w:after="0"/>
              <w:rPr>
                <w:sz w:val="20"/>
                <w:szCs w:val="20"/>
                <w:color w:val="auto"/>
              </w:rPr>
            </w:pPr>
            <w:r>
              <w:rPr>
                <w:rFonts w:ascii="Arial" w:cs="Arial" w:eastAsia="Arial" w:hAnsi="Arial"/>
                <w:sz w:val="9"/>
                <w:szCs w:val="9"/>
                <w:color w:val="auto"/>
              </w:rPr>
              <w:t>warrant liability</w:t>
            </w:r>
          </w:p>
        </w:tc>
        <w:tc>
          <w:tcPr>
            <w:tcW w:w="20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(6,976)</w:t>
            </w:r>
          </w:p>
        </w:tc>
        <w:tc>
          <w:tcPr>
            <w:tcW w:w="2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(171)</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(6,805)</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(1,205)</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(406)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9"/>
                <w:szCs w:val="9"/>
                <w:color w:val="auto"/>
              </w:rPr>
              <w:t>(799)</w:t>
            </w: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197</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ind w:left="80"/>
              <w:spacing w:after="0" w:line="85" w:lineRule="exact"/>
              <w:rPr>
                <w:sz w:val="20"/>
                <w:szCs w:val="20"/>
                <w:color w:val="auto"/>
              </w:rPr>
            </w:pPr>
            <w:r>
              <w:rPr>
                <w:rFonts w:ascii="Arial" w:cs="Arial" w:eastAsia="Arial" w:hAnsi="Arial"/>
                <w:sz w:val="9"/>
                <w:szCs w:val="9"/>
                <w:color w:val="auto"/>
              </w:rPr>
              <w:t>Change in fair value of common</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80"/>
              <w:spacing w:after="0"/>
              <w:rPr>
                <w:sz w:val="20"/>
                <w:szCs w:val="20"/>
                <w:color w:val="auto"/>
              </w:rPr>
            </w:pPr>
            <w:r>
              <w:rPr>
                <w:rFonts w:ascii="Arial" w:cs="Arial" w:eastAsia="Arial" w:hAnsi="Arial"/>
                <w:sz w:val="9"/>
                <w:szCs w:val="9"/>
                <w:color w:val="auto"/>
              </w:rPr>
              <w:t>stock warrant liability</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(24,787)</w:t>
            </w:r>
          </w:p>
        </w:tc>
        <w:tc>
          <w:tcPr>
            <w:tcW w:w="280" w:type="dxa"/>
            <w:vAlign w:val="bottom"/>
          </w:tcPr>
          <w:p>
            <w:pPr>
              <w:spacing w:after="0"/>
              <w:rPr>
                <w:sz w:val="9"/>
                <w:szCs w:val="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(24,787)</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Transaction costs expensed</w:t>
            </w:r>
          </w:p>
        </w:tc>
        <w:tc>
          <w:tcPr>
            <w:tcW w:w="200" w:type="dxa"/>
            <w:vAlign w:val="bottom"/>
            <w:shd w:val="clear" w:color="auto" w:fill="CCEEFF"/>
          </w:tcPr>
          <w:p>
            <w:pPr>
              <w:spacing w:after="0"/>
              <w:rPr>
                <w:sz w:val="8"/>
                <w:szCs w:val="8"/>
                <w:color w:val="auto"/>
              </w:rPr>
            </w:pP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(2,717)</w:t>
            </w:r>
          </w:p>
        </w:tc>
        <w:tc>
          <w:tcPr>
            <w:tcW w:w="2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220"/>
              <w:spacing w:after="0" w:line="96"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(2,717)</w:t>
            </w: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*nm</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6"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6"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tcPr>
          <w:p>
            <w:pPr>
              <w:ind w:left="80"/>
              <w:spacing w:after="0" w:line="96" w:lineRule="exact"/>
              <w:rPr>
                <w:sz w:val="20"/>
                <w:szCs w:val="20"/>
                <w:color w:val="auto"/>
              </w:rPr>
            </w:pPr>
            <w:r>
              <w:rPr>
                <w:rFonts w:ascii="Arial" w:cs="Arial" w:eastAsia="Arial" w:hAnsi="Arial"/>
                <w:sz w:val="9"/>
                <w:szCs w:val="9"/>
                <w:color w:val="auto"/>
              </w:rPr>
              <w:t>Interest expense</w:t>
            </w:r>
          </w:p>
        </w:tc>
        <w:tc>
          <w:tcPr>
            <w:tcW w:w="200" w:type="dxa"/>
            <w:vAlign w:val="bottom"/>
          </w:tcPr>
          <w:p>
            <w:pPr>
              <w:spacing w:after="0"/>
              <w:rPr>
                <w:sz w:val="8"/>
                <w:szCs w:val="8"/>
                <w:color w:val="auto"/>
              </w:rPr>
            </w:pPr>
          </w:p>
        </w:tc>
        <w:tc>
          <w:tcPr>
            <w:tcW w:w="860" w:type="dxa"/>
            <w:vAlign w:val="bottom"/>
            <w:gridSpan w:val="3"/>
          </w:tcPr>
          <w:p>
            <w:pPr>
              <w:jc w:val="right"/>
              <w:ind w:right="160"/>
              <w:spacing w:after="0" w:line="96" w:lineRule="exact"/>
              <w:rPr>
                <w:sz w:val="20"/>
                <w:szCs w:val="20"/>
                <w:color w:val="auto"/>
              </w:rPr>
            </w:pPr>
            <w:r>
              <w:rPr>
                <w:rFonts w:ascii="Arial" w:cs="Arial" w:eastAsia="Arial" w:hAnsi="Arial"/>
                <w:sz w:val="9"/>
                <w:szCs w:val="9"/>
                <w:color w:val="auto"/>
              </w:rPr>
              <w:t>(111)</w:t>
            </w:r>
          </w:p>
        </w:tc>
        <w:tc>
          <w:tcPr>
            <w:tcW w:w="280" w:type="dxa"/>
            <w:vAlign w:val="bottom"/>
          </w:tcPr>
          <w:p>
            <w:pPr>
              <w:spacing w:after="0"/>
              <w:rPr>
                <w:sz w:val="8"/>
                <w:szCs w:val="8"/>
                <w:color w:val="auto"/>
              </w:rPr>
            </w:pPr>
          </w:p>
        </w:tc>
        <w:tc>
          <w:tcPr>
            <w:tcW w:w="680" w:type="dxa"/>
            <w:vAlign w:val="bottom"/>
            <w:gridSpan w:val="2"/>
          </w:tcPr>
          <w:p>
            <w:pPr>
              <w:jc w:val="right"/>
              <w:ind w:right="180"/>
              <w:spacing w:after="0" w:line="96" w:lineRule="exact"/>
              <w:rPr>
                <w:sz w:val="20"/>
                <w:szCs w:val="20"/>
                <w:color w:val="auto"/>
              </w:rPr>
            </w:pPr>
            <w:r>
              <w:rPr>
                <w:rFonts w:ascii="Arial" w:cs="Arial" w:eastAsia="Arial" w:hAnsi="Arial"/>
                <w:sz w:val="9"/>
                <w:szCs w:val="9"/>
                <w:color w:val="auto"/>
              </w:rPr>
              <w:t>(20)</w:t>
            </w:r>
          </w:p>
        </w:tc>
        <w:tc>
          <w:tcPr>
            <w:tcW w:w="160" w:type="dxa"/>
            <w:vAlign w:val="bottom"/>
          </w:tcPr>
          <w:p>
            <w:pPr>
              <w:spacing w:after="0"/>
              <w:rPr>
                <w:sz w:val="8"/>
                <w:szCs w:val="8"/>
                <w:color w:val="auto"/>
              </w:rPr>
            </w:pPr>
          </w:p>
        </w:tc>
        <w:tc>
          <w:tcPr>
            <w:tcW w:w="900" w:type="dxa"/>
            <w:vAlign w:val="bottom"/>
            <w:gridSpan w:val="2"/>
          </w:tcPr>
          <w:p>
            <w:pPr>
              <w:jc w:val="right"/>
              <w:ind w:right="160"/>
              <w:spacing w:after="0" w:line="96" w:lineRule="exact"/>
              <w:rPr>
                <w:sz w:val="20"/>
                <w:szCs w:val="20"/>
                <w:color w:val="auto"/>
              </w:rPr>
            </w:pPr>
            <w:r>
              <w:rPr>
                <w:rFonts w:ascii="Arial" w:cs="Arial" w:eastAsia="Arial" w:hAnsi="Arial"/>
                <w:sz w:val="9"/>
                <w:szCs w:val="9"/>
                <w:color w:val="auto"/>
              </w:rPr>
              <w:t>(91)</w:t>
            </w:r>
          </w:p>
        </w:tc>
        <w:tc>
          <w:tcPr>
            <w:tcW w:w="600" w:type="dxa"/>
            <w:vAlign w:val="bottom"/>
          </w:tcPr>
          <w:p>
            <w:pPr>
              <w:jc w:val="right"/>
              <w:spacing w:after="0" w:line="96" w:lineRule="exact"/>
              <w:rPr>
                <w:sz w:val="20"/>
                <w:szCs w:val="20"/>
                <w:color w:val="auto"/>
              </w:rPr>
            </w:pPr>
            <w:r>
              <w:rPr>
                <w:rFonts w:ascii="Arial" w:cs="Arial" w:eastAsia="Arial" w:hAnsi="Arial"/>
                <w:sz w:val="9"/>
                <w:szCs w:val="9"/>
                <w:color w:val="auto"/>
              </w:rPr>
              <w:t>455</w:t>
            </w:r>
          </w:p>
        </w:tc>
        <w:tc>
          <w:tcPr>
            <w:tcW w:w="140" w:type="dxa"/>
            <w:vAlign w:val="bottom"/>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jc w:val="right"/>
              <w:ind w:right="80"/>
              <w:spacing w:after="0" w:line="96" w:lineRule="exact"/>
              <w:rPr>
                <w:sz w:val="20"/>
                <w:szCs w:val="20"/>
                <w:color w:val="auto"/>
              </w:rPr>
            </w:pPr>
            <w:r>
              <w:rPr>
                <w:rFonts w:ascii="Arial" w:cs="Arial" w:eastAsia="Arial" w:hAnsi="Arial"/>
                <w:sz w:val="9"/>
                <w:szCs w:val="9"/>
                <w:color w:val="auto"/>
              </w:rPr>
              <w:t>(64)</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gridSpan w:val="2"/>
          </w:tcPr>
          <w:p>
            <w:pPr>
              <w:jc w:val="right"/>
              <w:ind w:right="80"/>
              <w:spacing w:after="0" w:line="96" w:lineRule="exact"/>
              <w:rPr>
                <w:sz w:val="20"/>
                <w:szCs w:val="20"/>
                <w:color w:val="auto"/>
              </w:rPr>
            </w:pPr>
            <w:r>
              <w:rPr>
                <w:rFonts w:ascii="Arial" w:cs="Arial" w:eastAsia="Arial" w:hAnsi="Arial"/>
                <w:sz w:val="9"/>
                <w:szCs w:val="9"/>
                <w:color w:val="auto"/>
              </w:rPr>
              <w:t>(8,547)</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8,483</w:t>
            </w:r>
          </w:p>
        </w:tc>
        <w:tc>
          <w:tcPr>
            <w:tcW w:w="140" w:type="dxa"/>
            <w:vAlign w:val="bottom"/>
          </w:tcPr>
          <w:p>
            <w:pPr>
              <w:spacing w:after="0"/>
              <w:rPr>
                <w:sz w:val="8"/>
                <w:szCs w:val="8"/>
                <w:color w:val="auto"/>
              </w:rPr>
            </w:pPr>
          </w:p>
        </w:tc>
        <w:tc>
          <w:tcPr>
            <w:tcW w:w="780" w:type="dxa"/>
            <w:vAlign w:val="bottom"/>
            <w:gridSpan w:val="2"/>
          </w:tcPr>
          <w:p>
            <w:pPr>
              <w:jc w:val="right"/>
              <w:ind w:right="52"/>
              <w:spacing w:after="0" w:line="96" w:lineRule="exact"/>
              <w:rPr>
                <w:sz w:val="20"/>
                <w:szCs w:val="20"/>
                <w:color w:val="auto"/>
              </w:rPr>
            </w:pPr>
            <w:r>
              <w:rPr>
                <w:rFonts w:ascii="Arial" w:cs="Arial" w:eastAsia="Arial" w:hAnsi="Arial"/>
                <w:sz w:val="9"/>
                <w:szCs w:val="9"/>
                <w:color w:val="auto"/>
              </w:rPr>
              <w:t>(99)%</w:t>
            </w:r>
          </w:p>
        </w:tc>
        <w:tc>
          <w:tcPr>
            <w:tcW w:w="0" w:type="dxa"/>
            <w:vAlign w:val="bottom"/>
          </w:tcPr>
          <w:p>
            <w:pPr>
              <w:spacing w:after="0"/>
              <w:rPr>
                <w:sz w:val="1"/>
                <w:szCs w:val="1"/>
                <w:color w:val="auto"/>
              </w:rPr>
            </w:pPr>
          </w:p>
        </w:tc>
      </w:tr>
      <w:tr>
        <w:trPr>
          <w:trHeight w:val="96"/>
        </w:trPr>
        <w:tc>
          <w:tcPr>
            <w:tcW w:w="144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Other (expense) income,net</w:t>
            </w:r>
          </w:p>
        </w:tc>
        <w:tc>
          <w:tcPr>
            <w:tcW w:w="200" w:type="dxa"/>
            <w:vAlign w:val="bottom"/>
            <w:shd w:val="clear" w:color="auto" w:fill="CCEEFF"/>
          </w:tcPr>
          <w:p>
            <w:pPr>
              <w:spacing w:after="0"/>
              <w:rPr>
                <w:sz w:val="8"/>
                <w:szCs w:val="8"/>
                <w:color w:val="auto"/>
              </w:rPr>
            </w:pP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(151)</w:t>
            </w: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76</w:t>
            </w: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(227)</w:t>
            </w:r>
          </w:p>
        </w:tc>
        <w:tc>
          <w:tcPr>
            <w:tcW w:w="1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52"/>
              <w:spacing w:after="0" w:line="96" w:lineRule="exact"/>
              <w:rPr>
                <w:sz w:val="20"/>
                <w:szCs w:val="20"/>
                <w:color w:val="auto"/>
              </w:rPr>
            </w:pPr>
            <w:r>
              <w:rPr>
                <w:rFonts w:ascii="Arial" w:cs="Arial" w:eastAsia="Arial" w:hAnsi="Arial"/>
                <w:sz w:val="9"/>
                <w:szCs w:val="9"/>
                <w:color w:val="auto"/>
              </w:rPr>
              <w:t>(299)%</w:t>
            </w: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(690)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4,606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(5,296)</w:t>
            </w:r>
          </w:p>
        </w:tc>
        <w:tc>
          <w:tcPr>
            <w:tcW w:w="780" w:type="dxa"/>
            <w:vAlign w:val="bottom"/>
            <w:gridSpan w:val="2"/>
            <w:shd w:val="clear" w:color="auto" w:fill="CCEEFF"/>
          </w:tcPr>
          <w:p>
            <w:pPr>
              <w:jc w:val="right"/>
              <w:ind w:right="52"/>
              <w:spacing w:after="0" w:line="96" w:lineRule="exact"/>
              <w:rPr>
                <w:sz w:val="20"/>
                <w:szCs w:val="20"/>
                <w:color w:val="auto"/>
              </w:rPr>
            </w:pPr>
            <w:r>
              <w:rPr>
                <w:rFonts w:ascii="Arial" w:cs="Arial" w:eastAsia="Arial" w:hAnsi="Arial"/>
                <w:sz w:val="9"/>
                <w:szCs w:val="9"/>
                <w:color w:val="auto"/>
              </w:rPr>
              <w:t>(115)%</w:t>
            </w:r>
          </w:p>
        </w:tc>
        <w:tc>
          <w:tcPr>
            <w:tcW w:w="0" w:type="dxa"/>
            <w:vAlign w:val="bottom"/>
          </w:tcPr>
          <w:p>
            <w:pPr>
              <w:spacing w:after="0"/>
              <w:rPr>
                <w:sz w:val="1"/>
                <w:szCs w:val="1"/>
                <w:color w:val="auto"/>
              </w:rPr>
            </w:pPr>
          </w:p>
        </w:tc>
      </w:tr>
      <w:tr>
        <w:trPr>
          <w:trHeight w:val="65"/>
        </w:trPr>
        <w:tc>
          <w:tcPr>
            <w:tcW w:w="1440" w:type="dxa"/>
            <w:vAlign w:val="bottom"/>
          </w:tcPr>
          <w:p>
            <w:pPr>
              <w:ind w:left="140"/>
              <w:spacing w:after="0" w:line="66" w:lineRule="exact"/>
              <w:rPr>
                <w:sz w:val="20"/>
                <w:szCs w:val="20"/>
                <w:color w:val="auto"/>
              </w:rPr>
            </w:pPr>
            <w:r>
              <w:rPr>
                <w:rFonts w:ascii="Arial" w:cs="Arial" w:eastAsia="Arial" w:hAnsi="Arial"/>
                <w:sz w:val="7"/>
                <w:szCs w:val="7"/>
                <w:color w:val="auto"/>
              </w:rPr>
              <w:t>Total other (expense) income,</w:t>
            </w:r>
          </w:p>
        </w:tc>
        <w:tc>
          <w:tcPr>
            <w:tcW w:w="2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240"/>
              <w:spacing w:after="0"/>
              <w:rPr>
                <w:sz w:val="20"/>
                <w:szCs w:val="20"/>
                <w:color w:val="auto"/>
              </w:rPr>
            </w:pPr>
            <w:r>
              <w:rPr>
                <w:rFonts w:ascii="Arial" w:cs="Arial" w:eastAsia="Arial" w:hAnsi="Arial"/>
                <w:sz w:val="9"/>
                <w:szCs w:val="9"/>
                <w:color w:val="auto"/>
              </w:rPr>
              <w:t>net</w:t>
            </w:r>
          </w:p>
        </w:tc>
        <w:tc>
          <w:tcPr>
            <w:tcW w:w="200" w:type="dxa"/>
            <w:vAlign w:val="bottom"/>
          </w:tcPr>
          <w:p>
            <w:pPr>
              <w:spacing w:after="0"/>
              <w:rPr>
                <w:sz w:val="9"/>
                <w:szCs w:val="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9"/>
                <w:szCs w:val="9"/>
                <w:color w:val="auto"/>
              </w:rPr>
              <w:t>(489,288)</w:t>
            </w: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(8,834)</w:t>
            </w:r>
          </w:p>
        </w:tc>
        <w:tc>
          <w:tcPr>
            <w:tcW w:w="160" w:type="dxa"/>
            <w:vAlign w:val="bottom"/>
          </w:tcPr>
          <w:p>
            <w:pPr>
              <w:spacing w:after="0"/>
              <w:rPr>
                <w:sz w:val="9"/>
                <w:szCs w:val="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9"/>
                <w:szCs w:val="9"/>
                <w:color w:val="auto"/>
              </w:rPr>
              <w:t>(480,454)</w:t>
            </w: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(120,341)</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9"/>
                <w:szCs w:val="9"/>
                <w:color w:val="auto"/>
              </w:rPr>
              <w:t>(19,400)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(100,941)</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440" w:type="dxa"/>
            <w:vAlign w:val="bottom"/>
            <w:tcBorders>
              <w:top w:val="single" w:sz="8" w:color="CCEEFF"/>
            </w:tcBorders>
            <w:shd w:val="clear" w:color="auto" w:fill="CCEEFF"/>
          </w:tcPr>
          <w:p>
            <w:pPr>
              <w:spacing w:after="0" w:line="66" w:lineRule="exact"/>
              <w:rPr>
                <w:sz w:val="20"/>
                <w:szCs w:val="20"/>
                <w:color w:val="auto"/>
              </w:rPr>
            </w:pPr>
            <w:r>
              <w:rPr>
                <w:rFonts w:ascii="Arial" w:cs="Arial" w:eastAsia="Arial" w:hAnsi="Arial"/>
                <w:sz w:val="7"/>
                <w:szCs w:val="7"/>
                <w:color w:val="auto"/>
              </w:rPr>
              <w:t>Loss before provision for (benefit</w:t>
            </w:r>
          </w:p>
        </w:tc>
        <w:tc>
          <w:tcPr>
            <w:tcW w:w="20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440" w:type="dxa"/>
            <w:vAlign w:val="bottom"/>
            <w:shd w:val="clear" w:color="auto" w:fill="CCEEFF"/>
          </w:tcPr>
          <w:p>
            <w:pPr>
              <w:ind w:left="100"/>
              <w:spacing w:after="0"/>
              <w:rPr>
                <w:sz w:val="20"/>
                <w:szCs w:val="20"/>
                <w:color w:val="auto"/>
              </w:rPr>
            </w:pPr>
            <w:r>
              <w:rPr>
                <w:rFonts w:ascii="Arial" w:cs="Arial" w:eastAsia="Arial" w:hAnsi="Arial"/>
                <w:sz w:val="9"/>
                <w:szCs w:val="9"/>
                <w:color w:val="auto"/>
              </w:rPr>
              <w:t>from) income taxes</w:t>
            </w:r>
          </w:p>
        </w:tc>
        <w:tc>
          <w:tcPr>
            <w:tcW w:w="20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9"/>
                <w:szCs w:val="9"/>
                <w:color w:val="auto"/>
              </w:rPr>
              <w:t>(1,534,050)</w:t>
            </w:r>
          </w:p>
        </w:tc>
        <w:tc>
          <w:tcPr>
            <w:tcW w:w="2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(408,350)</w:t>
            </w:r>
          </w:p>
        </w:tc>
        <w:tc>
          <w:tcPr>
            <w:tcW w:w="1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(1,125,700)</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276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(719,568)</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(277,334)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(442,234)</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159</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85"/>
        </w:trPr>
        <w:tc>
          <w:tcPr>
            <w:tcW w:w="1440" w:type="dxa"/>
            <w:vAlign w:val="bottom"/>
          </w:tcPr>
          <w:p>
            <w:pPr>
              <w:spacing w:after="0" w:line="85" w:lineRule="exact"/>
              <w:rPr>
                <w:sz w:val="20"/>
                <w:szCs w:val="20"/>
                <w:color w:val="auto"/>
              </w:rPr>
            </w:pPr>
            <w:r>
              <w:rPr>
                <w:rFonts w:ascii="Arial" w:cs="Arial" w:eastAsia="Arial" w:hAnsi="Arial"/>
                <w:sz w:val="9"/>
                <w:szCs w:val="9"/>
                <w:color w:val="auto"/>
              </w:rPr>
              <w:t>Provision for (benefit from)</w:t>
            </w: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40" w:type="dxa"/>
            <w:vAlign w:val="bottom"/>
          </w:tcPr>
          <w:p>
            <w:pPr>
              <w:ind w:left="100"/>
              <w:spacing w:after="0"/>
              <w:rPr>
                <w:sz w:val="20"/>
                <w:szCs w:val="20"/>
                <w:color w:val="auto"/>
              </w:rPr>
            </w:pPr>
            <w:r>
              <w:rPr>
                <w:rFonts w:ascii="Arial" w:cs="Arial" w:eastAsia="Arial" w:hAnsi="Arial"/>
                <w:sz w:val="9"/>
                <w:szCs w:val="9"/>
                <w:color w:val="auto"/>
              </w:rPr>
              <w:t>income taxes</w:t>
            </w:r>
          </w:p>
        </w:tc>
        <w:tc>
          <w:tcPr>
            <w:tcW w:w="200" w:type="dxa"/>
            <w:vAlign w:val="bottom"/>
          </w:tcPr>
          <w:p>
            <w:pPr>
              <w:spacing w:after="0"/>
              <w:rPr>
                <w:sz w:val="9"/>
                <w:szCs w:val="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9"/>
                <w:szCs w:val="9"/>
                <w:color w:val="auto"/>
              </w:rPr>
              <w:t>31</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9"/>
                <w:szCs w:val="9"/>
                <w:color w:val="auto"/>
              </w:rPr>
              <w:t>(245)</w:t>
            </w:r>
          </w:p>
        </w:tc>
        <w:tc>
          <w:tcPr>
            <w:tcW w:w="16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276</w:t>
            </w:r>
          </w:p>
        </w:tc>
        <w:tc>
          <w:tcPr>
            <w:tcW w:w="16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(188)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9"/>
                <w:szCs w:val="9"/>
                <w:color w:val="auto"/>
              </w:rPr>
              <w:t>(211)</w:t>
            </w:r>
          </w:p>
        </w:tc>
        <w:tc>
          <w:tcPr>
            <w:tcW w:w="640" w:type="dxa"/>
            <w:vAlign w:val="bottom"/>
          </w:tcPr>
          <w:p>
            <w:pPr>
              <w:jc w:val="right"/>
              <w:spacing w:after="0"/>
              <w:rPr>
                <w:sz w:val="20"/>
                <w:szCs w:val="20"/>
                <w:color w:val="auto"/>
              </w:rPr>
            </w:pPr>
            <w:r>
              <w:rPr>
                <w:rFonts w:ascii="Arial" w:cs="Arial" w:eastAsia="Arial" w:hAnsi="Arial"/>
                <w:sz w:val="9"/>
                <w:szCs w:val="9"/>
                <w:color w:val="auto"/>
              </w:rPr>
              <w:t>*nm</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shd w:val="clear" w:color="auto" w:fill="CCEEFF"/>
          </w:tcPr>
          <w:p>
            <w:pPr>
              <w:spacing w:after="0" w:line="96" w:lineRule="exact"/>
              <w:rPr>
                <w:sz w:val="20"/>
                <w:szCs w:val="20"/>
                <w:color w:val="auto"/>
              </w:rPr>
            </w:pPr>
            <w:r>
              <w:rPr>
                <w:rFonts w:ascii="Arial" w:cs="Arial" w:eastAsia="Arial" w:hAnsi="Arial"/>
                <w:sz w:val="9"/>
                <w:szCs w:val="9"/>
                <w:color w:val="auto"/>
              </w:rPr>
              <w:t>Net loss and comprehensive loss</w:t>
            </w:r>
          </w:p>
        </w:tc>
        <w:tc>
          <w:tcPr>
            <w:tcW w:w="200" w:type="dxa"/>
            <w:vAlign w:val="bottom"/>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860" w:type="dxa"/>
            <w:vAlign w:val="bottom"/>
            <w:gridSpan w:val="3"/>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(1,534,081)</w:t>
            </w:r>
          </w:p>
        </w:tc>
        <w:tc>
          <w:tcPr>
            <w:tcW w:w="280" w:type="dxa"/>
            <w:vAlign w:val="bottom"/>
            <w:shd w:val="clear" w:color="auto" w:fill="CCEEFF"/>
          </w:tcPr>
          <w:p>
            <w:pPr>
              <w:jc w:val="right"/>
              <w:ind w:right="175"/>
              <w:spacing w:after="0" w:line="96" w:lineRule="exact"/>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80"/>
              <w:spacing w:after="0" w:line="96" w:lineRule="exact"/>
              <w:rPr>
                <w:sz w:val="20"/>
                <w:szCs w:val="20"/>
                <w:color w:val="auto"/>
              </w:rPr>
            </w:pPr>
            <w:r>
              <w:rPr>
                <w:rFonts w:ascii="Arial" w:cs="Arial" w:eastAsia="Arial" w:hAnsi="Arial"/>
                <w:sz w:val="9"/>
                <w:szCs w:val="9"/>
                <w:color w:val="auto"/>
              </w:rPr>
              <w:t>(408,105)</w:t>
            </w:r>
          </w:p>
        </w:tc>
        <w:tc>
          <w:tcPr>
            <w:tcW w:w="160" w:type="dxa"/>
            <w:vAlign w:val="bottom"/>
            <w:shd w:val="clear" w:color="auto" w:fill="CCEEFF"/>
          </w:tcPr>
          <w:p>
            <w:pPr>
              <w:jc w:val="right"/>
              <w:ind w:right="98"/>
              <w:spacing w:after="0"/>
              <w:rPr>
                <w:sz w:val="20"/>
                <w:szCs w:val="20"/>
                <w:color w:val="auto"/>
              </w:rPr>
            </w:pPr>
            <w:r>
              <w:rPr>
                <w:rFonts w:ascii="Arial" w:cs="Arial" w:eastAsia="Arial" w:hAnsi="Arial"/>
                <w:sz w:val="4"/>
                <w:szCs w:val="4"/>
                <w:color w:val="auto"/>
                <w:w w:val="87"/>
              </w:rPr>
              <w:t>$</w:t>
            </w:r>
          </w:p>
        </w:tc>
        <w:tc>
          <w:tcPr>
            <w:tcW w:w="900" w:type="dxa"/>
            <w:vAlign w:val="bottom"/>
            <w:gridSpan w:val="2"/>
            <w:shd w:val="clear" w:color="auto" w:fill="CCEEFF"/>
          </w:tcPr>
          <w:p>
            <w:pPr>
              <w:jc w:val="right"/>
              <w:ind w:right="160"/>
              <w:spacing w:after="0" w:line="96" w:lineRule="exact"/>
              <w:rPr>
                <w:sz w:val="20"/>
                <w:szCs w:val="20"/>
                <w:color w:val="auto"/>
              </w:rPr>
            </w:pPr>
            <w:r>
              <w:rPr>
                <w:rFonts w:ascii="Arial" w:cs="Arial" w:eastAsia="Arial" w:hAnsi="Arial"/>
                <w:sz w:val="9"/>
                <w:szCs w:val="9"/>
                <w:color w:val="auto"/>
              </w:rPr>
              <w:t>(1,125,976)</w:t>
            </w: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276</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26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rPr>
              <w:t>(719,380)</w:t>
            </w:r>
          </w:p>
        </w:tc>
        <w:tc>
          <w:tcPr>
            <w:tcW w:w="380" w:type="dxa"/>
            <w:vAlign w:val="bottom"/>
            <w:gridSpan w:val="2"/>
            <w:shd w:val="clear" w:color="auto" w:fill="CCEEFF"/>
          </w:tcPr>
          <w:p>
            <w:pPr>
              <w:jc w:val="right"/>
              <w:ind w:right="218"/>
              <w:spacing w:after="0" w:line="96"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80"/>
              <w:spacing w:after="0" w:line="96" w:lineRule="exact"/>
              <w:rPr>
                <w:sz w:val="20"/>
                <w:szCs w:val="20"/>
                <w:color w:val="auto"/>
              </w:rPr>
            </w:pPr>
            <w:r>
              <w:rPr>
                <w:rFonts w:ascii="Arial" w:cs="Arial" w:eastAsia="Arial" w:hAnsi="Arial"/>
                <w:sz w:val="9"/>
                <w:szCs w:val="9"/>
                <w:color w:val="auto"/>
              </w:rPr>
              <w:t>(277,357)</w:t>
            </w:r>
          </w:p>
        </w:tc>
        <w:tc>
          <w:tcPr>
            <w:tcW w:w="220" w:type="dxa"/>
            <w:vAlign w:val="bottom"/>
            <w:gridSpan w:val="2"/>
            <w:shd w:val="clear" w:color="auto" w:fill="CCEEFF"/>
          </w:tcPr>
          <w:p>
            <w:pPr>
              <w:jc w:val="right"/>
              <w:ind w:right="35"/>
              <w:spacing w:after="0" w:line="96"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(442,023)</w:t>
            </w:r>
          </w:p>
        </w:tc>
        <w:tc>
          <w:tcPr>
            <w:tcW w:w="6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159</w:t>
            </w:r>
          </w:p>
        </w:tc>
        <w:tc>
          <w:tcPr>
            <w:tcW w:w="140" w:type="dxa"/>
            <w:vAlign w:val="bottom"/>
            <w:shd w:val="clear" w:color="auto" w:fill="CCEEFF"/>
          </w:tcPr>
          <w:p>
            <w:pPr>
              <w:jc w:val="right"/>
              <w:ind w:right="5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77"/>
        </w:trPr>
        <w:tc>
          <w:tcPr>
            <w:tcW w:w="1440" w:type="dxa"/>
            <w:vAlign w:val="bottom"/>
            <w:tcBorders>
              <w:top w:val="single" w:sz="8" w:color="CCEEFF"/>
              <w:bottom w:val="single" w:sz="8" w:color="auto"/>
            </w:tcBorders>
          </w:tcPr>
          <w:p>
            <w:pPr>
              <w:spacing w:after="0"/>
              <w:rPr>
                <w:sz w:val="6"/>
                <w:szCs w:val="6"/>
                <w:color w:val="auto"/>
              </w:rPr>
            </w:pPr>
          </w:p>
        </w:tc>
        <w:tc>
          <w:tcPr>
            <w:tcW w:w="20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60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80" w:type="dxa"/>
            <w:vAlign w:val="bottom"/>
            <w:tcBorders>
              <w:top w:val="single" w:sz="8" w:color="CCEEFF"/>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64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Includes stock-based compensation expense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2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3"/>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4"/>
          </w:tcPr>
          <w:p>
            <w:pPr>
              <w:jc w:val="right"/>
              <w:ind w:right="275"/>
              <w:spacing w:after="0"/>
              <w:rPr>
                <w:sz w:val="20"/>
                <w:szCs w:val="20"/>
                <w:color w:val="auto"/>
              </w:rPr>
            </w:pPr>
            <w:r>
              <w:rPr>
                <w:rFonts w:ascii="Arial" w:cs="Arial" w:eastAsia="Arial" w:hAnsi="Arial"/>
                <w:sz w:val="9"/>
                <w:szCs w:val="9"/>
                <w:b w:val="1"/>
                <w:bCs w:val="1"/>
                <w:color w:val="auto"/>
              </w:rPr>
              <w:t>Fiscal Year Ended</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2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98"/>
              <w:spacing w:after="0"/>
              <w:rPr>
                <w:sz w:val="20"/>
                <w:szCs w:val="20"/>
                <w:color w:val="auto"/>
              </w:rPr>
            </w:pPr>
            <w:r>
              <w:rPr>
                <w:rFonts w:ascii="Arial" w:cs="Arial" w:eastAsia="Arial" w:hAnsi="Arial"/>
                <w:sz w:val="9"/>
                <w:szCs w:val="9"/>
                <w:b w:val="1"/>
                <w:bCs w:val="1"/>
                <w:color w:val="auto"/>
              </w:rPr>
              <w:t>September 30,</w:t>
            </w: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9"/>
                <w:szCs w:val="9"/>
                <w:b w:val="1"/>
                <w:bCs w:val="1"/>
                <w:color w:val="auto"/>
              </w:rPr>
              <w:t>$ change</w:t>
            </w:r>
          </w:p>
        </w:tc>
        <w:tc>
          <w:tcPr>
            <w:tcW w:w="200" w:type="dxa"/>
            <w:vAlign w:val="bottom"/>
          </w:tcPr>
          <w:p>
            <w:pPr>
              <w:spacing w:after="0"/>
              <w:rPr>
                <w:sz w:val="9"/>
                <w:szCs w:val="9"/>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 change</w:t>
            </w: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December 31,</w:t>
            </w: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360"/>
              <w:spacing w:after="0"/>
              <w:rPr>
                <w:sz w:val="20"/>
                <w:szCs w:val="20"/>
                <w:color w:val="auto"/>
              </w:rPr>
            </w:pPr>
            <w:r>
              <w:rPr>
                <w:rFonts w:ascii="Arial" w:cs="Arial" w:eastAsia="Arial" w:hAnsi="Arial"/>
                <w:sz w:val="9"/>
                <w:szCs w:val="9"/>
                <w:b w:val="1"/>
                <w:bCs w:val="1"/>
                <w:color w:val="auto"/>
                <w:w w:val="97"/>
              </w:rPr>
              <w:t>$ change</w:t>
            </w:r>
          </w:p>
        </w:tc>
        <w:tc>
          <w:tcPr>
            <w:tcW w:w="840" w:type="dxa"/>
            <w:vAlign w:val="bottom"/>
            <w:gridSpan w:val="2"/>
            <w:vMerge w:val="restart"/>
          </w:tcPr>
          <w:p>
            <w:pPr>
              <w:jc w:val="right"/>
              <w:ind w:right="292"/>
              <w:spacing w:after="0"/>
              <w:rPr>
                <w:sz w:val="20"/>
                <w:szCs w:val="20"/>
                <w:color w:val="auto"/>
              </w:rPr>
            </w:pPr>
            <w:r>
              <w:rPr>
                <w:rFonts w:ascii="Arial" w:cs="Arial" w:eastAsia="Arial" w:hAnsi="Arial"/>
                <w:sz w:val="9"/>
                <w:szCs w:val="9"/>
                <w:b w:val="1"/>
                <w:bCs w:val="1"/>
                <w:color w:val="auto"/>
              </w:rPr>
              <w:t>% change</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ind w:right="255"/>
              <w:spacing w:after="0" w:line="86"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w w:val="79"/>
              </w:rPr>
              <w:t>2020</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jc w:val="right"/>
              <w:ind w:right="155"/>
              <w:spacing w:after="0" w:line="86" w:lineRule="exact"/>
              <w:rPr>
                <w:sz w:val="20"/>
                <w:szCs w:val="20"/>
                <w:color w:val="auto"/>
              </w:rPr>
            </w:pPr>
            <w:r>
              <w:rPr>
                <w:rFonts w:ascii="Arial" w:cs="Arial" w:eastAsia="Arial" w:hAnsi="Arial"/>
                <w:sz w:val="9"/>
                <w:szCs w:val="9"/>
                <w:b w:val="1"/>
                <w:bCs w:val="1"/>
                <w:color w:val="auto"/>
                <w:w w:val="89"/>
              </w:rPr>
              <w:t>2020</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Cost of revenue</w:t>
            </w:r>
          </w:p>
        </w:tc>
        <w:tc>
          <w:tcPr>
            <w:tcW w:w="180" w:type="dxa"/>
            <w:vAlign w:val="bottom"/>
            <w:tcBorders>
              <w:top w:val="single" w:sz="8" w:color="auto"/>
            </w:tcBorders>
            <w:gridSpan w:val="2"/>
            <w:shd w:val="clear" w:color="auto" w:fill="CCEEFF"/>
          </w:tcPr>
          <w:p>
            <w:pPr>
              <w:jc w:val="right"/>
              <w:ind w:right="120"/>
              <w:spacing w:after="0" w:line="86"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center"/>
              <w:ind w:left="435"/>
              <w:spacing w:after="0" w:line="86" w:lineRule="exact"/>
              <w:rPr>
                <w:sz w:val="20"/>
                <w:szCs w:val="20"/>
                <w:color w:val="auto"/>
              </w:rPr>
            </w:pPr>
            <w:r>
              <w:rPr>
                <w:rFonts w:ascii="Arial" w:cs="Arial" w:eastAsia="Arial" w:hAnsi="Arial"/>
                <w:sz w:val="9"/>
                <w:szCs w:val="9"/>
                <w:color w:val="auto"/>
                <w:w w:val="88"/>
              </w:rPr>
              <w:t>—</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213</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jc w:val="right"/>
              <w:ind w:right="95"/>
              <w:spacing w:after="0" w:line="86"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443</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(230)</w:t>
            </w:r>
          </w:p>
        </w:tc>
        <w:tc>
          <w:tcPr>
            <w:tcW w:w="20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(52)</w:t>
            </w:r>
          </w:p>
        </w:tc>
        <w:tc>
          <w:tcPr>
            <w:tcW w:w="160" w:type="dxa"/>
            <w:vAlign w:val="bottom"/>
            <w:tcBorders>
              <w:top w:val="single" w:sz="8" w:color="CCEEFF"/>
            </w:tcBorders>
            <w:shd w:val="clear" w:color="auto" w:fill="CCEEFF"/>
          </w:tcPr>
          <w:p>
            <w:pPr>
              <w:jc w:val="right"/>
              <w:ind w:right="72"/>
              <w:spacing w:after="0"/>
              <w:rPr>
                <w:sz w:val="20"/>
                <w:szCs w:val="20"/>
                <w:color w:val="auto"/>
              </w:rPr>
            </w:pPr>
            <w:r>
              <w:rPr>
                <w:rFonts w:ascii="Arial" w:cs="Arial" w:eastAsia="Arial" w:hAnsi="Arial"/>
                <w:sz w:val="6"/>
                <w:szCs w:val="6"/>
                <w:color w:val="auto"/>
                <w:w w:val="74"/>
              </w:rPr>
              <w:t>%</w:t>
            </w:r>
          </w:p>
        </w:tc>
        <w:tc>
          <w:tcPr>
            <w:tcW w:w="0" w:type="dxa"/>
            <w:vAlign w:val="bottom"/>
          </w:tcPr>
          <w:p>
            <w:pPr>
              <w:spacing w:after="0"/>
              <w:rPr>
                <w:sz w:val="1"/>
                <w:szCs w:val="1"/>
                <w:color w:val="auto"/>
              </w:rPr>
            </w:pPr>
          </w:p>
        </w:tc>
      </w:tr>
      <w:tr>
        <w:trPr>
          <w:trHeight w:val="96"/>
        </w:trPr>
        <w:tc>
          <w:tcPr>
            <w:tcW w:w="2220" w:type="dxa"/>
            <w:vAlign w:val="bottom"/>
          </w:tcPr>
          <w:p>
            <w:pPr>
              <w:spacing w:after="0" w:line="96" w:lineRule="exact"/>
              <w:rPr>
                <w:sz w:val="20"/>
                <w:szCs w:val="20"/>
                <w:color w:val="auto"/>
              </w:rPr>
            </w:pPr>
            <w:r>
              <w:rPr>
                <w:rFonts w:ascii="Arial" w:cs="Arial" w:eastAsia="Arial" w:hAnsi="Arial"/>
                <w:sz w:val="9"/>
                <w:szCs w:val="9"/>
                <w:color w:val="auto"/>
              </w:rPr>
              <w:t>Operating Expenses: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220" w:type="dxa"/>
            <w:vAlign w:val="bottom"/>
            <w:shd w:val="clear" w:color="auto" w:fill="CCEEFF"/>
          </w:tcPr>
          <w:p>
            <w:pPr>
              <w:ind w:left="80"/>
              <w:spacing w:after="0" w:line="96" w:lineRule="exact"/>
              <w:rPr>
                <w:sz w:val="20"/>
                <w:szCs w:val="20"/>
                <w:color w:val="auto"/>
              </w:rPr>
            </w:pPr>
            <w:r>
              <w:rPr>
                <w:rFonts w:ascii="Arial" w:cs="Arial" w:eastAsia="Arial" w:hAnsi="Arial"/>
                <w:sz w:val="9"/>
                <w:szCs w:val="9"/>
                <w:color w:val="auto"/>
              </w:rPr>
              <w:t>Research and development</w:t>
            </w: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85,899</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2,072</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83,827</w:t>
            </w:r>
          </w:p>
        </w:tc>
        <w:tc>
          <w:tcPr>
            <w:tcW w:w="2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center"/>
              <w:ind w:left="255"/>
              <w:spacing w:after="0" w:line="96" w:lineRule="exact"/>
              <w:rPr>
                <w:sz w:val="20"/>
                <w:szCs w:val="20"/>
                <w:color w:val="auto"/>
              </w:rPr>
            </w:pPr>
            <w:r>
              <w:rPr>
                <w:rFonts w:ascii="Arial" w:cs="Arial" w:eastAsia="Arial" w:hAnsi="Arial"/>
                <w:sz w:val="9"/>
                <w:szCs w:val="9"/>
                <w:color w:val="auto"/>
                <w:w w:val="99"/>
              </w:rPr>
              <w:t>*nm</w:t>
            </w:r>
          </w:p>
        </w:tc>
        <w:tc>
          <w:tcPr>
            <w:tcW w:w="14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3,724</w:t>
            </w:r>
          </w:p>
        </w:tc>
        <w:tc>
          <w:tcPr>
            <w:tcW w:w="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4,770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00"/>
              <w:spacing w:after="0" w:line="96" w:lineRule="exact"/>
              <w:rPr>
                <w:sz w:val="20"/>
                <w:szCs w:val="20"/>
                <w:color w:val="auto"/>
              </w:rPr>
            </w:pPr>
            <w:r>
              <w:rPr>
                <w:rFonts w:ascii="Arial" w:cs="Arial" w:eastAsia="Arial" w:hAnsi="Arial"/>
                <w:sz w:val="9"/>
                <w:szCs w:val="9"/>
                <w:color w:val="auto"/>
              </w:rPr>
              <w:t>(1,046)</w:t>
            </w:r>
          </w:p>
        </w:tc>
        <w:tc>
          <w:tcPr>
            <w:tcW w:w="840" w:type="dxa"/>
            <w:vAlign w:val="bottom"/>
            <w:gridSpan w:val="2"/>
            <w:shd w:val="clear" w:color="auto" w:fill="CCEEFF"/>
          </w:tcPr>
          <w:p>
            <w:pPr>
              <w:jc w:val="right"/>
              <w:ind w:right="72"/>
              <w:spacing w:after="0" w:line="96" w:lineRule="exact"/>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96"/>
        </w:trPr>
        <w:tc>
          <w:tcPr>
            <w:tcW w:w="2220" w:type="dxa"/>
            <w:vAlign w:val="bottom"/>
          </w:tcPr>
          <w:p>
            <w:pPr>
              <w:ind w:left="80"/>
              <w:spacing w:after="0" w:line="96" w:lineRule="exact"/>
              <w:rPr>
                <w:sz w:val="20"/>
                <w:szCs w:val="20"/>
                <w:color w:val="auto"/>
              </w:rPr>
            </w:pPr>
            <w:r>
              <w:rPr>
                <w:rFonts w:ascii="Arial" w:cs="Arial" w:eastAsia="Arial" w:hAnsi="Arial"/>
                <w:sz w:val="9"/>
                <w:szCs w:val="9"/>
                <w:color w:val="auto"/>
              </w:rPr>
              <w:t>Selling, general and administrative</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6" w:lineRule="exact"/>
              <w:rPr>
                <w:sz w:val="20"/>
                <w:szCs w:val="20"/>
                <w:color w:val="auto"/>
              </w:rPr>
            </w:pPr>
            <w:r>
              <w:rPr>
                <w:rFonts w:ascii="Arial" w:cs="Arial" w:eastAsia="Arial" w:hAnsi="Arial"/>
                <w:sz w:val="9"/>
                <w:szCs w:val="9"/>
                <w:color w:val="auto"/>
              </w:rPr>
              <w:t>280,301</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jc w:val="right"/>
              <w:spacing w:after="0" w:line="96" w:lineRule="exact"/>
              <w:rPr>
                <w:sz w:val="20"/>
                <w:szCs w:val="20"/>
                <w:color w:val="auto"/>
              </w:rPr>
            </w:pPr>
            <w:r>
              <w:rPr>
                <w:rFonts w:ascii="Arial" w:cs="Arial" w:eastAsia="Arial" w:hAnsi="Arial"/>
                <w:sz w:val="9"/>
                <w:szCs w:val="9"/>
                <w:color w:val="auto"/>
              </w:rPr>
              <w:t>1,185</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jc w:val="right"/>
              <w:spacing w:after="0" w:line="96" w:lineRule="exact"/>
              <w:rPr>
                <w:sz w:val="20"/>
                <w:szCs w:val="20"/>
                <w:color w:val="auto"/>
              </w:rPr>
            </w:pPr>
            <w:r>
              <w:rPr>
                <w:rFonts w:ascii="Arial" w:cs="Arial" w:eastAsia="Arial" w:hAnsi="Arial"/>
                <w:sz w:val="9"/>
                <w:szCs w:val="9"/>
                <w:color w:val="auto"/>
              </w:rPr>
              <w:t>279,116</w:t>
            </w:r>
          </w:p>
        </w:tc>
        <w:tc>
          <w:tcPr>
            <w:tcW w:w="200" w:type="dxa"/>
            <w:vAlign w:val="bottom"/>
          </w:tcPr>
          <w:p>
            <w:pPr>
              <w:spacing w:after="0"/>
              <w:rPr>
                <w:sz w:val="8"/>
                <w:szCs w:val="8"/>
                <w:color w:val="auto"/>
              </w:rPr>
            </w:pPr>
          </w:p>
        </w:tc>
        <w:tc>
          <w:tcPr>
            <w:tcW w:w="820" w:type="dxa"/>
            <w:vAlign w:val="bottom"/>
            <w:gridSpan w:val="2"/>
          </w:tcPr>
          <w:p>
            <w:pPr>
              <w:jc w:val="center"/>
              <w:ind w:left="255"/>
              <w:spacing w:after="0" w:line="96" w:lineRule="exact"/>
              <w:rPr>
                <w:sz w:val="20"/>
                <w:szCs w:val="20"/>
                <w:color w:val="auto"/>
              </w:rPr>
            </w:pPr>
            <w:r>
              <w:rPr>
                <w:rFonts w:ascii="Arial" w:cs="Arial" w:eastAsia="Arial" w:hAnsi="Arial"/>
                <w:sz w:val="9"/>
                <w:szCs w:val="9"/>
                <w:color w:val="auto"/>
                <w:w w:val="99"/>
              </w:rPr>
              <w:t>*nm</w:t>
            </w:r>
          </w:p>
        </w:tc>
        <w:tc>
          <w:tcPr>
            <w:tcW w:w="140" w:type="dxa"/>
            <w:vAlign w:val="bottom"/>
          </w:tcPr>
          <w:p>
            <w:pPr>
              <w:spacing w:after="0"/>
              <w:rPr>
                <w:sz w:val="8"/>
                <w:szCs w:val="8"/>
                <w:color w:val="auto"/>
              </w:rPr>
            </w:pPr>
          </w:p>
        </w:tc>
        <w:tc>
          <w:tcPr>
            <w:tcW w:w="440" w:type="dxa"/>
            <w:vAlign w:val="bottom"/>
          </w:tcPr>
          <w:p>
            <w:pPr>
              <w:jc w:val="right"/>
              <w:spacing w:after="0" w:line="96" w:lineRule="exact"/>
              <w:rPr>
                <w:sz w:val="20"/>
                <w:szCs w:val="20"/>
                <w:color w:val="auto"/>
              </w:rPr>
            </w:pPr>
            <w:r>
              <w:rPr>
                <w:rFonts w:ascii="Arial" w:cs="Arial" w:eastAsia="Arial" w:hAnsi="Arial"/>
                <w:sz w:val="9"/>
                <w:szCs w:val="9"/>
                <w:color w:val="auto"/>
              </w:rPr>
              <w:t>677</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jc w:val="right"/>
              <w:spacing w:after="0" w:line="96" w:lineRule="exact"/>
              <w:rPr>
                <w:sz w:val="20"/>
                <w:szCs w:val="20"/>
                <w:color w:val="auto"/>
              </w:rPr>
            </w:pPr>
            <w:r>
              <w:rPr>
                <w:rFonts w:ascii="Arial" w:cs="Arial" w:eastAsia="Arial" w:hAnsi="Arial"/>
                <w:sz w:val="9"/>
                <w:szCs w:val="9"/>
                <w:color w:val="auto"/>
              </w:rPr>
              <w:t>2,506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200"/>
              <w:spacing w:after="0" w:line="96" w:lineRule="exact"/>
              <w:rPr>
                <w:sz w:val="20"/>
                <w:szCs w:val="20"/>
                <w:color w:val="auto"/>
              </w:rPr>
            </w:pPr>
            <w:r>
              <w:rPr>
                <w:rFonts w:ascii="Arial" w:cs="Arial" w:eastAsia="Arial" w:hAnsi="Arial"/>
                <w:sz w:val="9"/>
                <w:szCs w:val="9"/>
                <w:color w:val="auto"/>
              </w:rPr>
              <w:t>(1,829)</w:t>
            </w:r>
          </w:p>
        </w:tc>
        <w:tc>
          <w:tcPr>
            <w:tcW w:w="840" w:type="dxa"/>
            <w:vAlign w:val="bottom"/>
            <w:gridSpan w:val="2"/>
          </w:tcPr>
          <w:p>
            <w:pPr>
              <w:jc w:val="right"/>
              <w:ind w:right="72"/>
              <w:spacing w:after="0" w:line="96"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86"/>
        </w:trPr>
        <w:tc>
          <w:tcPr>
            <w:tcW w:w="2220" w:type="dxa"/>
            <w:vAlign w:val="bottom"/>
            <w:tcBorders>
              <w:top w:val="single" w:sz="8" w:color="CCEEFF"/>
            </w:tcBorders>
            <w:shd w:val="clear" w:color="auto" w:fill="CCEEFF"/>
          </w:tcPr>
          <w:p>
            <w:pPr>
              <w:spacing w:after="0" w:line="86" w:lineRule="exact"/>
              <w:rPr>
                <w:sz w:val="20"/>
                <w:szCs w:val="20"/>
                <w:color w:val="auto"/>
              </w:rPr>
            </w:pPr>
            <w:r>
              <w:rPr>
                <w:rFonts w:ascii="Arial" w:cs="Arial" w:eastAsia="Arial" w:hAnsi="Arial"/>
                <w:sz w:val="9"/>
                <w:szCs w:val="9"/>
                <w:color w:val="auto"/>
              </w:rPr>
              <w:t>Total</w:t>
            </w:r>
          </w:p>
        </w:tc>
        <w:tc>
          <w:tcPr>
            <w:tcW w:w="180" w:type="dxa"/>
            <w:vAlign w:val="bottom"/>
            <w:tcBorders>
              <w:top w:val="single" w:sz="8" w:color="auto"/>
              <w:bottom w:val="single" w:sz="8" w:color="auto"/>
            </w:tcBorders>
            <w:gridSpan w:val="2"/>
            <w:shd w:val="clear" w:color="auto" w:fill="CCEEFF"/>
          </w:tcPr>
          <w:p>
            <w:pPr>
              <w:jc w:val="right"/>
              <w:ind w:right="120"/>
              <w:spacing w:after="0" w:line="86" w:lineRule="exact"/>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366,200</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3,257</w:t>
            </w: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4"/>
                <w:szCs w:val="4"/>
                <w:color w:val="auto"/>
                <w:w w:val="87"/>
              </w:rPr>
              <w:t>$</w:t>
            </w:r>
          </w:p>
        </w:tc>
        <w:tc>
          <w:tcPr>
            <w:tcW w:w="62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362,943</w:t>
            </w:r>
          </w:p>
        </w:tc>
        <w:tc>
          <w:tcPr>
            <w:tcW w:w="20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gridSpan w:val="2"/>
            <w:shd w:val="clear" w:color="auto" w:fill="CCEEFF"/>
          </w:tcPr>
          <w:p>
            <w:pPr>
              <w:jc w:val="center"/>
              <w:ind w:left="255"/>
              <w:spacing w:after="0" w:line="86" w:lineRule="exact"/>
              <w:rPr>
                <w:sz w:val="20"/>
                <w:szCs w:val="20"/>
                <w:color w:val="auto"/>
              </w:rPr>
            </w:pPr>
            <w:r>
              <w:rPr>
                <w:rFonts w:ascii="Arial" w:cs="Arial" w:eastAsia="Arial" w:hAnsi="Arial"/>
                <w:sz w:val="9"/>
                <w:szCs w:val="9"/>
                <w:color w:val="auto"/>
                <w:w w:val="99"/>
              </w:rPr>
              <w:t>*nm</w:t>
            </w:r>
          </w:p>
        </w:tc>
        <w:tc>
          <w:tcPr>
            <w:tcW w:w="140" w:type="dxa"/>
            <w:vAlign w:val="bottom"/>
            <w:tcBorders>
              <w:top w:val="single" w:sz="8" w:color="auto"/>
              <w:bottom w:val="single" w:sz="8" w:color="auto"/>
            </w:tcBorders>
            <w:shd w:val="clear" w:color="auto" w:fill="CCEEFF"/>
          </w:tcPr>
          <w:p>
            <w:pPr>
              <w:jc w:val="right"/>
              <w:ind w:right="35"/>
              <w:spacing w:after="0" w:line="86"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4,614</w:t>
            </w: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jc w:val="right"/>
              <w:ind w:right="95"/>
              <w:spacing w:after="0" w:line="86" w:lineRule="exact"/>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7,719</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560" w:type="dxa"/>
            <w:vAlign w:val="bottom"/>
            <w:tcBorders>
              <w:top w:val="single" w:sz="8" w:color="auto"/>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(3,105)</w:t>
            </w:r>
          </w:p>
        </w:tc>
        <w:tc>
          <w:tcPr>
            <w:tcW w:w="200" w:type="dxa"/>
            <w:vAlign w:val="bottom"/>
            <w:tcBorders>
              <w:top w:val="single" w:sz="8" w:color="CCEEFF"/>
            </w:tcBorders>
            <w:shd w:val="clear" w:color="auto" w:fill="CCEEFF"/>
          </w:tcPr>
          <w:p>
            <w:pPr>
              <w:spacing w:after="0"/>
              <w:rPr>
                <w:sz w:val="7"/>
                <w:szCs w:val="7"/>
                <w:color w:val="auto"/>
              </w:rPr>
            </w:pPr>
          </w:p>
        </w:tc>
        <w:tc>
          <w:tcPr>
            <w:tcW w:w="840" w:type="dxa"/>
            <w:vAlign w:val="bottom"/>
            <w:tcBorders>
              <w:top w:val="single" w:sz="8" w:color="CCEEFF"/>
            </w:tcBorders>
            <w:gridSpan w:val="2"/>
            <w:shd w:val="clear" w:color="auto" w:fill="CCEEFF"/>
          </w:tcPr>
          <w:p>
            <w:pPr>
              <w:jc w:val="right"/>
              <w:ind w:right="72"/>
              <w:spacing w:after="0" w:line="86" w:lineRule="exact"/>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67"/>
        </w:trPr>
        <w:tc>
          <w:tcPr>
            <w:tcW w:w="22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*nm — not meaningful</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i w:val="1"/>
          <w:iCs w:val="1"/>
          <w:color w:val="auto"/>
        </w:rPr>
        <w:t>Revenue</w:t>
      </w:r>
    </w:p>
    <w:p>
      <w:pPr>
        <w:spacing w:after="0" w:line="158" w:lineRule="exact"/>
        <w:rPr>
          <w:sz w:val="20"/>
          <w:szCs w:val="20"/>
          <w:color w:val="auto"/>
        </w:rPr>
      </w:pPr>
    </w:p>
    <w:p>
      <w:pPr>
        <w:ind w:left="20" w:right="399" w:firstLine="256"/>
        <w:spacing w:after="0" w:line="267" w:lineRule="auto"/>
        <w:rPr>
          <w:sz w:val="20"/>
          <w:szCs w:val="20"/>
          <w:color w:val="auto"/>
        </w:rPr>
      </w:pPr>
      <w:r>
        <w:rPr>
          <w:rFonts w:ascii="Arial" w:cs="Arial" w:eastAsia="Arial" w:hAnsi="Arial"/>
          <w:sz w:val="13"/>
          <w:szCs w:val="13"/>
          <w:color w:val="auto"/>
        </w:rPr>
        <w:t>Revenue increased by $0.4 million, or over 100%, for the nine months ended September 30, 2021 as compared to the same period in the prior year. The increase is attributable to an increase in sales of our battery pack systems and supplies for vehicles.</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Revenue decreased by $0.6 million, or (13)%, for 2020 compared to 2019 attributable to a decrease in sales of our battery pack systems and supplies for vehicles.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Cost of Revenue</w:t>
      </w:r>
    </w:p>
    <w:p>
      <w:pPr>
        <w:spacing w:after="0" w:line="158" w:lineRule="exact"/>
        <w:rPr>
          <w:sz w:val="20"/>
          <w:szCs w:val="20"/>
          <w:color w:val="auto"/>
        </w:rPr>
      </w:pPr>
    </w:p>
    <w:p>
      <w:pPr>
        <w:ind w:left="20" w:right="39" w:firstLine="256"/>
        <w:spacing w:after="0" w:line="257" w:lineRule="auto"/>
        <w:rPr>
          <w:sz w:val="20"/>
          <w:szCs w:val="20"/>
          <w:color w:val="auto"/>
        </w:rPr>
      </w:pPr>
      <w:r>
        <w:rPr>
          <w:rFonts w:ascii="Arial" w:cs="Arial" w:eastAsia="Arial" w:hAnsi="Arial"/>
          <w:sz w:val="13"/>
          <w:szCs w:val="13"/>
          <w:color w:val="auto"/>
        </w:rPr>
        <w:t>Cost of revenue increased by $2.9 million, or over 100%, for the nine months ended September 30, 2021 as compared to the same period in the prior year. The increase was due to cost incurred during the early stage of production that began during the quarter. Gross loss increased by $2.5 million, or over 100%, and gross margin decreased by over 100% primarily due to an increase in cost of revenue for the nine months period.</w:t>
      </w:r>
    </w:p>
    <w:p>
      <w:pPr>
        <w:spacing w:after="0" w:line="135" w:lineRule="exact"/>
        <w:rPr>
          <w:sz w:val="20"/>
          <w:szCs w:val="20"/>
          <w:color w:val="auto"/>
        </w:rPr>
      </w:pPr>
    </w:p>
    <w:p>
      <w:pPr>
        <w:jc w:val="both"/>
        <w:ind w:left="20" w:right="319" w:firstLine="256"/>
        <w:spacing w:after="0" w:line="288" w:lineRule="auto"/>
        <w:rPr>
          <w:sz w:val="20"/>
          <w:szCs w:val="20"/>
          <w:color w:val="auto"/>
        </w:rPr>
      </w:pPr>
      <w:r>
        <w:rPr>
          <w:rFonts w:ascii="Arial" w:cs="Arial" w:eastAsia="Arial" w:hAnsi="Arial"/>
          <w:sz w:val="12"/>
          <w:szCs w:val="12"/>
          <w:color w:val="auto"/>
        </w:rPr>
        <w:t>Cost of revenue decreased by $0.9 million, or (22)%, for 2020 compared to 2019 primarily due to the reduction of sales of our battery pack systems and supplies for vehicles of $0.6 million and a reduction of our stock-based compensation expense of $0.2 million. Gross profit and gross margin increased by $0.2 million, or 36%, and 8 percentage points, respectively, for 2020 compared to 2019 primarily due to a decrease in stock-based compensation.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Research and Development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1"/>
          <w:szCs w:val="11"/>
          <w:color w:val="auto"/>
        </w:rPr>
        <w:t>Research and development expense increased by $245.0 million, or 72%, for the nine months ended September 30, 2021 as compared to the same period in the prior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year. The increase was primarily attributable to increases in personnel-related expenses of $194.4 due to growth in headcount and stock-based compensation expense of</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$83.8 million recognized in relation to the RSUs and the fourth closing of the Legacy Lucid Series E preferred stock issuance. Additionally, we incurred increases in office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and rent expense of $21.5 million and other allocated overhead expenses of $18.3 million primarily related to additional facilities needed to scale our business.</w:t>
      </w:r>
    </w:p>
    <w:p>
      <w:pPr>
        <w:spacing w:after="0" w:line="161" w:lineRule="exact"/>
        <w:rPr>
          <w:sz w:val="20"/>
          <w:szCs w:val="20"/>
          <w:color w:val="auto"/>
        </w:rPr>
      </w:pPr>
    </w:p>
    <w:p>
      <w:pPr>
        <w:ind w:left="20" w:right="139" w:firstLine="256"/>
        <w:spacing w:after="0" w:line="251" w:lineRule="auto"/>
        <w:rPr>
          <w:sz w:val="20"/>
          <w:szCs w:val="20"/>
          <w:color w:val="auto"/>
        </w:rPr>
      </w:pPr>
      <w:r>
        <w:rPr>
          <w:rFonts w:ascii="Arial" w:cs="Arial" w:eastAsia="Arial" w:hAnsi="Arial"/>
          <w:sz w:val="13"/>
          <w:szCs w:val="13"/>
          <w:color w:val="auto"/>
        </w:rPr>
        <w:t>Research and development expense increased by $290.9 million, or 132%, for 2020 compared to 2019. The increase was primarily attributable to increases in materials and supplies expense of $163.5 million, personnel-related expenses of $68.4 million due to growth in headcount, professional services fees of $31.9 million, allocated facilities costs of $23.1 million, and other engineering, designing, and testing expenses of $4.1 million. The increase in the allocated facilities costs was primarily due to our overall corporate growth and was attributable to increases in our allocated office and rent expense of $15.8 million, depreciation expense of $3.8 million, and other allocated overhead costs of $3.5 million.</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Selling, General, and Administrative</w:t>
      </w:r>
    </w:p>
    <w:p>
      <w:pPr>
        <w:spacing w:after="0" w:line="158" w:lineRule="exact"/>
        <w:rPr>
          <w:sz w:val="20"/>
          <w:szCs w:val="20"/>
          <w:color w:val="auto"/>
        </w:rPr>
      </w:pPr>
    </w:p>
    <w:p>
      <w:pPr>
        <w:ind w:left="20" w:right="99" w:firstLine="256"/>
        <w:spacing w:after="0" w:line="250" w:lineRule="auto"/>
        <w:rPr>
          <w:sz w:val="20"/>
          <w:szCs w:val="20"/>
          <w:color w:val="auto"/>
        </w:rPr>
      </w:pPr>
      <w:r>
        <w:rPr>
          <w:rFonts w:ascii="Arial" w:cs="Arial" w:eastAsia="Arial" w:hAnsi="Arial"/>
          <w:sz w:val="13"/>
          <w:szCs w:val="13"/>
          <w:color w:val="auto"/>
        </w:rPr>
        <w:t>Selling, general, and administrative expense increased by $397.8 million, or over 100%, for the nine months ended September 30, 2021 as compared to the same period in the prior year. The increase was primarily attributable to increases in stock-based compensation expense of $279.1 million related to RSUs and the fourth closing of the Legacy Lucid Series E preferred stock issuance. The increase was also attributable to personnel-related expenses of $59.1 million due to growth in headcount and other compensation related charges as we grew our sales force and expanded general and administrative functions needed to scale our business. Additionally, we incurred increases in other allocated overhead costs of $23.7 million primarily related to additional facilities to support the growing operations of our business and increases in professional service fees of $16.4 million.</w:t>
      </w:r>
    </w:p>
    <w:p>
      <w:pPr>
        <w:spacing w:after="0" w:line="142" w:lineRule="exact"/>
        <w:rPr>
          <w:sz w:val="20"/>
          <w:szCs w:val="20"/>
          <w:color w:val="auto"/>
        </w:rPr>
      </w:pPr>
    </w:p>
    <w:p>
      <w:pPr>
        <w:jc w:val="center"/>
        <w:ind w:left="20" w:right="39"/>
        <w:spacing w:after="0" w:line="359" w:lineRule="auto"/>
        <w:rPr>
          <w:sz w:val="20"/>
          <w:szCs w:val="20"/>
          <w:color w:val="auto"/>
        </w:rPr>
      </w:pPr>
      <w:r>
        <w:rPr>
          <w:rFonts w:ascii="Arial" w:cs="Arial" w:eastAsia="Arial" w:hAnsi="Arial"/>
          <w:sz w:val="11"/>
          <w:szCs w:val="11"/>
          <w:color w:val="auto"/>
        </w:rPr>
        <w:t>Selling, general, and administrative expense increased by $50.6 million, or 132%, for 2020 compared to 2019. The increase was primarily attributable to increases in personnel-related expenses of $28.6 million due to growth in headcount, allocated facilities costs of $12.5 million, professional services fees of $5.4 million, and other general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5" w:name="page16"/>
    <w:bookmarkEnd w:id="15"/>
    <w:p>
      <w:pPr>
        <w:ind w:left="20" w:right="299"/>
        <w:spacing w:after="0" w:line="309" w:lineRule="auto"/>
        <w:rPr>
          <w:sz w:val="20"/>
          <w:szCs w:val="20"/>
          <w:color w:val="auto"/>
        </w:rPr>
      </w:pPr>
      <w:r>
        <w:rPr>
          <w:rFonts w:ascii="Arial" w:cs="Arial" w:eastAsia="Arial" w:hAnsi="Arial"/>
          <w:sz w:val="12"/>
          <w:szCs w:val="12"/>
          <w:color w:val="auto"/>
        </w:rPr>
        <w:t>corporate expenses of $4.1 million. The increase in the allocated facilities costs was primarily due to our overall corporate growth and was attributable to increases in our allocated office and rent expense of $7.8 million, depreciation expense of $2.4 million, and other allocated overhead costs of $2.3 million.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Contingent Forward Contracts</w:t>
      </w:r>
    </w:p>
    <w:p>
      <w:pPr>
        <w:spacing w:after="0" w:line="158" w:lineRule="exact"/>
        <w:rPr>
          <w:sz w:val="20"/>
          <w:szCs w:val="20"/>
          <w:color w:val="auto"/>
        </w:rPr>
      </w:pPr>
    </w:p>
    <w:p>
      <w:pPr>
        <w:ind w:left="20" w:right="219" w:firstLine="256"/>
        <w:spacing w:after="0" w:line="257" w:lineRule="auto"/>
        <w:rPr>
          <w:sz w:val="20"/>
          <w:szCs w:val="20"/>
          <w:color w:val="auto"/>
        </w:rPr>
      </w:pPr>
      <w:r>
        <w:rPr>
          <w:rFonts w:ascii="Arial" w:cs="Arial" w:eastAsia="Arial" w:hAnsi="Arial"/>
          <w:sz w:val="13"/>
          <w:szCs w:val="13"/>
          <w:color w:val="auto"/>
        </w:rPr>
        <w:t>Change in contingent forward contracts liability increased by $445.8 million, or over 100%, for the nine months ended September 30, 2021 as compared to the same period in the prior year primarily due to the change in fair value of the Legacy Lucid Series E contingent forward contracts. The Legacy Lucid Series E contingent forward contracts were settled during the six months ended June 30, 2021.</w:t>
      </w:r>
    </w:p>
    <w:p>
      <w:pPr>
        <w:spacing w:after="0" w:line="135" w:lineRule="exact"/>
        <w:rPr>
          <w:sz w:val="20"/>
          <w:szCs w:val="20"/>
          <w:color w:val="auto"/>
        </w:rPr>
      </w:pPr>
    </w:p>
    <w:p>
      <w:pPr>
        <w:ind w:left="20" w:right="59" w:firstLine="256"/>
        <w:spacing w:after="0" w:line="267" w:lineRule="auto"/>
        <w:rPr>
          <w:sz w:val="20"/>
          <w:szCs w:val="20"/>
          <w:color w:val="auto"/>
        </w:rPr>
      </w:pPr>
      <w:r>
        <w:rPr>
          <w:rFonts w:ascii="Arial" w:cs="Arial" w:eastAsia="Arial" w:hAnsi="Arial"/>
          <w:sz w:val="13"/>
          <w:szCs w:val="13"/>
          <w:color w:val="auto"/>
        </w:rPr>
        <w:t>We settled all of our then existing contingent forward contracts related to Legacy Lucid Series D Preferred Stock and Legacy Lucid Series E Preferred Stock in 2020. We recorded losses of $118.4 million in 2020 due to the changes in fair value of the contingent forward contracts upon the final settlement.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Convertible Preferred Stock Warrant Liability</w:t>
      </w:r>
    </w:p>
    <w:p>
      <w:pPr>
        <w:spacing w:after="0" w:line="158" w:lineRule="exact"/>
        <w:rPr>
          <w:sz w:val="20"/>
          <w:szCs w:val="20"/>
          <w:color w:val="auto"/>
        </w:rPr>
      </w:pPr>
    </w:p>
    <w:p>
      <w:pPr>
        <w:ind w:left="20" w:right="399" w:firstLine="256"/>
        <w:spacing w:after="0" w:line="359" w:lineRule="auto"/>
        <w:rPr>
          <w:sz w:val="20"/>
          <w:szCs w:val="20"/>
          <w:color w:val="auto"/>
        </w:rPr>
      </w:pPr>
      <w:r>
        <w:rPr>
          <w:rFonts w:ascii="Arial" w:cs="Arial" w:eastAsia="Arial" w:hAnsi="Arial"/>
          <w:sz w:val="11"/>
          <w:szCs w:val="11"/>
          <w:color w:val="auto"/>
        </w:rPr>
        <w:t>We recorded loss of $7.0 million for the nine months ended September 30, 2021 due to the changes in fair value of the convertible preferred share warrant liability related to Legacy Lucid Series D preferred shares upon the exercise and settlement of all outstanding warrants to purchase Legacy Lucid Series D preferred shares.</w:t>
      </w:r>
    </w:p>
    <w:p>
      <w:pPr>
        <w:spacing w:after="0" w:line="83" w:lineRule="exact"/>
        <w:rPr>
          <w:sz w:val="20"/>
          <w:szCs w:val="20"/>
          <w:color w:val="auto"/>
        </w:rPr>
      </w:pPr>
    </w:p>
    <w:p>
      <w:pPr>
        <w:ind w:left="20" w:right="299" w:firstLine="256"/>
        <w:spacing w:after="0" w:line="267" w:lineRule="auto"/>
        <w:rPr>
          <w:sz w:val="20"/>
          <w:szCs w:val="20"/>
          <w:color w:val="auto"/>
        </w:rPr>
      </w:pPr>
      <w:r>
        <w:rPr>
          <w:rFonts w:ascii="Arial" w:cs="Arial" w:eastAsia="Arial" w:hAnsi="Arial"/>
          <w:sz w:val="13"/>
          <w:szCs w:val="13"/>
          <w:color w:val="auto"/>
        </w:rPr>
        <w:t>We recorded losses of $1.2 million in 2020 due to the changes in fair value of the convertible preferred shares warrant liability related to an increase in the fair value related to the outstanding convertible preferred share warrants.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Change in Fair Value of Common Stock Warrant Liability</w:t>
      </w:r>
    </w:p>
    <w:p>
      <w:pPr>
        <w:spacing w:after="0" w:line="158" w:lineRule="exact"/>
        <w:rPr>
          <w:sz w:val="20"/>
          <w:szCs w:val="20"/>
          <w:color w:val="auto"/>
        </w:rPr>
      </w:pPr>
    </w:p>
    <w:p>
      <w:pPr>
        <w:ind w:left="20" w:right="59" w:firstLine="256"/>
        <w:spacing w:after="0" w:line="250" w:lineRule="auto"/>
        <w:rPr>
          <w:sz w:val="20"/>
          <w:szCs w:val="20"/>
          <w:color w:val="auto"/>
        </w:rPr>
      </w:pPr>
      <w:r>
        <w:rPr>
          <w:rFonts w:ascii="Arial" w:cs="Arial" w:eastAsia="Arial" w:hAnsi="Arial"/>
          <w:sz w:val="13"/>
          <w:szCs w:val="13"/>
          <w:color w:val="auto"/>
        </w:rPr>
        <w:t>On July 23, 2021, in connection with the reverse recapitalization treatment of the Merger, Lucid Group effectively issued 44,350,000 private warrants to purchase shares of Lucid Group’s common stock. The private warrants were initially recognized as a liability on July 23, 2021, at a fair value of $812.0 million. The private warrants remained unexercised as of September 30, 2021 and the liability was remeasured to fair value as of September 30, 2021, resulting in a loss of $24.8 million for the three and nine months ended September 30, 2021, classified within change in fair value of common stock warrant liabilities in the condensed consolidated statements of operations. See Note 8 — Common Stock Warrant Liability in our unaudited interim condensed consolidated financial statements included elsewhere in this offering memorandum for more information.</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expense did not significantly fluctuate during the three and nine months ended September 30, 2021 as compared to the same period in the prior year.</w:t>
      </w:r>
    </w:p>
    <w:p>
      <w:pPr>
        <w:spacing w:after="0" w:line="170" w:lineRule="exact"/>
        <w:rPr>
          <w:sz w:val="20"/>
          <w:szCs w:val="20"/>
          <w:color w:val="auto"/>
        </w:rPr>
      </w:pPr>
    </w:p>
    <w:p>
      <w:pPr>
        <w:ind w:left="20" w:right="359" w:firstLine="256"/>
        <w:spacing w:after="0" w:line="267" w:lineRule="auto"/>
        <w:rPr>
          <w:sz w:val="20"/>
          <w:szCs w:val="20"/>
          <w:color w:val="auto"/>
        </w:rPr>
      </w:pPr>
      <w:r>
        <w:rPr>
          <w:rFonts w:ascii="Arial" w:cs="Arial" w:eastAsia="Arial" w:hAnsi="Arial"/>
          <w:sz w:val="13"/>
          <w:szCs w:val="13"/>
          <w:color w:val="auto"/>
        </w:rPr>
        <w:t>Interest expense decreased by $8.5 million, or (99)%, for 2020 compared to 2019 primarily attributable to the conversion of our convertible notes related to Legacy Lucid Series D Preferred Stock into stock in April 2019.</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Other expense did not significantly fluctuate during the three and nine months ended September 30, 2021 as compared to the same period in the prior year.</w:t>
      </w:r>
    </w:p>
    <w:p>
      <w:pPr>
        <w:spacing w:after="0" w:line="170" w:lineRule="exact"/>
        <w:rPr>
          <w:sz w:val="20"/>
          <w:szCs w:val="20"/>
          <w:color w:val="auto"/>
        </w:rPr>
      </w:pPr>
    </w:p>
    <w:p>
      <w:pPr>
        <w:ind w:left="20" w:right="619" w:firstLine="256"/>
        <w:spacing w:after="0" w:line="267" w:lineRule="auto"/>
        <w:rPr>
          <w:sz w:val="20"/>
          <w:szCs w:val="20"/>
          <w:color w:val="auto"/>
        </w:rPr>
      </w:pPr>
      <w:r>
        <w:rPr>
          <w:rFonts w:ascii="Arial" w:cs="Arial" w:eastAsia="Arial" w:hAnsi="Arial"/>
          <w:sz w:val="13"/>
          <w:szCs w:val="13"/>
          <w:color w:val="auto"/>
        </w:rPr>
        <w:t>Other income (expense), net decreased by $5.3 million, or (115)%, for 2020 compared to 2019 primarily attributable to foreign currency losses on transactions denominated in currencies other than the U.S. dollar, predominately the Euro, the Japanese Yen and the Korean Won.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6" w:name="page17"/>
    <w:bookmarkEnd w:id="16"/>
    <w:p>
      <w:pPr>
        <w:ind w:left="20"/>
        <w:spacing w:after="0"/>
        <w:rPr>
          <w:sz w:val="20"/>
          <w:szCs w:val="20"/>
          <w:color w:val="auto"/>
        </w:rPr>
      </w:pPr>
      <w:r>
        <w:rPr>
          <w:rFonts w:ascii="Arial" w:cs="Arial" w:eastAsia="Arial" w:hAnsi="Arial"/>
          <w:sz w:val="13"/>
          <w:szCs w:val="13"/>
          <w:b w:val="1"/>
          <w:bCs w:val="1"/>
          <w:i w:val="1"/>
          <w:iCs w:val="1"/>
          <w:color w:val="auto"/>
        </w:rPr>
        <w:t>Provision for (Benefit from) Income Taxes</w:t>
      </w:r>
    </w:p>
    <w:p>
      <w:pPr>
        <w:spacing w:after="0" w:line="158" w:lineRule="exact"/>
        <w:rPr>
          <w:sz w:val="20"/>
          <w:szCs w:val="20"/>
          <w:color w:val="auto"/>
        </w:rPr>
      </w:pPr>
    </w:p>
    <w:p>
      <w:pPr>
        <w:ind w:left="20" w:right="59" w:firstLine="256"/>
        <w:spacing w:after="0" w:line="267" w:lineRule="auto"/>
        <w:rPr>
          <w:sz w:val="20"/>
          <w:szCs w:val="20"/>
          <w:color w:val="auto"/>
        </w:rPr>
      </w:pPr>
      <w:r>
        <w:rPr>
          <w:rFonts w:ascii="Arial" w:cs="Arial" w:eastAsia="Arial" w:hAnsi="Arial"/>
          <w:sz w:val="13"/>
          <w:szCs w:val="13"/>
          <w:color w:val="auto"/>
        </w:rPr>
        <w:t>The provision for (benefit from) income taxes did not significantly fluctuate during the three and nine months ended September 30, 2021 as compared to the same period in the prior year.</w:t>
      </w:r>
    </w:p>
    <w:p>
      <w:pPr>
        <w:spacing w:after="0" w:line="129" w:lineRule="exact"/>
        <w:rPr>
          <w:sz w:val="20"/>
          <w:szCs w:val="20"/>
          <w:color w:val="auto"/>
        </w:rPr>
      </w:pPr>
    </w:p>
    <w:p>
      <w:pPr>
        <w:ind w:left="20" w:right="159" w:firstLine="256"/>
        <w:spacing w:after="0" w:line="288" w:lineRule="auto"/>
        <w:rPr>
          <w:sz w:val="20"/>
          <w:szCs w:val="20"/>
          <w:color w:val="auto"/>
        </w:rPr>
      </w:pPr>
      <w:r>
        <w:rPr>
          <w:rFonts w:ascii="Arial" w:cs="Arial" w:eastAsia="Arial" w:hAnsi="Arial"/>
          <w:sz w:val="12"/>
          <w:szCs w:val="12"/>
          <w:color w:val="auto"/>
        </w:rPr>
        <w:t>Provision (benefit) for income taxes was immaterial for the year ended December 31, 2020 and 2019. We have accumulated net operating losses at the federal and state level as we have not yet started the commercialization of our electric vehicles. We maintain a full valuation allowance against our net deferred tax assets. The income tax benefits shown above are primarily related to sales of our battery pack systems, supplies and related services for vehicles.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Liquidity and Capital Resources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158" w:lineRule="exact"/>
        <w:rPr>
          <w:sz w:val="20"/>
          <w:szCs w:val="20"/>
          <w:color w:val="auto"/>
        </w:rPr>
      </w:pPr>
    </w:p>
    <w:p>
      <w:pPr>
        <w:ind w:left="20" w:right="99" w:firstLine="256"/>
        <w:spacing w:after="0" w:line="267" w:lineRule="auto"/>
        <w:rPr>
          <w:sz w:val="20"/>
          <w:szCs w:val="20"/>
          <w:color w:val="auto"/>
        </w:rPr>
      </w:pPr>
      <w:r>
        <w:rPr>
          <w:rFonts w:ascii="Arial" w:cs="Arial" w:eastAsia="Arial" w:hAnsi="Arial"/>
          <w:sz w:val="13"/>
          <w:szCs w:val="13"/>
          <w:color w:val="auto"/>
        </w:rPr>
        <w:t>Since inception, we have financed our operations primarily from the issuances of equity securities, including convertible preferred stock and the proceeds of the Merger, and convertible notes. As of September 30, 2021, we had $4.8 billion of cash and cash equivalents and short-term investments.</w:t>
      </w:r>
    </w:p>
    <w:p>
      <w:pPr>
        <w:spacing w:after="0" w:line="129" w:lineRule="exact"/>
        <w:rPr>
          <w:sz w:val="20"/>
          <w:szCs w:val="20"/>
          <w:color w:val="auto"/>
        </w:rPr>
      </w:pPr>
    </w:p>
    <w:p>
      <w:pPr>
        <w:ind w:left="20" w:right="79" w:firstLine="256"/>
        <w:spacing w:after="0" w:line="270" w:lineRule="auto"/>
        <w:rPr>
          <w:sz w:val="20"/>
          <w:szCs w:val="20"/>
          <w:color w:val="auto"/>
        </w:rPr>
      </w:pPr>
      <w:r>
        <w:rPr>
          <w:rFonts w:ascii="Arial" w:cs="Arial" w:eastAsia="Arial" w:hAnsi="Arial"/>
          <w:sz w:val="12"/>
          <w:szCs w:val="12"/>
          <w:color w:val="auto"/>
        </w:rPr>
        <w:t>As an early stage growth company,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to continue spend on capital expenditures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below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Merger, including the proceeds from the PIPE Investment, will be sufficient to meet our capital expenditure and working capital requirements for a period of at least twelve months from the date of this offering memorandum.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31" w:lineRule="exact"/>
        <w:rPr>
          <w:sz w:val="20"/>
          <w:szCs w:val="20"/>
          <w:color w:val="auto"/>
        </w:rPr>
      </w:pPr>
    </w:p>
    <w:p>
      <w:pPr>
        <w:ind w:left="20" w:right="179" w:firstLine="256"/>
        <w:spacing w:after="0" w:line="288" w:lineRule="auto"/>
        <w:rPr>
          <w:sz w:val="20"/>
          <w:szCs w:val="20"/>
          <w:color w:val="auto"/>
        </w:rPr>
      </w:pPr>
      <w:r>
        <w:rPr>
          <w:rFonts w:ascii="Arial" w:cs="Arial" w:eastAsia="Arial" w:hAnsi="Arial"/>
          <w:sz w:val="12"/>
          <w:szCs w:val="12"/>
          <w:color w:val="auto"/>
        </w:rPr>
        <w:t>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7" w:name="page18"/>
    <w:bookmarkEnd w:id="17"/>
    <w:p>
      <w:pPr>
        <w:ind w:left="20"/>
        <w:spacing w:after="0"/>
        <w:rPr>
          <w:sz w:val="20"/>
          <w:szCs w:val="20"/>
          <w:color w:val="auto"/>
        </w:rPr>
      </w:pPr>
      <w:r>
        <w:rPr>
          <w:rFonts w:ascii="Arial" w:cs="Arial" w:eastAsia="Arial" w:hAnsi="Arial"/>
          <w:sz w:val="13"/>
          <w:szCs w:val="13"/>
          <w:b w:val="1"/>
          <w:bCs w:val="1"/>
          <w:color w:val="auto"/>
        </w:rPr>
        <w:t>Cash Flows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our cash flows for the periods presented (in thousands):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5"/>
          </w:tcPr>
          <w:p>
            <w:pPr>
              <w:ind w:left="320"/>
              <w:spacing w:after="0"/>
              <w:rPr>
                <w:sz w:val="20"/>
                <w:szCs w:val="20"/>
                <w:color w:val="auto"/>
              </w:rPr>
            </w:pPr>
            <w:r>
              <w:rPr>
                <w:rFonts w:ascii="Arial" w:cs="Arial" w:eastAsia="Arial" w:hAnsi="Arial"/>
                <w:sz w:val="10"/>
                <w:szCs w:val="10"/>
                <w:b w:val="1"/>
                <w:bCs w:val="1"/>
                <w:color w:val="auto"/>
              </w:rPr>
              <w:t>Nine Months Ended</w:t>
            </w:r>
          </w:p>
        </w:tc>
        <w:tc>
          <w:tcPr>
            <w:tcW w:w="20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Fiscal Years Ended</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49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w:t>
            </w:r>
          </w:p>
        </w:tc>
        <w:tc>
          <w:tcPr>
            <w:tcW w:w="6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49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1"/>
              <w:spacing w:after="0" w:line="95" w:lineRule="exact"/>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1"/>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59"/>
              <w:spacing w:after="0" w:line="9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CCEEFF"/>
            </w:tcBorders>
          </w:tcPr>
          <w:p>
            <w:pPr>
              <w:spacing w:after="0"/>
              <w:rPr>
                <w:sz w:val="8"/>
                <w:szCs w:val="8"/>
                <w:color w:val="auto"/>
              </w:rPr>
            </w:pPr>
          </w:p>
        </w:tc>
      </w:tr>
      <w:tr>
        <w:trPr>
          <w:trHeight w:val="143"/>
        </w:trPr>
        <w:tc>
          <w:tcPr>
            <w:tcW w:w="49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 used in operating activities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(745,401)</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(377,407)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(570,196)</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3"/>
              </w:rPr>
              <w:t>(235,299)</w:t>
            </w:r>
          </w:p>
        </w:tc>
        <w:tc>
          <w:tcPr>
            <w:tcW w:w="40" w:type="dxa"/>
            <w:vAlign w:val="bottom"/>
            <w:shd w:val="clear" w:color="auto" w:fill="CCEEFF"/>
          </w:tcPr>
          <w:p>
            <w:pPr>
              <w:spacing w:after="0"/>
              <w:rPr>
                <w:sz w:val="12"/>
                <w:szCs w:val="12"/>
                <w:color w:val="auto"/>
              </w:rPr>
            </w:pPr>
          </w:p>
        </w:tc>
      </w:tr>
      <w:tr>
        <w:trPr>
          <w:trHeight w:val="154"/>
        </w:trPr>
        <w:tc>
          <w:tcPr>
            <w:tcW w:w="4900" w:type="dxa"/>
            <w:vAlign w:val="bottom"/>
          </w:tcPr>
          <w:p>
            <w:pPr>
              <w:spacing w:after="0"/>
              <w:rPr>
                <w:sz w:val="20"/>
                <w:szCs w:val="20"/>
                <w:color w:val="auto"/>
              </w:rPr>
            </w:pPr>
            <w:r>
              <w:rPr>
                <w:rFonts w:ascii="Arial" w:cs="Arial" w:eastAsia="Arial" w:hAnsi="Arial"/>
                <w:sz w:val="13"/>
                <w:szCs w:val="13"/>
                <w:color w:val="auto"/>
              </w:rPr>
              <w:t>Cash used in operating activities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(299,294)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(355,860)</w:t>
            </w:r>
          </w:p>
        </w:tc>
        <w:tc>
          <w:tcPr>
            <w:tcW w:w="2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(459,582)</w:t>
            </w:r>
          </w:p>
        </w:tc>
        <w:tc>
          <w:tcPr>
            <w:tcW w:w="3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w w:val="93"/>
              </w:rPr>
              <w:t>(104,290)</w:t>
            </w:r>
          </w:p>
        </w:tc>
      </w:tr>
      <w:tr>
        <w:trPr>
          <w:trHeight w:val="154"/>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Cash provided by financing activities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5,236,843</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892,575</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1,290,545</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621,432</w:t>
            </w:r>
          </w:p>
        </w:tc>
        <w:tc>
          <w:tcPr>
            <w:tcW w:w="40" w:type="dxa"/>
            <w:vAlign w:val="bottom"/>
            <w:shd w:val="clear" w:color="auto" w:fill="CCEEFF"/>
          </w:tcPr>
          <w:p>
            <w:pPr>
              <w:spacing w:after="0"/>
              <w:rPr>
                <w:sz w:val="13"/>
                <w:szCs w:val="13"/>
                <w:color w:val="auto"/>
              </w:rPr>
            </w:pPr>
          </w:p>
        </w:tc>
      </w:tr>
      <w:tr>
        <w:trPr>
          <w:trHeight w:val="143"/>
        </w:trPr>
        <w:tc>
          <w:tcPr>
            <w:tcW w:w="4900" w:type="dxa"/>
            <w:vAlign w:val="bottom"/>
          </w:tcPr>
          <w:p>
            <w:pPr>
              <w:spacing w:after="0" w:line="143" w:lineRule="exact"/>
              <w:rPr>
                <w:sz w:val="20"/>
                <w:szCs w:val="20"/>
                <w:color w:val="auto"/>
              </w:rPr>
            </w:pPr>
            <w:r>
              <w:rPr>
                <w:rFonts w:ascii="Arial" w:cs="Arial" w:eastAsia="Arial" w:hAnsi="Arial"/>
                <w:sz w:val="13"/>
                <w:szCs w:val="13"/>
                <w:color w:val="auto"/>
              </w:rPr>
              <w:t>Net increase in cash, cash equivalents, and restricted cash</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4,192,148</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159,308</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260,767</w:t>
            </w:r>
          </w:p>
        </w:tc>
        <w:tc>
          <w:tcPr>
            <w:tcW w:w="18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281,843</w:t>
            </w:r>
          </w:p>
        </w:tc>
        <w:tc>
          <w:tcPr>
            <w:tcW w:w="40" w:type="dxa"/>
            <w:vAlign w:val="bottom"/>
          </w:tcPr>
          <w:p>
            <w:pPr>
              <w:spacing w:after="0"/>
              <w:rPr>
                <w:sz w:val="12"/>
                <w:szCs w:val="12"/>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Used in Operating Activities</w:t>
      </w:r>
    </w:p>
    <w:p>
      <w:pPr>
        <w:spacing w:after="0" w:line="158" w:lineRule="exact"/>
        <w:rPr>
          <w:sz w:val="20"/>
          <w:szCs w:val="20"/>
          <w:color w:val="auto"/>
        </w:rPr>
      </w:pPr>
    </w:p>
    <w:p>
      <w:pPr>
        <w:ind w:left="20" w:right="379" w:firstLine="256"/>
        <w:spacing w:after="0" w:line="257" w:lineRule="auto"/>
        <w:rPr>
          <w:sz w:val="20"/>
          <w:szCs w:val="20"/>
          <w:color w:val="auto"/>
        </w:rPr>
      </w:pPr>
      <w:r>
        <w:rPr>
          <w:rFonts w:ascii="Arial" w:cs="Arial" w:eastAsia="Arial" w:hAnsi="Arial"/>
          <w:sz w:val="13"/>
          <w:szCs w:val="13"/>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35" w:lineRule="exact"/>
        <w:rPr>
          <w:sz w:val="20"/>
          <w:szCs w:val="20"/>
          <w:color w:val="auto"/>
        </w:rPr>
      </w:pPr>
    </w:p>
    <w:p>
      <w:pPr>
        <w:ind w:left="20" w:right="259" w:firstLine="256"/>
        <w:spacing w:after="0" w:line="277" w:lineRule="auto"/>
        <w:rPr>
          <w:sz w:val="20"/>
          <w:szCs w:val="20"/>
          <w:color w:val="auto"/>
        </w:rPr>
      </w:pPr>
      <w:r>
        <w:rPr>
          <w:rFonts w:ascii="Arial" w:cs="Arial" w:eastAsia="Arial" w:hAnsi="Arial"/>
          <w:sz w:val="12"/>
          <w:szCs w:val="12"/>
          <w:color w:val="auto"/>
        </w:rPr>
        <w:t>Net cash used in operating activities of $745.4 million for the nine months ended September 30, 2021 primarily consisted of $1,534.1 million of net loss, adjusted for $895.0 million of non-cash charges and a decrease in net operating assets of $106.3 million. The non-cash charges primarily included losses for changes in fair value of contingent forward contracts and warrant liabilities of $486.3 million, stock-based compensation expense of $366.2 million, non-cash operating lease cost of $8.6 million, depreciation and amortization of property and equipment of $26.6 million and amortization of insurance premium of $7.2 million. The increase in net operating assets is primarily due to an increase in operating assets of $123.4 million offset by an increase in operating liabilities of $17.1 million.</w:t>
      </w:r>
    </w:p>
    <w:p>
      <w:pPr>
        <w:spacing w:after="0" w:line="126" w:lineRule="exact"/>
        <w:rPr>
          <w:sz w:val="20"/>
          <w:szCs w:val="20"/>
          <w:color w:val="auto"/>
        </w:rPr>
      </w:pPr>
    </w:p>
    <w:p>
      <w:pPr>
        <w:ind w:left="20" w:right="279" w:firstLine="256"/>
        <w:spacing w:after="0" w:line="314" w:lineRule="auto"/>
        <w:rPr>
          <w:sz w:val="20"/>
          <w:szCs w:val="20"/>
          <w:color w:val="auto"/>
        </w:rPr>
      </w:pPr>
      <w:r>
        <w:rPr>
          <w:rFonts w:ascii="Arial" w:cs="Arial" w:eastAsia="Arial" w:hAnsi="Arial"/>
          <w:sz w:val="11"/>
          <w:szCs w:val="11"/>
          <w:color w:val="auto"/>
        </w:rPr>
        <w:t>Net cash used in operating activities of $377.4 million for the nine months ended September 30, 2020 primarily consisted of $408.1 million of net loss, adjusted for $17.7 million of non-cash charges and an increase in net operating assets of $13.0 million. The non-cash charges primarily included the fair value of contingent forward contracts and warrant liabilities of $8.9 million, depreciation and amortization of $5.4 million, and stock-based compensation expense of $3.3 million. The increase in net operating assets and liabilities is primarily due to an increase in operating liabilities of $11.5 million and an increase in operating assets of $1.5 million.</w:t>
      </w:r>
    </w:p>
    <w:p>
      <w:pPr>
        <w:spacing w:after="0" w:line="1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cash used in operating activities of $570.2 million for the year ended December 31, 2020 primarily consisted of $719.4 million of net losses, adjusted for</w:t>
      </w:r>
    </w:p>
    <w:p>
      <w:pPr>
        <w:spacing w:after="0" w:line="24" w:lineRule="exact"/>
        <w:rPr>
          <w:sz w:val="20"/>
          <w:szCs w:val="20"/>
          <w:color w:val="auto"/>
        </w:rPr>
      </w:pPr>
    </w:p>
    <w:p>
      <w:pPr>
        <w:ind w:left="20" w:right="79"/>
        <w:spacing w:after="0" w:line="249" w:lineRule="auto"/>
        <w:rPr>
          <w:sz w:val="20"/>
          <w:szCs w:val="20"/>
          <w:color w:val="auto"/>
        </w:rPr>
      </w:pPr>
      <w:r>
        <w:rPr>
          <w:rFonts w:ascii="Arial" w:cs="Arial" w:eastAsia="Arial" w:hAnsi="Arial"/>
          <w:sz w:val="13"/>
          <w:szCs w:val="13"/>
          <w:color w:val="auto"/>
        </w:rPr>
        <w:t>$134.6 million of non-cash charges and a decrease in net operating assets and liabilities of $14.6 million. The non-cash charges primarily included the changes in stock-based compensation of $4.6 million, depreciation and amortization, including losses on disposals of property and equipment,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Net cash used in operating activities of $235.3 million for the year ended December 31, 2019 primarily consisted of $277.4 million of net losses, adjusted for</w:t>
      </w:r>
    </w:p>
    <w:p>
      <w:pPr>
        <w:spacing w:after="0" w:line="24" w:lineRule="exact"/>
        <w:rPr>
          <w:sz w:val="20"/>
          <w:szCs w:val="20"/>
          <w:color w:val="auto"/>
        </w:rPr>
      </w:pPr>
    </w:p>
    <w:p>
      <w:pPr>
        <w:ind w:left="20" w:right="79"/>
        <w:spacing w:after="0" w:line="249" w:lineRule="auto"/>
        <w:rPr>
          <w:sz w:val="20"/>
          <w:szCs w:val="20"/>
          <w:color w:val="auto"/>
        </w:rPr>
      </w:pPr>
      <w:r>
        <w:rPr>
          <w:rFonts w:ascii="Arial" w:cs="Arial" w:eastAsia="Arial" w:hAnsi="Arial"/>
          <w:sz w:val="13"/>
          <w:szCs w:val="13"/>
          <w:color w:val="auto"/>
        </w:rPr>
        <w:t>$30.5 million of non-cash charges and a decrease in net operating assets and liabilities of $11.6 million. The non-cash charges primarily included the changes in stock-based compensation of $7.7 million, depreciation and amortization, including loss on disposal of property and equipment and amortization of debt discount, of $7.3 million, and the fair value of contingent forward contracts and warrant liabilities of $15.5 million. The decrease in net operating assets and liabilities primarily relate to increases in operating assets of $25.7 million and increases in operating liabilities of $37.3 million.</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Used in Investing Activities</w:t>
      </w:r>
    </w:p>
    <w:p>
      <w:pPr>
        <w:spacing w:after="0" w:line="158" w:lineRule="exact"/>
        <w:rPr>
          <w:sz w:val="20"/>
          <w:szCs w:val="20"/>
          <w:color w:val="auto"/>
        </w:rPr>
      </w:pPr>
    </w:p>
    <w:p>
      <w:pPr>
        <w:ind w:left="20" w:right="199" w:firstLine="256"/>
        <w:spacing w:after="0" w:line="267" w:lineRule="auto"/>
        <w:rPr>
          <w:sz w:val="20"/>
          <w:szCs w:val="20"/>
          <w:color w:val="auto"/>
        </w:rPr>
      </w:pPr>
      <w:r>
        <w:rPr>
          <w:rFonts w:ascii="Arial" w:cs="Arial" w:eastAsia="Arial" w:hAnsi="Arial"/>
          <w:sz w:val="13"/>
          <w:szCs w:val="13"/>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8" w:name="page19"/>
    <w:bookmarkEnd w:id="18"/>
    <w:p>
      <w:pPr>
        <w:ind w:left="280"/>
        <w:spacing w:after="0"/>
        <w:rPr>
          <w:sz w:val="20"/>
          <w:szCs w:val="20"/>
          <w:color w:val="auto"/>
        </w:rPr>
      </w:pPr>
      <w:r>
        <w:rPr>
          <w:rFonts w:ascii="Arial" w:cs="Arial" w:eastAsia="Arial" w:hAnsi="Arial"/>
          <w:sz w:val="13"/>
          <w:szCs w:val="13"/>
          <w:color w:val="auto"/>
        </w:rPr>
        <w:t>Net cash used in investing activities of $299.3 million for the nine months ended September 30, 2021 was primarily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$355.9 million for the nine months ended September 30, 2020 was entirely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$459.6 million for the year ended December 31, 2020 was entirely attributable to capital expenditures.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Net cash used in investing activities of $104.3 million for the year ended December 31, 2019 was entirely attributable to capital expenditures.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Cash Provided by Financing Activities</w:t>
      </w:r>
    </w:p>
    <w:p>
      <w:pPr>
        <w:spacing w:after="0" w:line="158" w:lineRule="exact"/>
        <w:rPr>
          <w:sz w:val="20"/>
          <w:szCs w:val="20"/>
          <w:color w:val="auto"/>
        </w:rPr>
      </w:pPr>
    </w:p>
    <w:p>
      <w:pPr>
        <w:ind w:left="20" w:right="99" w:firstLine="256"/>
        <w:spacing w:after="0" w:line="267" w:lineRule="auto"/>
        <w:rPr>
          <w:sz w:val="20"/>
          <w:szCs w:val="20"/>
          <w:color w:val="auto"/>
        </w:rPr>
      </w:pPr>
      <w:r>
        <w:rPr>
          <w:rFonts w:ascii="Arial" w:cs="Arial" w:eastAsia="Arial" w:hAnsi="Arial"/>
          <w:sz w:val="13"/>
          <w:szCs w:val="13"/>
          <w:color w:val="auto"/>
        </w:rPr>
        <w:t>Since inception, we have financed our operations primarily from the issuances of equity securities, including convertible preferred stock and the proceeds of the Merger, and convertible notes.</w:t>
      </w:r>
    </w:p>
    <w:p>
      <w:pPr>
        <w:spacing w:after="0" w:line="129" w:lineRule="exact"/>
        <w:rPr>
          <w:sz w:val="20"/>
          <w:szCs w:val="20"/>
          <w:color w:val="auto"/>
        </w:rPr>
      </w:pPr>
    </w:p>
    <w:p>
      <w:pPr>
        <w:ind w:left="20" w:right="199" w:firstLine="256"/>
        <w:spacing w:after="0" w:line="275" w:lineRule="auto"/>
        <w:rPr>
          <w:sz w:val="20"/>
          <w:szCs w:val="20"/>
          <w:color w:val="auto"/>
        </w:rPr>
      </w:pPr>
      <w:r>
        <w:rPr>
          <w:rFonts w:ascii="Arial" w:cs="Arial" w:eastAsia="Arial" w:hAnsi="Arial"/>
          <w:sz w:val="12"/>
          <w:szCs w:val="12"/>
          <w:color w:val="auto"/>
        </w:rPr>
        <w:t>Net cash provided by financing activities of $5,236.8 million during the nine months ended September 30, 2020 was primarily attributable to gross proceeds of approximately $4,439.2 from the Merger, $600.0 million of proceeds from the issuance of Legacy Lucid Series E preferred stock, $173.3 million of proceeds from the exercises of public warrants, $41.9 million proceeds from short-term insurance financing note, $6.0 million of proceeds from the exercises of stock options, $3.0 million of proceeds from the issuance of Legacy Lucid Series D preferred stock, partially offset by $3.0 million cash paid for the repurchase of Legacy Lucid Series B preferred stock and $16.8 million cash paid for the short-term insurance financing note. Net cash provided by financing activities also reflects that the Company incurred $38.9 million of transaction costs related to the Merger, of which $34.1 million were not yet paid as of September 30, 2020.</w:t>
      </w:r>
    </w:p>
    <w:p>
      <w:pPr>
        <w:spacing w:after="0" w:line="128" w:lineRule="exact"/>
        <w:rPr>
          <w:sz w:val="20"/>
          <w:szCs w:val="20"/>
          <w:color w:val="auto"/>
        </w:rPr>
      </w:pPr>
    </w:p>
    <w:p>
      <w:pPr>
        <w:ind w:left="20" w:right="199" w:firstLine="256"/>
        <w:spacing w:after="0" w:line="253" w:lineRule="auto"/>
        <w:rPr>
          <w:sz w:val="20"/>
          <w:szCs w:val="20"/>
          <w:color w:val="auto"/>
        </w:rPr>
      </w:pPr>
      <w:r>
        <w:rPr>
          <w:rFonts w:ascii="Arial" w:cs="Arial" w:eastAsia="Arial" w:hAnsi="Arial"/>
          <w:sz w:val="13"/>
          <w:szCs w:val="13"/>
          <w:color w:val="auto"/>
        </w:rPr>
        <w:t>Net cash provided by financing activities of $892.6 million during the nine months ended September 30, 2020 was primarily attributable to $400.0 million of proceeds from the issuance of Legacy Lucid Series D preferred stock, $499.7 million of proceeds from the issuance of Legacy Lucid Series E preferred stock, and $2.9 million of proceeds from the exercises of stock options. Net cash provided by financing activities also reflects uses of cash of $9.9 million to repurchase Legacy Lucid Series C preferred shares.</w:t>
      </w:r>
    </w:p>
    <w:p>
      <w:pPr>
        <w:spacing w:after="0" w:line="139" w:lineRule="exact"/>
        <w:rPr>
          <w:sz w:val="20"/>
          <w:szCs w:val="20"/>
          <w:color w:val="auto"/>
        </w:rPr>
      </w:pPr>
    </w:p>
    <w:p>
      <w:pPr>
        <w:jc w:val="both"/>
        <w:ind w:left="20" w:right="59" w:firstLine="256"/>
        <w:spacing w:after="0" w:line="288" w:lineRule="auto"/>
        <w:rPr>
          <w:sz w:val="20"/>
          <w:szCs w:val="20"/>
          <w:color w:val="auto"/>
        </w:rPr>
      </w:pPr>
      <w:r>
        <w:rPr>
          <w:rFonts w:ascii="Arial" w:cs="Arial" w:eastAsia="Arial" w:hAnsi="Arial"/>
          <w:sz w:val="12"/>
          <w:szCs w:val="12"/>
          <w:color w:val="auto"/>
        </w:rPr>
        <w:t>Net cash provided by financing activities of $1,290.5 million during the year ended December 31, 2020 was primarily attributable to $899.7 million of proceeds from the issuance of Legacy Lucid Series E Preferred Stock, $400.0 million of proceeds from the issuance of Legacy Lucid Series D Preferred Stock and $3.3 million of proceeds from the exercises of stock options, partially offset by the $12.1 million repurchase of Legacy Lucid Series C Preferred Stock.</w:t>
      </w:r>
    </w:p>
    <w:p>
      <w:pPr>
        <w:spacing w:after="0" w:line="118" w:lineRule="exact"/>
        <w:rPr>
          <w:sz w:val="20"/>
          <w:szCs w:val="20"/>
          <w:color w:val="auto"/>
        </w:rPr>
      </w:pPr>
    </w:p>
    <w:p>
      <w:pPr>
        <w:jc w:val="both"/>
        <w:ind w:left="20" w:right="139" w:firstLine="256"/>
        <w:spacing w:after="0" w:line="257" w:lineRule="auto"/>
        <w:rPr>
          <w:sz w:val="20"/>
          <w:szCs w:val="20"/>
          <w:color w:val="auto"/>
        </w:rPr>
      </w:pPr>
      <w:r>
        <w:rPr>
          <w:rFonts w:ascii="Arial" w:cs="Arial" w:eastAsia="Arial" w:hAnsi="Arial"/>
          <w:sz w:val="13"/>
          <w:szCs w:val="13"/>
          <w:color w:val="auto"/>
        </w:rPr>
        <w:t>Net cash provided by financing activities of $621.4 million during the year ended December 31, 2019 was primarily attributable to $600.0 million of proceeds from the issuance of Legacy Lucid Series D Preferred Stock, $70.9 million of proceeds from the issuance of convertible notes and $0.5 million of proceeds from the exercise of stock options, partially offset by the $50.0 million repurchase of Legacy Lucid Series C Preferred Stock.</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15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following table summarizes our contractual obligations as of December 31, 2020:</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0"/>
                <w:szCs w:val="10"/>
                <w:b w:val="1"/>
                <w:bCs w:val="1"/>
                <w:color w:val="auto"/>
                <w:w w:val="91"/>
              </w:rPr>
              <w:t>Payments Due by Periods</w:t>
            </w: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5"/>
        </w:trPr>
        <w:tc>
          <w:tcPr>
            <w:tcW w:w="3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99"/>
              <w:spacing w:after="0" w:line="95" w:lineRule="exact"/>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99"/>
              <w:spacing w:after="0" w:line="95" w:lineRule="exact"/>
              <w:rPr>
                <w:sz w:val="20"/>
                <w:szCs w:val="20"/>
                <w:color w:val="auto"/>
              </w:rPr>
            </w:pPr>
            <w:r>
              <w:rPr>
                <w:rFonts w:ascii="Arial" w:cs="Arial" w:eastAsia="Arial" w:hAnsi="Arial"/>
                <w:sz w:val="10"/>
                <w:szCs w:val="10"/>
                <w:b w:val="1"/>
                <w:bCs w:val="1"/>
                <w:color w:val="auto"/>
              </w:rPr>
              <w:t>&lt; 1 year</w:t>
            </w: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1 – 3 years</w:t>
            </w: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39"/>
              <w:spacing w:after="0" w:line="95" w:lineRule="exact"/>
              <w:rPr>
                <w:sz w:val="20"/>
                <w:szCs w:val="20"/>
                <w:color w:val="auto"/>
              </w:rPr>
            </w:pPr>
            <w:r>
              <w:rPr>
                <w:rFonts w:ascii="Arial" w:cs="Arial" w:eastAsia="Arial" w:hAnsi="Arial"/>
                <w:sz w:val="10"/>
                <w:szCs w:val="10"/>
                <w:b w:val="1"/>
                <w:bCs w:val="1"/>
                <w:color w:val="auto"/>
                <w:w w:val="85"/>
              </w:rPr>
              <w:t>3 – 5 years</w:t>
            </w: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19"/>
              <w:spacing w:after="0" w:line="95" w:lineRule="exact"/>
              <w:rPr>
                <w:sz w:val="20"/>
                <w:szCs w:val="20"/>
                <w:color w:val="auto"/>
              </w:rPr>
            </w:pPr>
            <w:r>
              <w:rPr>
                <w:rFonts w:ascii="Arial" w:cs="Arial" w:eastAsia="Arial" w:hAnsi="Arial"/>
                <w:sz w:val="10"/>
                <w:szCs w:val="10"/>
                <w:b w:val="1"/>
                <w:bCs w:val="1"/>
                <w:color w:val="auto"/>
                <w:w w:val="97"/>
              </w:rPr>
              <w:t>&gt; 5 years</w:t>
            </w:r>
          </w:p>
        </w:tc>
        <w:tc>
          <w:tcPr>
            <w:tcW w:w="40" w:type="dxa"/>
            <w:vAlign w:val="bottom"/>
          </w:tcPr>
          <w:p>
            <w:pPr>
              <w:spacing w:after="0"/>
              <w:rPr>
                <w:sz w:val="8"/>
                <w:szCs w:val="8"/>
                <w:color w:val="auto"/>
              </w:rPr>
            </w:pPr>
          </w:p>
        </w:tc>
      </w:tr>
      <w:tr>
        <w:trPr>
          <w:trHeight w:val="95"/>
        </w:trPr>
        <w:tc>
          <w:tcPr>
            <w:tcW w:w="3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3"/>
          </w:tcPr>
          <w:p>
            <w:pPr>
              <w:jc w:val="center"/>
              <w:ind w:right="280"/>
              <w:spacing w:after="0" w:line="95" w:lineRule="exact"/>
              <w:rPr>
                <w:sz w:val="20"/>
                <w:szCs w:val="20"/>
                <w:color w:val="auto"/>
              </w:rPr>
            </w:pPr>
            <w:r>
              <w:rPr>
                <w:rFonts w:ascii="Arial" w:cs="Arial" w:eastAsia="Arial" w:hAnsi="Arial"/>
                <w:sz w:val="10"/>
                <w:szCs w:val="10"/>
                <w:b w:val="1"/>
                <w:bCs w:val="1"/>
                <w:color w:val="auto"/>
                <w:w w:val="89"/>
              </w:rPr>
              <w:t>(in thousands)</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4"/>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Operating lease obligations</w:t>
            </w:r>
          </w:p>
        </w:tc>
        <w:tc>
          <w:tcPr>
            <w:tcW w:w="1500" w:type="dxa"/>
            <w:vAlign w:val="bottom"/>
            <w:gridSpan w:val="2"/>
            <w:shd w:val="clear" w:color="auto" w:fill="CCEEFF"/>
          </w:tcPr>
          <w:p>
            <w:pPr>
              <w:jc w:val="right"/>
              <w:ind w:right="5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253,796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55,681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116,155</w:t>
            </w:r>
          </w:p>
        </w:tc>
        <w:tc>
          <w:tcPr>
            <w:tcW w:w="40" w:type="dxa"/>
            <w:vAlign w:val="bottom"/>
            <w:shd w:val="clear" w:color="auto" w:fill="CCEEFF"/>
          </w:tcPr>
          <w:p>
            <w:pPr>
              <w:spacing w:after="0"/>
              <w:rPr>
                <w:sz w:val="13"/>
                <w:szCs w:val="13"/>
                <w:color w:val="auto"/>
              </w:rPr>
            </w:pPr>
          </w:p>
        </w:tc>
      </w:tr>
      <w:tr>
        <w:trPr>
          <w:trHeight w:val="154"/>
        </w:trPr>
        <w:tc>
          <w:tcPr>
            <w:tcW w:w="3220" w:type="dxa"/>
            <w:vAlign w:val="bottom"/>
          </w:tcPr>
          <w:p>
            <w:pPr>
              <w:spacing w:after="0"/>
              <w:rPr>
                <w:sz w:val="20"/>
                <w:szCs w:val="20"/>
                <w:color w:val="auto"/>
              </w:rPr>
            </w:pPr>
            <w:r>
              <w:rPr>
                <w:rFonts w:ascii="Arial" w:cs="Arial" w:eastAsia="Arial" w:hAnsi="Arial"/>
                <w:sz w:val="13"/>
                <w:szCs w:val="13"/>
                <w:color w:val="auto"/>
              </w:rPr>
              <w:t>Non-cancellable purchase commitment</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506,000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101,200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404,800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43"/>
        </w:trPr>
        <w:tc>
          <w:tcPr>
            <w:tcW w:w="32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Total commitments</w:t>
            </w:r>
          </w:p>
        </w:tc>
        <w:tc>
          <w:tcPr>
            <w:tcW w:w="1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759,796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126,690</w:t>
            </w: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461,270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55,681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116,155</w:t>
            </w:r>
          </w:p>
        </w:tc>
        <w:tc>
          <w:tcPr>
            <w:tcW w:w="40" w:type="dxa"/>
            <w:vAlign w:val="bottom"/>
            <w:tcBorders>
              <w:top w:val="single" w:sz="8" w:color="CCEEFF"/>
            </w:tcBorders>
            <w:shd w:val="clear" w:color="auto" w:fill="CCEEFF"/>
          </w:tcPr>
          <w:p>
            <w:pPr>
              <w:spacing w:after="0"/>
              <w:rPr>
                <w:sz w:val="12"/>
                <w:szCs w:val="12"/>
                <w:color w:val="auto"/>
              </w:rPr>
            </w:pPr>
          </w:p>
        </w:tc>
      </w:tr>
      <w:tr>
        <w:trPr>
          <w:trHeight w:val="461"/>
        </w:trPr>
        <w:tc>
          <w:tcPr>
            <w:tcW w:w="3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12</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3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5" w:right="1440" w:bottom="1440" w:gutter="0" w:footer="0" w:header="0"/>
        </w:sectPr>
      </w:pPr>
    </w:p>
    <w:bookmarkStart w:id="19" w:name="page20"/>
    <w:bookmarkEnd w:id="19"/>
    <w:p>
      <w:pPr>
        <w:ind w:left="20" w:right="119" w:firstLine="256"/>
        <w:spacing w:after="0" w:line="299" w:lineRule="auto"/>
        <w:rPr>
          <w:sz w:val="20"/>
          <w:szCs w:val="20"/>
          <w:color w:val="auto"/>
        </w:rPr>
      </w:pPr>
      <w:r>
        <w:rPr>
          <w:rFonts w:ascii="Arial" w:cs="Arial" w:eastAsia="Arial" w:hAnsi="Arial"/>
          <w:sz w:val="11"/>
          <w:szCs w:val="11"/>
          <w:b w:val="1"/>
          <w:bCs w:val="1"/>
          <w:i w:val="1"/>
          <w:iCs w:val="1"/>
          <w:color w:val="auto"/>
        </w:rPr>
        <w:t xml:space="preserve">Operating lease obligations </w:t>
      </w:r>
      <w:r>
        <w:rPr>
          <w:rFonts w:ascii="Arial" w:cs="Arial" w:eastAsia="Arial" w:hAnsi="Arial"/>
          <w:sz w:val="11"/>
          <w:szCs w:val="11"/>
          <w:color w:val="auto"/>
        </w:rPr>
        <w:t>— Operating leases include nine lease agreements we entered into from January 2020 to December 31, 2020 for retail locations in Arizona,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California, Florida, New York, and Virginia, with lease expiration dates ranging from March 2025 through December 2032. Base rent for these leases ranges from</w:t>
      </w:r>
    </w:p>
    <w:p>
      <w:pPr>
        <w:spacing w:after="0" w:line="1" w:lineRule="exact"/>
        <w:rPr>
          <w:sz w:val="20"/>
          <w:szCs w:val="20"/>
          <w:color w:val="auto"/>
        </w:rPr>
      </w:pPr>
    </w:p>
    <w:p>
      <w:pPr>
        <w:ind w:left="20" w:right="279"/>
        <w:spacing w:after="0" w:line="253" w:lineRule="auto"/>
        <w:rPr>
          <w:sz w:val="20"/>
          <w:szCs w:val="20"/>
          <w:color w:val="auto"/>
        </w:rPr>
      </w:pPr>
      <w:r>
        <w:rPr>
          <w:rFonts w:ascii="Arial" w:cs="Arial" w:eastAsia="Arial" w:hAnsi="Arial"/>
          <w:sz w:val="13"/>
          <w:szCs w:val="13"/>
          <w:color w:val="auto"/>
        </w:rPr>
        <w:t>$0.1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38" w:lineRule="exact"/>
        <w:rPr>
          <w:sz w:val="20"/>
          <w:szCs w:val="20"/>
          <w:color w:val="auto"/>
        </w:rPr>
      </w:pPr>
    </w:p>
    <w:p>
      <w:pPr>
        <w:ind w:left="20" w:right="119" w:firstLine="256"/>
        <w:spacing w:after="0" w:line="277" w:lineRule="auto"/>
        <w:rPr>
          <w:sz w:val="20"/>
          <w:szCs w:val="20"/>
          <w:color w:val="auto"/>
        </w:rPr>
      </w:pPr>
      <w:r>
        <w:rPr>
          <w:rFonts w:ascii="Arial" w:cs="Arial" w:eastAsia="Arial" w:hAnsi="Arial"/>
          <w:sz w:val="12"/>
          <w:szCs w:val="12"/>
          <w:b w:val="1"/>
          <w:bCs w:val="1"/>
          <w:i w:val="1"/>
          <w:iCs w:val="1"/>
          <w:color w:val="auto"/>
        </w:rPr>
        <w:t xml:space="preserve">Non-cancellable purchase commitments </w:t>
      </w:r>
      <w:r>
        <w:rPr>
          <w:rFonts w:ascii="Arial" w:cs="Arial" w:eastAsia="Arial" w:hAnsi="Arial"/>
          <w:sz w:val="12"/>
          <w:szCs w:val="12"/>
          <w:color w:val="auto"/>
        </w:rPr>
        <w:t>— As of December 31, 2020, we are committed to purchase battery cells from a provider over the next three years for a total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estimated 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26" w:lineRule="exact"/>
        <w:rPr>
          <w:sz w:val="20"/>
          <w:szCs w:val="20"/>
          <w:color w:val="auto"/>
        </w:rPr>
      </w:pPr>
    </w:p>
    <w:p>
      <w:pPr>
        <w:ind w:left="20" w:right="259" w:firstLine="256"/>
        <w:spacing w:after="0" w:line="267" w:lineRule="auto"/>
        <w:rPr>
          <w:sz w:val="20"/>
          <w:szCs w:val="20"/>
          <w:color w:val="auto"/>
        </w:rPr>
      </w:pPr>
      <w:r>
        <w:rPr>
          <w:rFonts w:ascii="Arial" w:cs="Arial" w:eastAsia="Arial" w:hAnsi="Arial"/>
          <w:sz w:val="13"/>
          <w:szCs w:val="13"/>
          <w:color w:val="auto"/>
        </w:rPr>
        <w:t>At September 30, 2021, there were no material changes in our contractual obligations as reported in the audited financial statements for the year ended December 31, 2020.</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62" w:lineRule="exact"/>
        <w:rPr>
          <w:sz w:val="20"/>
          <w:szCs w:val="20"/>
          <w:color w:val="auto"/>
        </w:rPr>
      </w:pPr>
    </w:p>
    <w:p>
      <w:pPr>
        <w:ind w:left="20" w:right="99" w:firstLine="256"/>
        <w:spacing w:after="0" w:line="275" w:lineRule="auto"/>
        <w:rPr>
          <w:sz w:val="20"/>
          <w:szCs w:val="20"/>
          <w:color w:val="auto"/>
        </w:rPr>
      </w:pPr>
      <w:r>
        <w:rPr>
          <w:rFonts w:ascii="Arial" w:cs="Arial" w:eastAsia="Arial" w:hAnsi="Arial"/>
          <w:sz w:val="12"/>
          <w:szCs w:val="12"/>
          <w:color w:val="auto"/>
        </w:rPr>
        <w:t>Our consolidated financial statements and the related notes thereto included elsewhere in this offering memorandum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28" w:lineRule="exact"/>
        <w:rPr>
          <w:sz w:val="20"/>
          <w:szCs w:val="20"/>
          <w:color w:val="auto"/>
        </w:rPr>
      </w:pPr>
    </w:p>
    <w:p>
      <w:pPr>
        <w:ind w:left="20" w:right="39" w:firstLine="256"/>
        <w:spacing w:after="0" w:line="251" w:lineRule="auto"/>
        <w:rPr>
          <w:sz w:val="20"/>
          <w:szCs w:val="20"/>
          <w:color w:val="auto"/>
        </w:rPr>
      </w:pPr>
      <w:r>
        <w:rPr>
          <w:rFonts w:ascii="Arial" w:cs="Arial" w:eastAsia="Arial" w:hAnsi="Arial"/>
          <w:sz w:val="13"/>
          <w:szCs w:val="13"/>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Other than the policies described in Note 2 — Summary of Significant Accounting Policies in the Company’s unaudited interim condensed consolidated financial statements included elsewhere in this offering memorandum, there have been no material changes to its critical accounting policies and estimates as compared to those disclosed in its audited consolidated financial statements as of and for the years ended December 31, 2020 and 2019.</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58" w:lineRule="exact"/>
        <w:rPr>
          <w:sz w:val="20"/>
          <w:szCs w:val="20"/>
          <w:color w:val="auto"/>
        </w:rPr>
      </w:pPr>
    </w:p>
    <w:p>
      <w:pPr>
        <w:ind w:left="20" w:right="59" w:firstLine="258"/>
        <w:spacing w:after="0" w:line="267" w:lineRule="auto"/>
        <w:rPr>
          <w:sz w:val="20"/>
          <w:szCs w:val="20"/>
          <w:color w:val="auto"/>
        </w:rPr>
      </w:pPr>
      <w:r>
        <w:rPr>
          <w:rFonts w:ascii="Arial" w:cs="Arial" w:eastAsia="Arial" w:hAnsi="Arial"/>
          <w:sz w:val="13"/>
          <w:szCs w:val="13"/>
          <w:color w:val="auto"/>
        </w:rPr>
        <w:t>We have granted stock-based awards consisting primarily of incentive and non-qualified stock options and restricted stock units (“RSUs”) to employees, members of our board of directors, and non-employees.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20" w:name="page21"/>
    <w:bookmarkEnd w:id="20"/>
    <w:p>
      <w:pPr>
        <w:ind w:left="280"/>
        <w:spacing w:after="0"/>
        <w:rPr>
          <w:sz w:val="20"/>
          <w:szCs w:val="20"/>
          <w:color w:val="auto"/>
        </w:rPr>
      </w:pPr>
      <w:r>
        <w:rPr>
          <w:rFonts w:ascii="Arial" w:cs="Arial" w:eastAsia="Arial" w:hAnsi="Arial"/>
          <w:sz w:val="13"/>
          <w:szCs w:val="13"/>
          <w:i w:val="1"/>
          <w:iCs w:val="1"/>
          <w:color w:val="auto"/>
        </w:rPr>
        <w:t>Stock Options</w:t>
      </w:r>
    </w:p>
    <w:p>
      <w:pPr>
        <w:spacing w:after="0" w:line="158" w:lineRule="exact"/>
        <w:rPr>
          <w:sz w:val="20"/>
          <w:szCs w:val="20"/>
          <w:color w:val="auto"/>
        </w:rPr>
      </w:pPr>
    </w:p>
    <w:p>
      <w:pPr>
        <w:ind w:left="20" w:right="99" w:firstLine="256"/>
        <w:spacing w:after="0" w:line="305" w:lineRule="auto"/>
        <w:rPr>
          <w:sz w:val="20"/>
          <w:szCs w:val="20"/>
          <w:color w:val="auto"/>
        </w:rPr>
      </w:pPr>
      <w:r>
        <w:rPr>
          <w:rFonts w:ascii="Arial" w:cs="Arial" w:eastAsia="Arial" w:hAnsi="Arial"/>
          <w:sz w:val="11"/>
          <w:szCs w:val="11"/>
          <w:color w:val="auto"/>
        </w:rPr>
        <w:t>Stock options generally vest over four years, and the majority of which vest at a rate of 25% on the first anniversary of the grant date, with the remainder vesting ratably each month over the next three years. Stock options generally expire 10 years from the date of grant and are exercisable when the options 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12" w:lineRule="exact"/>
        <w:rPr>
          <w:sz w:val="20"/>
          <w:szCs w:val="20"/>
          <w:color w:val="auto"/>
        </w:rPr>
      </w:pPr>
    </w:p>
    <w:p>
      <w:pPr>
        <w:ind w:left="500" w:hanging="224"/>
        <w:spacing w:after="0"/>
        <w:tabs>
          <w:tab w:leader="none" w:pos="50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Fair value of common stock </w:t>
      </w:r>
      <w:r>
        <w:rPr>
          <w:rFonts w:ascii="Arial" w:cs="Arial" w:eastAsia="Arial" w:hAnsi="Arial"/>
          <w:sz w:val="11"/>
          <w:szCs w:val="11"/>
          <w:color w:val="auto"/>
        </w:rPr>
        <w:t>— The fair value of our common stock was estimated because our common stock had not yet been publicly traded prior to the Merger.</w:t>
      </w:r>
    </w:p>
    <w:p>
      <w:pPr>
        <w:spacing w:after="0" w:line="181" w:lineRule="exact"/>
        <w:rPr>
          <w:rFonts w:ascii="Arial" w:cs="Arial" w:eastAsia="Arial" w:hAnsi="Arial"/>
          <w:sz w:val="11"/>
          <w:szCs w:val="11"/>
          <w:color w:val="auto"/>
        </w:rPr>
      </w:pPr>
    </w:p>
    <w:p>
      <w:pPr>
        <w:ind w:left="500" w:right="319" w:hanging="224"/>
        <w:spacing w:after="0" w:line="309"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 The volatility rate was determined by using an average of historical volatilities of selected industry peers deemed to be comparable to our</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corresponding to the expected option term as we did not have sufficient history of trading in our common stock prior to the Merger.</w:t>
      </w:r>
    </w:p>
    <w:p>
      <w:pPr>
        <w:spacing w:after="0" w:line="106" w:lineRule="exact"/>
        <w:rPr>
          <w:rFonts w:ascii="Arial" w:cs="Arial" w:eastAsia="Arial" w:hAnsi="Arial"/>
          <w:sz w:val="12"/>
          <w:szCs w:val="12"/>
          <w:color w:val="auto"/>
        </w:rPr>
      </w:pPr>
    </w:p>
    <w:p>
      <w:pPr>
        <w:ind w:left="500" w:hanging="224"/>
        <w:spacing w:after="0"/>
        <w:tabs>
          <w:tab w:leader="none" w:pos="50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Dividend Yield </w:t>
      </w:r>
      <w:r>
        <w:rPr>
          <w:rFonts w:ascii="Arial" w:cs="Arial" w:eastAsia="Arial" w:hAnsi="Arial"/>
          <w:sz w:val="11"/>
          <w:szCs w:val="11"/>
          <w:color w:val="auto"/>
        </w:rPr>
        <w:t>— The expected dividend yield was zero as we had never declared or paid cash dividends and have no current plans to do so in the foreseeable future.</w:t>
      </w:r>
    </w:p>
    <w:p>
      <w:pPr>
        <w:spacing w:after="0" w:line="181" w:lineRule="exact"/>
        <w:rPr>
          <w:rFonts w:ascii="Arial" w:cs="Arial" w:eastAsia="Arial" w:hAnsi="Arial"/>
          <w:sz w:val="11"/>
          <w:szCs w:val="11"/>
          <w:color w:val="auto"/>
        </w:rPr>
      </w:pPr>
    </w:p>
    <w:p>
      <w:pPr>
        <w:ind w:left="500" w:right="259" w:hanging="224"/>
        <w:spacing w:after="0" w:line="267"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i w:val="1"/>
          <w:iCs w:val="1"/>
          <w:color w:val="auto"/>
        </w:rPr>
        <w:t xml:space="preserve">Risk Free Interest Rate </w:t>
      </w:r>
      <w:r>
        <w:rPr>
          <w:rFonts w:ascii="Arial" w:cs="Arial" w:eastAsia="Arial" w:hAnsi="Arial"/>
          <w:sz w:val="13"/>
          <w:szCs w:val="13"/>
          <w:color w:val="auto"/>
        </w:rPr>
        <w:t>— The risk-free interest rate was based on the U.S. Treasury yield curve in effect at the time of grant for zero-coupon U.S. Treasury notes</w:t>
      </w:r>
      <w:r>
        <w:rPr>
          <w:rFonts w:ascii="Arial" w:cs="Arial" w:eastAsia="Arial" w:hAnsi="Arial"/>
          <w:sz w:val="13"/>
          <w:szCs w:val="13"/>
          <w:i w:val="1"/>
          <w:iCs w:val="1"/>
          <w:color w:val="auto"/>
        </w:rPr>
        <w:t xml:space="preserve"> </w:t>
      </w:r>
      <w:r>
        <w:rPr>
          <w:rFonts w:ascii="Arial" w:cs="Arial" w:eastAsia="Arial" w:hAnsi="Arial"/>
          <w:sz w:val="13"/>
          <w:szCs w:val="13"/>
          <w:color w:val="auto"/>
        </w:rPr>
        <w:t>with maturities corresponding to the expected option term.</w:t>
      </w:r>
    </w:p>
    <w:p>
      <w:pPr>
        <w:spacing w:after="0" w:line="128" w:lineRule="exact"/>
        <w:rPr>
          <w:rFonts w:ascii="Arial" w:cs="Arial" w:eastAsia="Arial" w:hAnsi="Arial"/>
          <w:sz w:val="13"/>
          <w:szCs w:val="13"/>
          <w:color w:val="auto"/>
        </w:rPr>
      </w:pPr>
    </w:p>
    <w:p>
      <w:pPr>
        <w:ind w:left="500" w:right="159" w:hanging="224"/>
        <w:spacing w:after="0" w:line="309"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Expected Option Term </w:t>
      </w:r>
      <w:r>
        <w:rPr>
          <w:rFonts w:ascii="Arial" w:cs="Arial" w:eastAsia="Arial" w:hAnsi="Arial"/>
          <w:sz w:val="12"/>
          <w:szCs w:val="12"/>
          <w:color w:val="auto"/>
        </w:rPr>
        <w:t>— The expected option term represented the period that the Lucid Group Options were expected to be outstanding and is based on historical</w:t>
      </w:r>
      <w:r>
        <w:rPr>
          <w:rFonts w:ascii="Arial" w:cs="Arial" w:eastAsia="Arial" w:hAnsi="Arial"/>
          <w:sz w:val="12"/>
          <w:szCs w:val="12"/>
          <w:i w:val="1"/>
          <w:iCs w:val="1"/>
          <w:color w:val="auto"/>
        </w:rPr>
        <w:t xml:space="preserve"> </w:t>
      </w:r>
      <w:r>
        <w:rPr>
          <w:rFonts w:ascii="Arial" w:cs="Arial" w:eastAsia="Arial" w:hAnsi="Arial"/>
          <w:sz w:val="12"/>
          <w:szCs w:val="12"/>
          <w:color w:val="auto"/>
        </w:rPr>
        <w:t>experience of similar awards, giving consideration to the contractual terms, vesting schedules and expectations of future employee behavior.</w:t>
      </w:r>
    </w:p>
    <w:p>
      <w:pPr>
        <w:spacing w:after="0" w:line="106" w:lineRule="exact"/>
        <w:rPr>
          <w:sz w:val="20"/>
          <w:szCs w:val="20"/>
          <w:color w:val="auto"/>
        </w:rPr>
      </w:pPr>
    </w:p>
    <w:p>
      <w:pPr>
        <w:jc w:val="both"/>
        <w:ind w:left="20" w:right="119" w:firstLine="256"/>
        <w:spacing w:after="0" w:line="257" w:lineRule="auto"/>
        <w:rPr>
          <w:sz w:val="20"/>
          <w:szCs w:val="20"/>
          <w:color w:val="auto"/>
        </w:rPr>
      </w:pPr>
      <w:r>
        <w:rPr>
          <w:rFonts w:ascii="Arial" w:cs="Arial" w:eastAsia="Arial" w:hAnsi="Arial"/>
          <w:sz w:val="13"/>
          <w:szCs w:val="13"/>
          <w:color w:val="auto"/>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RSUs</w:t>
      </w:r>
    </w:p>
    <w:p>
      <w:pPr>
        <w:spacing w:after="0" w:line="158" w:lineRule="exact"/>
        <w:rPr>
          <w:sz w:val="20"/>
          <w:szCs w:val="20"/>
          <w:color w:val="auto"/>
        </w:rPr>
      </w:pPr>
    </w:p>
    <w:p>
      <w:pPr>
        <w:ind w:left="20" w:right="119" w:firstLine="256"/>
        <w:spacing w:after="0" w:line="253" w:lineRule="auto"/>
        <w:rPr>
          <w:sz w:val="20"/>
          <w:szCs w:val="20"/>
          <w:color w:val="auto"/>
        </w:rPr>
      </w:pPr>
      <w:r>
        <w:rPr>
          <w:rFonts w:ascii="Arial" w:cs="Arial" w:eastAsia="Arial" w:hAnsi="Arial"/>
          <w:sz w:val="13"/>
          <w:szCs w:val="13"/>
          <w:color w:val="auto"/>
        </w:rPr>
        <w:t>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of the Merger. These qualifying liquidity events were not deemed probable until consummated, and therefore, stock-based compensation related to these RSUs remained unrecognized prior to the consummation of the Merger.</w:t>
      </w:r>
    </w:p>
    <w:p>
      <w:pPr>
        <w:spacing w:after="0" w:line="139" w:lineRule="exact"/>
        <w:rPr>
          <w:sz w:val="20"/>
          <w:szCs w:val="20"/>
          <w:color w:val="auto"/>
        </w:rPr>
      </w:pPr>
    </w:p>
    <w:p>
      <w:pPr>
        <w:ind w:left="20" w:right="119" w:firstLine="256"/>
        <w:spacing w:after="0" w:line="267" w:lineRule="auto"/>
        <w:rPr>
          <w:sz w:val="20"/>
          <w:szCs w:val="20"/>
          <w:color w:val="auto"/>
        </w:rPr>
      </w:pPr>
      <w:r>
        <w:rPr>
          <w:rFonts w:ascii="Arial" w:cs="Arial" w:eastAsia="Arial" w:hAnsi="Arial"/>
          <w:sz w:val="13"/>
          <w:szCs w:val="13"/>
          <w:color w:val="auto"/>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w:t>
      </w:r>
    </w:p>
    <w:p>
      <w:pPr>
        <w:spacing w:after="0" w:line="129"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CEO RSU Award</w:t>
      </w:r>
    </w:p>
    <w:p>
      <w:pPr>
        <w:spacing w:after="0" w:line="158" w:lineRule="exact"/>
        <w:rPr>
          <w:sz w:val="20"/>
          <w:szCs w:val="20"/>
          <w:color w:val="auto"/>
        </w:rPr>
      </w:pPr>
    </w:p>
    <w:p>
      <w:pPr>
        <w:jc w:val="both"/>
        <w:ind w:left="20" w:right="59" w:firstLine="256"/>
        <w:spacing w:after="0" w:line="288" w:lineRule="auto"/>
        <w:rPr>
          <w:sz w:val="20"/>
          <w:szCs w:val="20"/>
          <w:color w:val="auto"/>
        </w:rPr>
      </w:pPr>
      <w:r>
        <w:rPr>
          <w:rFonts w:ascii="Arial" w:cs="Arial" w:eastAsia="Arial" w:hAnsi="Arial"/>
          <w:sz w:val="12"/>
          <w:szCs w:val="12"/>
          <w:color w:val="auto"/>
        </w:rPr>
        <w:t>In March 2021, our board of directors approved the grant of RSUs to Peter Rawlinson as Lucid’s CEO (the “CEO RSU Award”)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1" w:name="page22"/>
    <w:bookmarkEnd w:id="21"/>
    <w:p>
      <w:pPr>
        <w:ind w:left="20" w:right="259" w:firstLine="256"/>
        <w:spacing w:after="0" w:line="257" w:lineRule="auto"/>
        <w:rPr>
          <w:sz w:val="20"/>
          <w:szCs w:val="20"/>
          <w:color w:val="auto"/>
        </w:rPr>
      </w:pPr>
      <w:r>
        <w:rPr>
          <w:rFonts w:ascii="Arial" w:cs="Arial" w:eastAsia="Arial" w:hAnsi="Arial"/>
          <w:sz w:val="13"/>
          <w:szCs w:val="13"/>
          <w:i w:val="1"/>
          <w:iCs w:val="1"/>
          <w:color w:val="auto"/>
        </w:rPr>
        <w:t xml:space="preserve">CEO Time-Based RSUs </w:t>
      </w:r>
      <w:r>
        <w:rPr>
          <w:rFonts w:ascii="Arial" w:cs="Arial" w:eastAsia="Arial" w:hAnsi="Arial"/>
          <w:sz w:val="13"/>
          <w:szCs w:val="13"/>
          <w:color w:val="auto"/>
        </w:rPr>
        <w:t>— The performance condition was satisfied upon the Closing of the Merger. The service conditions will be satisfied in 16 equal quarterly</w:t>
      </w:r>
      <w:r>
        <w:rPr>
          <w:rFonts w:ascii="Arial" w:cs="Arial" w:eastAsia="Arial" w:hAnsi="Arial"/>
          <w:sz w:val="13"/>
          <w:szCs w:val="13"/>
          <w:i w:val="1"/>
          <w:iCs w:val="1"/>
          <w:color w:val="auto"/>
        </w:rPr>
        <w:t xml:space="preserve"> </w:t>
      </w:r>
      <w:r>
        <w:rPr>
          <w:rFonts w:ascii="Arial" w:cs="Arial" w:eastAsia="Arial" w:hAnsi="Arial"/>
          <w:sz w:val="13"/>
          <w:szCs w:val="13"/>
          <w:color w:val="auto"/>
        </w:rPr>
        <w:t>installments on March 5, June 5, September 5, and December 5 beginning on the first quarterly installment date that is at least two months after the Closing, which will be December 5, 2021, provided that Mr. Rawlinson remains in continuous service through each vesting date.</w:t>
      </w:r>
    </w:p>
    <w:p>
      <w:pPr>
        <w:spacing w:after="0" w:line="135" w:lineRule="exact"/>
        <w:rPr>
          <w:sz w:val="20"/>
          <w:szCs w:val="20"/>
          <w:color w:val="auto"/>
        </w:rPr>
      </w:pPr>
    </w:p>
    <w:p>
      <w:pPr>
        <w:ind w:left="20" w:right="119" w:firstLine="256"/>
        <w:spacing w:after="0" w:line="309" w:lineRule="auto"/>
        <w:rPr>
          <w:sz w:val="20"/>
          <w:szCs w:val="20"/>
          <w:color w:val="auto"/>
        </w:rPr>
      </w:pPr>
      <w:r>
        <w:rPr>
          <w:rFonts w:ascii="Arial" w:cs="Arial" w:eastAsia="Arial" w:hAnsi="Arial"/>
          <w:sz w:val="12"/>
          <w:szCs w:val="12"/>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06" w:lineRule="exact"/>
        <w:rPr>
          <w:sz w:val="20"/>
          <w:szCs w:val="20"/>
          <w:color w:val="auto"/>
        </w:rPr>
      </w:pPr>
    </w:p>
    <w:p>
      <w:pPr>
        <w:ind w:left="20" w:right="39" w:firstLine="256"/>
        <w:spacing w:after="0" w:line="277" w:lineRule="auto"/>
        <w:rPr>
          <w:sz w:val="20"/>
          <w:szCs w:val="20"/>
          <w:color w:val="auto"/>
        </w:rPr>
      </w:pPr>
      <w:r>
        <w:rPr>
          <w:rFonts w:ascii="Arial" w:cs="Arial" w:eastAsia="Arial" w:hAnsi="Arial"/>
          <w:sz w:val="12"/>
          <w:szCs w:val="12"/>
          <w:i w:val="1"/>
          <w:iCs w:val="1"/>
          <w:color w:val="auto"/>
        </w:rPr>
        <w:t xml:space="preserve">CEO Performance RSUs </w:t>
      </w:r>
      <w:r>
        <w:rPr>
          <w:rFonts w:ascii="Arial" w:cs="Arial" w:eastAsia="Arial" w:hAnsi="Arial"/>
          <w:sz w:val="12"/>
          <w:szCs w:val="12"/>
          <w:color w:val="auto"/>
        </w:rPr>
        <w:t>— The performance condition was satisfied upon the Closing of the Merger. The market conditions will be satisfied based upon the</w:t>
      </w:r>
      <w:r>
        <w:rPr>
          <w:rFonts w:ascii="Arial" w:cs="Arial" w:eastAsia="Arial" w:hAnsi="Arial"/>
          <w:sz w:val="12"/>
          <w:szCs w:val="12"/>
          <w:i w:val="1"/>
          <w:iCs w:val="1"/>
          <w:color w:val="auto"/>
        </w:rPr>
        <w:t xml:space="preserve"> </w:t>
      </w:r>
      <w:r>
        <w:rPr>
          <w:rFonts w:ascii="Arial" w:cs="Arial" w:eastAsia="Arial" w:hAnsi="Arial"/>
          <w:sz w:val="12"/>
          <w:szCs w:val="12"/>
          <w:color w:val="auto"/>
        </w:rPr>
        <w:t>achievement of certain market capitalization goals of Lucid Group and the continued employment of 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Group market capitalization targets will be adjusted to reflect any stock splits, stock dividends, combinations, reorganizations, reclassifications, or other similar changes in capitalization or corporate events.</w:t>
      </w:r>
    </w:p>
    <w:p>
      <w:pPr>
        <w:spacing w:after="0" w:line="126" w:lineRule="exact"/>
        <w:rPr>
          <w:sz w:val="20"/>
          <w:szCs w:val="20"/>
          <w:color w:val="auto"/>
        </w:rPr>
      </w:pPr>
    </w:p>
    <w:p>
      <w:pPr>
        <w:ind w:left="20" w:right="79" w:firstLine="256"/>
        <w:spacing w:after="0" w:line="288" w:lineRule="auto"/>
        <w:rPr>
          <w:sz w:val="20"/>
          <w:szCs w:val="20"/>
          <w:color w:val="auto"/>
        </w:rPr>
      </w:pPr>
      <w:r>
        <w:rPr>
          <w:rFonts w:ascii="Arial" w:cs="Arial" w:eastAsia="Arial" w:hAnsi="Arial"/>
          <w:sz w:val="12"/>
          <w:szCs w:val="12"/>
          <w:color w:val="auto"/>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spacing w:after="0" w:line="118" w:lineRule="exact"/>
        <w:rPr>
          <w:sz w:val="20"/>
          <w:szCs w:val="20"/>
          <w:color w:val="auto"/>
        </w:rPr>
      </w:pPr>
    </w:p>
    <w:p>
      <w:pPr>
        <w:ind w:left="20" w:right="79" w:firstLine="256"/>
        <w:spacing w:after="0" w:line="277" w:lineRule="auto"/>
        <w:rPr>
          <w:sz w:val="20"/>
          <w:szCs w:val="20"/>
          <w:color w:val="auto"/>
        </w:rPr>
      </w:pPr>
      <w:r>
        <w:rPr>
          <w:rFonts w:ascii="Arial" w:cs="Arial" w:eastAsia="Arial" w:hAnsi="Arial"/>
          <w:sz w:val="12"/>
          <w:szCs w:val="12"/>
          <w:i w:val="1"/>
          <w:iCs w:val="1"/>
          <w:color w:val="auto"/>
        </w:rPr>
        <w:t xml:space="preserve">Tax Withholding </w:t>
      </w:r>
      <w:r>
        <w:rPr>
          <w:rFonts w:ascii="Arial" w:cs="Arial" w:eastAsia="Arial" w:hAnsi="Arial"/>
          <w:sz w:val="12"/>
          <w:szCs w:val="12"/>
          <w:color w:val="auto"/>
        </w:rPr>
        <w:t>— During the first year following the Closing of the Merger, we expect that Lucid Group will settle tax withholding obligations in connection with any</w:t>
      </w:r>
      <w:r>
        <w:rPr>
          <w:rFonts w:ascii="Arial" w:cs="Arial" w:eastAsia="Arial" w:hAnsi="Arial"/>
          <w:sz w:val="12"/>
          <w:szCs w:val="12"/>
          <w:i w:val="1"/>
          <w:iCs w:val="1"/>
          <w:color w:val="auto"/>
        </w:rPr>
        <w:t xml:space="preserve"> </w:t>
      </w:r>
      <w:r>
        <w:rPr>
          <w:rFonts w:ascii="Arial" w:cs="Arial" w:eastAsia="Arial" w:hAnsi="Arial"/>
          <w:sz w:val="12"/>
          <w:szCs w:val="12"/>
          <w:color w:val="auto"/>
        </w:rPr>
        <w:t>vesting of the CEO RSU Award through “net settlement,” i.e., by remitting cash to satisfy the tax withholding obligation and withholding a number of the vested shares on each vesting date.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Lucid Group to expend substantial cash funds to satisfy tax withholding.</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Common Stock Warrant Liability</w:t>
      </w:r>
    </w:p>
    <w:p>
      <w:pPr>
        <w:spacing w:after="0" w:line="158" w:lineRule="exact"/>
        <w:rPr>
          <w:sz w:val="20"/>
          <w:szCs w:val="20"/>
          <w:color w:val="auto"/>
        </w:rPr>
      </w:pPr>
    </w:p>
    <w:p>
      <w:pPr>
        <w:ind w:left="20" w:right="99" w:firstLine="256"/>
        <w:spacing w:after="0" w:line="281" w:lineRule="auto"/>
        <w:rPr>
          <w:sz w:val="20"/>
          <w:szCs w:val="20"/>
          <w:color w:val="auto"/>
        </w:rPr>
      </w:pPr>
      <w:r>
        <w:rPr>
          <w:rFonts w:ascii="Arial" w:cs="Arial" w:eastAsia="Arial" w:hAnsi="Arial"/>
          <w:sz w:val="12"/>
          <w:szCs w:val="12"/>
          <w:color w:val="auto"/>
        </w:rPr>
        <w:t>We accounted for privately placed common stock warrants (the “private warrants”) to purchase shares of Lucid Group common stock as liabilities at their estimated fair value because these private warrants are not deemed indexed to our common stock.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A portion of our private warrants are subject to certain contingent forfeiture provisions.</w:t>
      </w:r>
    </w:p>
    <w:p>
      <w:pPr>
        <w:spacing w:after="0" w:line="123" w:lineRule="exact"/>
        <w:rPr>
          <w:sz w:val="20"/>
          <w:szCs w:val="20"/>
          <w:color w:val="auto"/>
        </w:rPr>
      </w:pPr>
    </w:p>
    <w:p>
      <w:pPr>
        <w:ind w:left="20" w:right="79" w:firstLine="256"/>
        <w:spacing w:after="0" w:line="281" w:lineRule="auto"/>
        <w:rPr>
          <w:sz w:val="20"/>
          <w:szCs w:val="20"/>
          <w:color w:val="auto"/>
        </w:rPr>
      </w:pPr>
      <w:r>
        <w:rPr>
          <w:rFonts w:ascii="Arial" w:cs="Arial" w:eastAsia="Arial" w:hAnsi="Arial"/>
          <w:sz w:val="12"/>
          <w:szCs w:val="12"/>
          <w:color w:val="auto"/>
        </w:rPr>
        <w:t>The fair value of the private warrants that are not subject to the contingent forfeiture provisions was estimated using a Black-Scholes option pricing model that takes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risk-free interest rate is based on the implied yield available on U.S. Treasury securities with a maturity equivalent to the warrants’ expected life.</w:t>
      </w:r>
    </w:p>
    <w:p>
      <w:pPr>
        <w:spacing w:after="0" w:line="123" w:lineRule="exact"/>
        <w:rPr>
          <w:sz w:val="20"/>
          <w:szCs w:val="20"/>
          <w:color w:val="auto"/>
        </w:rPr>
      </w:pPr>
    </w:p>
    <w:p>
      <w:pPr>
        <w:ind w:left="20" w:right="219" w:firstLine="256"/>
        <w:spacing w:after="0" w:line="253" w:lineRule="auto"/>
        <w:rPr>
          <w:sz w:val="20"/>
          <w:szCs w:val="20"/>
          <w:color w:val="auto"/>
        </w:rPr>
      </w:pPr>
      <w:r>
        <w:rPr>
          <w:rFonts w:ascii="Arial" w:cs="Arial" w:eastAsia="Arial" w:hAnsi="Arial"/>
          <w:sz w:val="13"/>
          <w:szCs w:val="13"/>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 w:name="page23"/>
    <w:bookmarkEnd w:id="22"/>
    <w:p>
      <w:pPr>
        <w:ind w:left="20" w:right="319" w:firstLine="256"/>
        <w:spacing w:after="0" w:line="267" w:lineRule="auto"/>
        <w:rPr>
          <w:sz w:val="20"/>
          <w:szCs w:val="20"/>
          <w:color w:val="auto"/>
        </w:rPr>
      </w:pPr>
      <w:r>
        <w:rPr>
          <w:rFonts w:ascii="Arial" w:cs="Arial" w:eastAsia="Arial" w:hAnsi="Arial"/>
          <w:sz w:val="13"/>
          <w:szCs w:val="13"/>
          <w:color w:val="auto"/>
        </w:rPr>
        <w:t>See Note 8 — Common Stock Warrant Liability and Note 11 — Earnback Shares and Warrants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Contingent Forward Contract</w:t>
      </w:r>
    </w:p>
    <w:p>
      <w:pPr>
        <w:spacing w:after="0" w:line="158" w:lineRule="exact"/>
        <w:rPr>
          <w:sz w:val="20"/>
          <w:szCs w:val="20"/>
          <w:color w:val="auto"/>
        </w:rPr>
      </w:pPr>
    </w:p>
    <w:p>
      <w:pPr>
        <w:ind w:left="20" w:right="39" w:firstLine="256"/>
        <w:spacing w:after="0" w:line="275" w:lineRule="auto"/>
        <w:rPr>
          <w:sz w:val="20"/>
          <w:szCs w:val="20"/>
          <w:color w:val="auto"/>
        </w:rPr>
      </w:pPr>
      <w:r>
        <w:rPr>
          <w:rFonts w:ascii="Arial" w:cs="Arial" w:eastAsia="Arial" w:hAnsi="Arial"/>
          <w:sz w:val="12"/>
          <w:szCs w:val="12"/>
          <w:color w:val="auto"/>
        </w:rPr>
        <w:t>We accounted for the contingent forward contract to purchase Legacy Lucid Series E preferred stock as a derivative liability because the contingent forward contract may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condensed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fair value and the $7.90 per share purchase price. We settled the contingent forward contract in April 2021.</w:t>
      </w:r>
    </w:p>
    <w:p>
      <w:pPr>
        <w:spacing w:after="0" w:line="128" w:lineRule="exact"/>
        <w:rPr>
          <w:sz w:val="20"/>
          <w:szCs w:val="20"/>
          <w:color w:val="auto"/>
        </w:rPr>
      </w:pPr>
    </w:p>
    <w:p>
      <w:pPr>
        <w:ind w:left="20" w:right="139" w:firstLine="256"/>
        <w:spacing w:after="0" w:line="267" w:lineRule="auto"/>
        <w:rPr>
          <w:sz w:val="20"/>
          <w:szCs w:val="20"/>
          <w:color w:val="auto"/>
        </w:rPr>
      </w:pPr>
      <w:r>
        <w:rPr>
          <w:rFonts w:ascii="Arial" w:cs="Arial" w:eastAsia="Arial" w:hAnsi="Arial"/>
          <w:sz w:val="13"/>
          <w:szCs w:val="13"/>
          <w:color w:val="auto"/>
        </w:rPr>
        <w:t>See Note 6 — Contingent Forward Contracts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Convertible Preferred Share Warrant Liability</w:t>
      </w:r>
    </w:p>
    <w:p>
      <w:pPr>
        <w:spacing w:after="0" w:line="158" w:lineRule="exact"/>
        <w:rPr>
          <w:sz w:val="20"/>
          <w:szCs w:val="20"/>
          <w:color w:val="auto"/>
        </w:rPr>
      </w:pPr>
    </w:p>
    <w:p>
      <w:pPr>
        <w:ind w:left="20" w:right="59" w:firstLine="256"/>
        <w:spacing w:after="0" w:line="275" w:lineRule="auto"/>
        <w:rPr>
          <w:sz w:val="20"/>
          <w:szCs w:val="20"/>
          <w:color w:val="auto"/>
        </w:rPr>
      </w:pPr>
      <w:r>
        <w:rPr>
          <w:rFonts w:ascii="Arial" w:cs="Arial" w:eastAsia="Arial" w:hAnsi="Arial"/>
          <w:sz w:val="12"/>
          <w:szCs w:val="12"/>
          <w:color w:val="auto"/>
        </w:rPr>
        <w:t>We accounted for warrants to purchase stock of Legacy Lucid Series D preferred stock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condensed consolidated statements of operations and comprehensive loss. We used a Black-Scholes model to calculate the fair value of its redeemable convertible preferred share warrant liability. In February 2021, all outstanding warrants to purchase shares of Legacy Lucid Series D Preferred Shares were exercised.</w:t>
      </w:r>
    </w:p>
    <w:p>
      <w:pPr>
        <w:spacing w:after="0" w:line="128" w:lineRule="exact"/>
        <w:rPr>
          <w:sz w:val="20"/>
          <w:szCs w:val="20"/>
          <w:color w:val="auto"/>
        </w:rPr>
      </w:pPr>
    </w:p>
    <w:p>
      <w:pPr>
        <w:ind w:left="20" w:right="279" w:firstLine="256"/>
        <w:spacing w:after="0" w:line="267" w:lineRule="auto"/>
        <w:rPr>
          <w:sz w:val="20"/>
          <w:szCs w:val="20"/>
          <w:color w:val="auto"/>
        </w:rPr>
      </w:pPr>
      <w:r>
        <w:rPr>
          <w:rFonts w:ascii="Arial" w:cs="Arial" w:eastAsia="Arial" w:hAnsi="Arial"/>
          <w:sz w:val="13"/>
          <w:szCs w:val="13"/>
          <w:color w:val="auto"/>
        </w:rPr>
        <w:t>See Note 9 — Convertible Preferred to the unaudited interim condensed consolidated financial statements included elsewhere in this offering memorandum for more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Income Taxes</w:t>
      </w:r>
    </w:p>
    <w:p>
      <w:pPr>
        <w:spacing w:after="0" w:line="158" w:lineRule="exact"/>
        <w:rPr>
          <w:sz w:val="20"/>
          <w:szCs w:val="20"/>
          <w:color w:val="auto"/>
        </w:rPr>
      </w:pPr>
    </w:p>
    <w:p>
      <w:pPr>
        <w:ind w:left="20" w:right="119" w:firstLine="256"/>
        <w:spacing w:after="0" w:line="308" w:lineRule="auto"/>
        <w:rPr>
          <w:sz w:val="20"/>
          <w:szCs w:val="20"/>
          <w:color w:val="auto"/>
        </w:rPr>
      </w:pPr>
      <w:r>
        <w:rPr>
          <w:rFonts w:ascii="Arial" w:cs="Arial" w:eastAsia="Arial" w:hAnsi="Arial"/>
          <w:sz w:val="11"/>
          <w:szCs w:val="11"/>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11" w:lineRule="exact"/>
        <w:rPr>
          <w:sz w:val="20"/>
          <w:szCs w:val="20"/>
          <w:color w:val="auto"/>
        </w:rPr>
      </w:pPr>
    </w:p>
    <w:p>
      <w:pPr>
        <w:ind w:left="20" w:right="239" w:firstLine="256"/>
        <w:spacing w:after="0" w:line="314" w:lineRule="auto"/>
        <w:rPr>
          <w:sz w:val="20"/>
          <w:szCs w:val="20"/>
          <w:color w:val="auto"/>
        </w:rPr>
      </w:pPr>
      <w:r>
        <w:rPr>
          <w:rFonts w:ascii="Arial" w:cs="Arial" w:eastAsia="Arial" w:hAnsi="Arial"/>
          <w:sz w:val="11"/>
          <w:szCs w:val="11"/>
          <w:color w:val="auto"/>
        </w:rPr>
        <w:t>We make estimates, assumptions and judgments to determine our provision for Lucid Group’s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3" w:name="page24"/>
    <w:bookmarkEnd w:id="23"/>
    <w:p>
      <w:pPr>
        <w:ind w:left="20" w:right="39" w:firstLine="256"/>
        <w:spacing w:after="0" w:line="253" w:lineRule="auto"/>
        <w:rPr>
          <w:sz w:val="20"/>
          <w:szCs w:val="20"/>
          <w:color w:val="auto"/>
        </w:rPr>
      </w:pPr>
      <w:r>
        <w:rPr>
          <w:rFonts w:ascii="Arial" w:cs="Arial" w:eastAsia="Arial" w:hAnsi="Arial"/>
          <w:sz w:val="13"/>
          <w:szCs w:val="13"/>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offering memorandum, have not been material, are recognized within provision for income taxes.</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Recently Adopted Accounting Pronouncements</w:t>
      </w:r>
    </w:p>
    <w:p>
      <w:pPr>
        <w:spacing w:after="0" w:line="158" w:lineRule="exact"/>
        <w:rPr>
          <w:sz w:val="20"/>
          <w:szCs w:val="20"/>
          <w:color w:val="auto"/>
        </w:rPr>
      </w:pPr>
    </w:p>
    <w:p>
      <w:pPr>
        <w:ind w:left="20" w:right="519" w:firstLine="256"/>
        <w:spacing w:after="0" w:line="267" w:lineRule="auto"/>
        <w:rPr>
          <w:sz w:val="20"/>
          <w:szCs w:val="20"/>
          <w:color w:val="auto"/>
        </w:rPr>
      </w:pPr>
      <w:r>
        <w:rPr>
          <w:rFonts w:ascii="Arial" w:cs="Arial" w:eastAsia="Arial" w:hAnsi="Arial"/>
          <w:sz w:val="13"/>
          <w:szCs w:val="13"/>
          <w:color w:val="auto"/>
        </w:rPr>
        <w:t>See Note 2 to our consolidated financial statements included elsewhere in this offering memorandum for more information regarding recently issued accounting pronouncements.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62" w:lineRule="exact"/>
        <w:rPr>
          <w:sz w:val="20"/>
          <w:szCs w:val="20"/>
          <w:color w:val="auto"/>
        </w:rPr>
      </w:pPr>
    </w:p>
    <w:p>
      <w:pPr>
        <w:ind w:left="20" w:right="139" w:firstLine="256"/>
        <w:spacing w:after="0" w:line="277" w:lineRule="auto"/>
        <w:rPr>
          <w:sz w:val="20"/>
          <w:szCs w:val="20"/>
          <w:color w:val="auto"/>
        </w:rPr>
      </w:pPr>
      <w:r>
        <w:rPr>
          <w:rFonts w:ascii="Arial" w:cs="Arial" w:eastAsia="Arial" w:hAnsi="Arial"/>
          <w:sz w:val="12"/>
          <w:szCs w:val="12"/>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2"/>
          <w:szCs w:val="12"/>
          <w:i w:val="1"/>
          <w:iCs w:val="1"/>
          <w:color w:val="auto"/>
        </w:rPr>
        <w:t>Risk Factors” — We have identified material weaknesses in our internal control over</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reporting. If we are unable to remediate these material weaknesses, or if we identify additional material weaknesses in the future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2"/>
          <w:szCs w:val="12"/>
          <w:color w:val="auto"/>
        </w:rPr>
        <w:t>” in “</w:t>
      </w:r>
      <w:r>
        <w:rPr>
          <w:rFonts w:ascii="Arial" w:cs="Arial" w:eastAsia="Arial" w:hAnsi="Arial"/>
          <w:sz w:val="12"/>
          <w:szCs w:val="12"/>
          <w:i w:val="1"/>
          <w:iCs w:val="1"/>
          <w:color w:val="auto"/>
        </w:rPr>
        <w:t>Risk Factors</w:t>
      </w:r>
      <w:r>
        <w:rPr>
          <w:rFonts w:ascii="Arial" w:cs="Arial" w:eastAsia="Arial" w:hAnsi="Arial"/>
          <w:sz w:val="12"/>
          <w:szCs w:val="12"/>
          <w:color w:val="auto"/>
        </w:rPr>
        <w: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Implications of being an Emerging Growth Company</w:t>
      </w:r>
    </w:p>
    <w:p>
      <w:pPr>
        <w:spacing w:after="0" w:line="162" w:lineRule="exact"/>
        <w:rPr>
          <w:sz w:val="20"/>
          <w:szCs w:val="20"/>
          <w:color w:val="auto"/>
        </w:rPr>
      </w:pPr>
    </w:p>
    <w:p>
      <w:pPr>
        <w:ind w:left="20" w:right="59" w:firstLine="256"/>
        <w:spacing w:after="0" w:line="277" w:lineRule="auto"/>
        <w:rPr>
          <w:sz w:val="20"/>
          <w:szCs w:val="20"/>
          <w:color w:val="auto"/>
        </w:rPr>
      </w:pPr>
      <w:r>
        <w:rPr>
          <w:rFonts w:ascii="Arial" w:cs="Arial" w:eastAsia="Arial" w:hAnsi="Arial"/>
          <w:sz w:val="12"/>
          <w:szCs w:val="12"/>
          <w:color w:val="auto"/>
        </w:rPr>
        <w:t>Section 102(b)(1) of the Jumpstart Our Business Startups Act of 2021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and has elected to take advantage of the benefits of this extended transition period.</w:t>
      </w:r>
    </w:p>
    <w:p>
      <w:pPr>
        <w:spacing w:after="0" w:line="126" w:lineRule="exact"/>
        <w:rPr>
          <w:sz w:val="20"/>
          <w:szCs w:val="20"/>
          <w:color w:val="auto"/>
        </w:rPr>
      </w:pPr>
    </w:p>
    <w:p>
      <w:pPr>
        <w:ind w:left="20" w:right="239" w:firstLine="256"/>
        <w:spacing w:after="0" w:line="275" w:lineRule="auto"/>
        <w:rPr>
          <w:sz w:val="20"/>
          <w:szCs w:val="20"/>
          <w:color w:val="auto"/>
        </w:rPr>
      </w:pPr>
      <w:r>
        <w:rPr>
          <w:rFonts w:ascii="Arial" w:cs="Arial" w:eastAsia="Arial" w:hAnsi="Arial"/>
          <w:sz w:val="12"/>
          <w:szCs w:val="12"/>
          <w:color w:val="auto"/>
        </w:rPr>
        <w:t>We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our emerging growth company status may make it difficult or impossible to compare our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to our consolidated financial statements included elsewhere in this offering memorandum for the recent accounting pronouncements.</w:t>
      </w:r>
    </w:p>
    <w:p>
      <w:pPr>
        <w:spacing w:after="0" w:line="128" w:lineRule="exact"/>
        <w:rPr>
          <w:sz w:val="20"/>
          <w:szCs w:val="20"/>
          <w:color w:val="auto"/>
        </w:rPr>
      </w:pPr>
    </w:p>
    <w:p>
      <w:pPr>
        <w:ind w:left="20" w:right="219" w:firstLine="256"/>
        <w:spacing w:after="0" w:line="251" w:lineRule="auto"/>
        <w:rPr>
          <w:sz w:val="20"/>
          <w:szCs w:val="20"/>
          <w:color w:val="auto"/>
        </w:rPr>
      </w:pPr>
      <w:r>
        <w:rPr>
          <w:rFonts w:ascii="Arial" w:cs="Arial" w:eastAsia="Arial" w:hAnsi="Arial"/>
          <w:sz w:val="13"/>
          <w:szCs w:val="13"/>
          <w:color w:val="auto"/>
        </w:rPr>
        <w:t>We will remain an “emerging growth company” under the JOBS Act until the earliest of (a) the last day of our first fiscal year following the fifth anniversary of the Churchill IPO, (b) the last date of our fiscal year in which we have total annual gross revenue of at least $1.07 billion, (c) the last date of our fiscal year in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 We will cease to be an emerging growth company as of December 31,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24" w:name="page25"/>
    <w:bookmarkEnd w:id="24"/>
    <w:p>
      <w:pPr>
        <w:ind w:left="20"/>
        <w:spacing w:after="0"/>
        <w:rPr>
          <w:sz w:val="20"/>
          <w:szCs w:val="20"/>
          <w:color w:val="auto"/>
        </w:rPr>
      </w:pPr>
      <w:r>
        <w:rPr>
          <w:rFonts w:ascii="Arial" w:cs="Arial" w:eastAsia="Arial" w:hAnsi="Arial"/>
          <w:sz w:val="13"/>
          <w:szCs w:val="13"/>
          <w:b w:val="1"/>
          <w:bCs w:val="1"/>
          <w:color w:val="auto"/>
        </w:rPr>
        <w:t>Off-Balance Sheet Arrangements</w:t>
      </w:r>
    </w:p>
    <w:p>
      <w:pPr>
        <w:spacing w:after="0" w:line="162" w:lineRule="exact"/>
        <w:rPr>
          <w:sz w:val="20"/>
          <w:szCs w:val="20"/>
          <w:color w:val="auto"/>
        </w:rPr>
      </w:pPr>
    </w:p>
    <w:p>
      <w:pPr>
        <w:ind w:left="20" w:right="779" w:firstLine="258"/>
        <w:spacing w:after="0" w:line="267" w:lineRule="auto"/>
        <w:rPr>
          <w:sz w:val="20"/>
          <w:szCs w:val="20"/>
          <w:color w:val="auto"/>
        </w:rPr>
      </w:pPr>
      <w:r>
        <w:rPr>
          <w:rFonts w:ascii="Arial" w:cs="Arial" w:eastAsia="Arial" w:hAnsi="Arial"/>
          <w:sz w:val="13"/>
          <w:szCs w:val="13"/>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49"/>
        </w:trPr>
        <w:tc>
          <w:tcPr>
            <w:tcW w:w="7200" w:type="dxa"/>
            <w:vAlign w:val="bottom"/>
            <w:gridSpan w:val="7"/>
          </w:tcPr>
          <w:p>
            <w:pPr>
              <w:spacing w:after="0"/>
              <w:rPr>
                <w:rFonts w:ascii="Arial" w:cs="Arial" w:eastAsia="Arial" w:hAnsi="Arial"/>
                <w:sz w:val="13"/>
                <w:szCs w:val="13"/>
                <w:color w:val="0000EE"/>
              </w:rPr>
            </w:pPr>
            <w:hyperlink w:anchor="page26">
              <w:r>
                <w:rPr>
                  <w:rFonts w:ascii="Arial" w:cs="Arial" w:eastAsia="Arial" w:hAnsi="Arial"/>
                  <w:sz w:val="13"/>
                  <w:szCs w:val="13"/>
                  <w:color w:val="0000EE"/>
                </w:rPr>
                <w:t>Table of Contents</w:t>
              </w:r>
            </w:hyperlink>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1"/>
        </w:trPr>
        <w:tc>
          <w:tcPr>
            <w:tcW w:w="92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Exhibit 99.3</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20" w:type="dxa"/>
            <w:vAlign w:val="bottom"/>
            <w:gridSpan w:val="4"/>
          </w:tcPr>
          <w:p>
            <w:pPr>
              <w:jc w:val="center"/>
              <w:ind w:right="1020"/>
              <w:spacing w:after="0"/>
              <w:rPr>
                <w:sz w:val="20"/>
                <w:szCs w:val="20"/>
                <w:color w:val="auto"/>
              </w:rPr>
            </w:pPr>
            <w:r>
              <w:rPr>
                <w:rFonts w:ascii="Arial" w:cs="Arial" w:eastAsia="Arial" w:hAnsi="Arial"/>
                <w:sz w:val="13"/>
                <w:szCs w:val="13"/>
                <w:b w:val="1"/>
                <w:bCs w:val="1"/>
                <w:color w:val="auto"/>
                <w:w w:val="96"/>
              </w:rPr>
              <w:t>INDEX TO FINANCIAL STATEMENTS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3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Atieva, Inc. Audited Consolidated Financial Statements</w:t>
            </w:r>
          </w:p>
        </w:tc>
        <w:tc>
          <w:tcPr>
            <w:tcW w:w="1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36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80" w:type="dxa"/>
            <w:vAlign w:val="bottom"/>
            <w:tcBorders>
              <w:bottom w:val="single" w:sz="8" w:color="0000EE"/>
            </w:tcBorders>
            <w:gridSpan w:val="3"/>
            <w:shd w:val="clear" w:color="auto" w:fill="CCEEFF"/>
          </w:tcPr>
          <w:p>
            <w:pPr>
              <w:spacing w:after="0" w:line="125" w:lineRule="exact"/>
              <w:rPr>
                <w:rFonts w:ascii="Arial" w:cs="Arial" w:eastAsia="Arial" w:hAnsi="Arial"/>
                <w:sz w:val="13"/>
                <w:szCs w:val="13"/>
                <w:color w:val="0000EE"/>
                <w:w w:val="94"/>
              </w:rPr>
            </w:pPr>
            <w:hyperlink w:anchor="page27">
              <w:r>
                <w:rPr>
                  <w:rFonts w:ascii="Arial" w:cs="Arial" w:eastAsia="Arial" w:hAnsi="Arial"/>
                  <w:sz w:val="13"/>
                  <w:szCs w:val="13"/>
                  <w:color w:val="0000EE"/>
                  <w:w w:val="94"/>
                </w:rPr>
                <w:t>Report of Independent Registered Accounting Firm</w:t>
              </w:r>
            </w:hyperlink>
          </w:p>
        </w:tc>
        <w:tc>
          <w:tcPr>
            <w:tcW w:w="4420" w:type="dxa"/>
            <w:vAlign w:val="bottom"/>
            <w:tcBorders>
              <w:bottom w:val="single" w:sz="8" w:color="CCEEFF"/>
            </w:tcBorders>
            <w:gridSpan w:val="4"/>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F-2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80" w:type="dxa"/>
            <w:vAlign w:val="bottom"/>
            <w:tcBorders>
              <w:bottom w:val="single" w:sz="8" w:color="0000EE"/>
            </w:tcBorders>
            <w:gridSpan w:val="4"/>
          </w:tcPr>
          <w:p>
            <w:pPr>
              <w:spacing w:after="0" w:line="125" w:lineRule="exact"/>
              <w:rPr>
                <w:rFonts w:ascii="Arial" w:cs="Arial" w:eastAsia="Arial" w:hAnsi="Arial"/>
                <w:sz w:val="13"/>
                <w:szCs w:val="13"/>
                <w:color w:val="0000EE"/>
                <w:w w:val="91"/>
              </w:rPr>
            </w:pPr>
            <w:hyperlink w:anchor="page28">
              <w:r>
                <w:rPr>
                  <w:rFonts w:ascii="Arial" w:cs="Arial" w:eastAsia="Arial" w:hAnsi="Arial"/>
                  <w:sz w:val="13"/>
                  <w:szCs w:val="13"/>
                  <w:color w:val="0000EE"/>
                  <w:w w:val="91"/>
                </w:rPr>
                <w:t>Consolidated Balance Sheets as of December 31, 2020 and 2019</w:t>
              </w:r>
            </w:hyperlink>
          </w:p>
        </w:tc>
        <w:tc>
          <w:tcPr>
            <w:tcW w:w="3720" w:type="dxa"/>
            <w:vAlign w:val="bottom"/>
            <w:gridSpan w:val="3"/>
          </w:tcPr>
          <w:p>
            <w:pPr>
              <w:spacing w:after="0"/>
              <w:rPr>
                <w:sz w:val="11"/>
                <w:szCs w:val="11"/>
                <w:color w:val="auto"/>
              </w:rPr>
            </w:pPr>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0" w:type="dxa"/>
            <w:vAlign w:val="bottom"/>
            <w:gridSpan w:val="7"/>
            <w:shd w:val="clear" w:color="auto" w:fill="CCEEFF"/>
          </w:tcPr>
          <w:p>
            <w:pPr>
              <w:spacing w:after="0" w:line="125" w:lineRule="exact"/>
              <w:rPr>
                <w:rFonts w:ascii="Arial" w:cs="Arial" w:eastAsia="Arial" w:hAnsi="Arial"/>
                <w:sz w:val="13"/>
                <w:szCs w:val="13"/>
                <w:color w:val="0000EE"/>
              </w:rPr>
            </w:pPr>
            <w:hyperlink w:anchor="page29">
              <w:r>
                <w:rPr>
                  <w:rFonts w:ascii="Arial" w:cs="Arial" w:eastAsia="Arial" w:hAnsi="Arial"/>
                  <w:sz w:val="13"/>
                  <w:szCs w:val="13"/>
                  <w:color w:val="0000EE"/>
                </w:rPr>
                <w:t>Consolidated Statements of Operations and Comprehensive Loss for the Years Ended December 31, 2020 and 2019</w:t>
              </w:r>
            </w:hyperlink>
          </w:p>
        </w:tc>
        <w:tc>
          <w:tcPr>
            <w:tcW w:w="176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F-4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92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3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7200" w:type="dxa"/>
            <w:vAlign w:val="bottom"/>
            <w:tcBorders>
              <w:bottom w:val="single" w:sz="8" w:color="0000EE"/>
            </w:tcBorders>
            <w:gridSpan w:val="7"/>
          </w:tcPr>
          <w:p>
            <w:pPr>
              <w:spacing w:after="0" w:line="125" w:lineRule="exact"/>
              <w:rPr>
                <w:rFonts w:ascii="Arial" w:cs="Arial" w:eastAsia="Arial" w:hAnsi="Arial"/>
                <w:sz w:val="13"/>
                <w:szCs w:val="13"/>
                <w:color w:val="0000EE"/>
                <w:w w:val="92"/>
              </w:rPr>
            </w:pPr>
            <w:hyperlink w:anchor="page30">
              <w:r>
                <w:rPr>
                  <w:rFonts w:ascii="Arial" w:cs="Arial" w:eastAsia="Arial" w:hAnsi="Arial"/>
                  <w:sz w:val="13"/>
                  <w:szCs w:val="13"/>
                  <w:color w:val="0000EE"/>
                  <w:w w:val="92"/>
                </w:rPr>
                <w:t>Consolidated Statements of Convertible Preferred Shares and Shareholders’ Deficit for the Years Ended December 31, 2020 and 2019</w:t>
              </w:r>
            </w:hyperlink>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860" w:type="dxa"/>
            <w:vAlign w:val="bottom"/>
            <w:tcBorders>
              <w:bottom w:val="single" w:sz="8" w:color="0000EE"/>
            </w:tcBorders>
            <w:gridSpan w:val="5"/>
            <w:shd w:val="clear" w:color="auto" w:fill="CCEEFF"/>
          </w:tcPr>
          <w:p>
            <w:pPr>
              <w:spacing w:after="0" w:line="125" w:lineRule="exact"/>
              <w:rPr>
                <w:rFonts w:ascii="Arial" w:cs="Arial" w:eastAsia="Arial" w:hAnsi="Arial"/>
                <w:sz w:val="13"/>
                <w:szCs w:val="13"/>
                <w:color w:val="0000EE"/>
                <w:w w:val="92"/>
              </w:rPr>
            </w:pPr>
            <w:hyperlink w:anchor="page31">
              <w:r>
                <w:rPr>
                  <w:rFonts w:ascii="Arial" w:cs="Arial" w:eastAsia="Arial" w:hAnsi="Arial"/>
                  <w:sz w:val="13"/>
                  <w:szCs w:val="13"/>
                  <w:color w:val="0000EE"/>
                  <w:w w:val="92"/>
                </w:rPr>
                <w:t>Consolidated Statements of Cash Flows for the Years Ended December 31, 2020 and 2019</w:t>
              </w:r>
            </w:hyperlink>
          </w:p>
        </w:tc>
        <w:tc>
          <w:tcPr>
            <w:tcW w:w="2340" w:type="dxa"/>
            <w:vAlign w:val="bottom"/>
            <w:tcBorders>
              <w:bottom w:val="single" w:sz="8" w:color="CCEEFF"/>
            </w:tcBorders>
            <w:gridSpan w:val="2"/>
            <w:shd w:val="clear" w:color="auto" w:fill="CCEEFF"/>
          </w:tcPr>
          <w:p>
            <w:pPr>
              <w:spacing w:after="0"/>
              <w:rPr>
                <w:sz w:val="11"/>
                <w:szCs w:val="11"/>
                <w:color w:val="auto"/>
              </w:rPr>
            </w:pPr>
          </w:p>
        </w:tc>
        <w:tc>
          <w:tcPr>
            <w:tcW w:w="1760" w:type="dxa"/>
            <w:vAlign w:val="bottom"/>
            <w:tcBorders>
              <w:bottom w:val="single" w:sz="8" w:color="CCEEFF"/>
            </w:tcBorders>
            <w:shd w:val="clear" w:color="auto" w:fill="CCEEFF"/>
          </w:tcPr>
          <w:p>
            <w:pPr>
              <w:jc w:val="right"/>
              <w:spacing w:after="0" w:line="125" w:lineRule="exact"/>
              <w:rPr>
                <w:sz w:val="20"/>
                <w:szCs w:val="20"/>
                <w:color w:val="auto"/>
              </w:rPr>
            </w:pPr>
            <w:r>
              <w:rPr>
                <w:rFonts w:ascii="Arial" w:cs="Arial" w:eastAsia="Arial" w:hAnsi="Arial"/>
                <w:sz w:val="13"/>
                <w:szCs w:val="13"/>
                <w:color w:val="auto"/>
              </w:rPr>
              <w:t>F-6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7200" w:type="dxa"/>
            <w:vAlign w:val="bottom"/>
            <w:gridSpan w:val="7"/>
          </w:tcPr>
          <w:p>
            <w:pPr>
              <w:spacing w:after="0" w:line="125" w:lineRule="exact"/>
              <w:rPr>
                <w:rFonts w:ascii="Arial" w:cs="Arial" w:eastAsia="Arial" w:hAnsi="Arial"/>
                <w:sz w:val="13"/>
                <w:szCs w:val="13"/>
                <w:color w:val="0000EE"/>
              </w:rPr>
            </w:pPr>
            <w:hyperlink w:anchor="page32">
              <w:r>
                <w:rPr>
                  <w:rFonts w:ascii="Arial" w:cs="Arial" w:eastAsia="Arial" w:hAnsi="Arial"/>
                  <w:sz w:val="13"/>
                  <w:szCs w:val="13"/>
                  <w:color w:val="0000EE"/>
                </w:rPr>
                <w:t>Notes to Consolidated Financial Statements</w:t>
              </w:r>
            </w:hyperlink>
          </w:p>
        </w:tc>
        <w:tc>
          <w:tcPr>
            <w:tcW w:w="1760" w:type="dxa"/>
            <w:vAlign w:val="bottom"/>
          </w:tcPr>
          <w:p>
            <w:pPr>
              <w:jc w:val="right"/>
              <w:spacing w:after="0" w:line="125" w:lineRule="exact"/>
              <w:rPr>
                <w:sz w:val="20"/>
                <w:szCs w:val="20"/>
                <w:color w:val="auto"/>
              </w:rPr>
            </w:pPr>
            <w:r>
              <w:rPr>
                <w:rFonts w:ascii="Arial" w:cs="Arial" w:eastAsia="Arial" w:hAnsi="Arial"/>
                <w:sz w:val="13"/>
                <w:szCs w:val="13"/>
                <w:color w:val="auto"/>
              </w:rPr>
              <w:t>F-7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7"/>
        </w:trPr>
        <w:tc>
          <w:tcPr>
            <w:tcW w:w="9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gridSpan w:val="3"/>
          </w:tcPr>
          <w:p>
            <w:pPr>
              <w:jc w:val="center"/>
              <w:ind w:right="1700"/>
              <w:spacing w:after="0"/>
              <w:rPr>
                <w:sz w:val="20"/>
                <w:szCs w:val="20"/>
                <w:color w:val="auto"/>
              </w:rPr>
            </w:pPr>
            <w:r>
              <w:rPr>
                <w:rFonts w:ascii="Arial" w:cs="Arial" w:eastAsia="Arial" w:hAnsi="Arial"/>
                <w:sz w:val="13"/>
                <w:szCs w:val="13"/>
                <w:color w:val="auto"/>
                <w:w w:val="92"/>
              </w:rPr>
              <w:t>F-1</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5" w:right="1440" w:bottom="1440" w:gutter="0" w:footer="0" w:header="0"/>
        </w:sectPr>
      </w:pPr>
    </w:p>
    <w:bookmarkStart w:id="26" w:name="page27"/>
    <w:bookmarkEnd w:id="26"/>
    <w:p>
      <w:pPr>
        <w:ind w:left="20"/>
        <w:spacing w:after="0"/>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3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Board of Directors and Stockholders Lucid Group, Inc.</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Opinion on the financial statements</w:t>
      </w:r>
    </w:p>
    <w:p>
      <w:pPr>
        <w:spacing w:after="0" w:line="162" w:lineRule="exact"/>
        <w:rPr>
          <w:sz w:val="20"/>
          <w:szCs w:val="20"/>
          <w:color w:val="auto"/>
        </w:rPr>
      </w:pPr>
    </w:p>
    <w:p>
      <w:pPr>
        <w:ind w:left="20" w:right="99" w:firstLine="231"/>
        <w:spacing w:after="0" w:line="308" w:lineRule="auto"/>
        <w:rPr>
          <w:sz w:val="20"/>
          <w:szCs w:val="20"/>
          <w:color w:val="auto"/>
        </w:rPr>
      </w:pPr>
      <w:r>
        <w:rPr>
          <w:rFonts w:ascii="Arial" w:cs="Arial" w:eastAsia="Arial" w:hAnsi="Arial"/>
          <w:sz w:val="11"/>
          <w:szCs w:val="11"/>
          <w:color w:val="auto"/>
        </w:rPr>
        <w:t>We have audited the accompanying consolidated balance sheets of Atieva, Inc. (a Cayman Islands corporation) and subsidiaries (the “Company”) as of December 31, 2020 and 2019, the related consolidated statements of operations and comprehensive loss, convertible preferred shares and shareholders’ deficit, and cash flows for each of the two years in the period ended December 31, 2020, and the related notes (collectively referred to as the “financial statements”). In our opinion, the consolidated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Basis for opinion</w:t>
      </w:r>
    </w:p>
    <w:p>
      <w:pPr>
        <w:spacing w:after="0" w:line="162" w:lineRule="exact"/>
        <w:rPr>
          <w:sz w:val="20"/>
          <w:szCs w:val="20"/>
          <w:color w:val="auto"/>
        </w:rPr>
      </w:pPr>
    </w:p>
    <w:p>
      <w:pPr>
        <w:ind w:left="20" w:right="79" w:firstLine="231"/>
        <w:spacing w:after="0" w:line="253"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39" w:lineRule="exact"/>
        <w:rPr>
          <w:sz w:val="20"/>
          <w:szCs w:val="20"/>
          <w:color w:val="auto"/>
        </w:rPr>
      </w:pPr>
    </w:p>
    <w:p>
      <w:pPr>
        <w:ind w:left="20" w:right="219" w:firstLine="231"/>
        <w:spacing w:after="0" w:line="314"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left="20" w:right="179" w:firstLine="231"/>
        <w:spacing w:after="0" w:line="28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GRANT THORNTON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have served as the Company’s auditor since 2020.</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San Francisco, California</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December 8, 2021</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7" w:name="page28"/>
    <w:bookmarkEnd w:id="27"/>
    <w:p>
      <w:pPr>
        <w:ind w:left="20"/>
        <w:spacing w:after="0"/>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BALANCE SHEETS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tcBorders>
              <w:bottom w:val="single" w:sz="8" w:color="auto"/>
            </w:tcBorders>
          </w:tcPr>
          <w:p>
            <w:pPr>
              <w:spacing w:after="0"/>
              <w:rPr>
                <w:sz w:val="10"/>
                <w:szCs w:val="10"/>
                <w:color w:val="auto"/>
              </w:rPr>
            </w:pPr>
          </w:p>
        </w:tc>
      </w:tr>
      <w:tr>
        <w:trPr>
          <w:trHeight w:val="95"/>
        </w:trPr>
        <w:tc>
          <w:tcPr>
            <w:tcW w:w="676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9"/>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29"/>
              <w:spacing w:after="0" w:line="95" w:lineRule="exact"/>
              <w:rPr>
                <w:sz w:val="20"/>
                <w:szCs w:val="20"/>
                <w:color w:val="auto"/>
              </w:rPr>
            </w:pPr>
            <w:r>
              <w:rPr>
                <w:rFonts w:ascii="Arial" w:cs="Arial" w:eastAsia="Arial" w:hAnsi="Arial"/>
                <w:sz w:val="10"/>
                <w:szCs w:val="10"/>
                <w:b w:val="1"/>
                <w:bCs w:val="1"/>
                <w:color w:val="auto"/>
                <w:w w:val="89"/>
              </w:rPr>
              <w:t>2019</w:t>
            </w:r>
          </w:p>
        </w:tc>
      </w:tr>
      <w:tr>
        <w:trPr>
          <w:trHeight w:val="95"/>
        </w:trPr>
        <w:tc>
          <w:tcPr>
            <w:tcW w:w="676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ASSETS</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106"/>
        </w:trPr>
        <w:tc>
          <w:tcPr>
            <w:tcW w:w="6760" w:type="dxa"/>
            <w:vAlign w:val="bottom"/>
          </w:tcPr>
          <w:p>
            <w:pPr>
              <w:spacing w:after="0" w:line="106" w:lineRule="exact"/>
              <w:rPr>
                <w:sz w:val="20"/>
                <w:szCs w:val="20"/>
                <w:color w:val="auto"/>
              </w:rPr>
            </w:pPr>
            <w:r>
              <w:rPr>
                <w:rFonts w:ascii="Arial" w:cs="Arial" w:eastAsia="Arial" w:hAnsi="Arial"/>
                <w:sz w:val="10"/>
                <w:szCs w:val="10"/>
                <w:color w:val="auto"/>
              </w:rPr>
              <w:t>Current assets: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Cash</w:t>
            </w:r>
          </w:p>
        </w:tc>
        <w:tc>
          <w:tcPr>
            <w:tcW w:w="340" w:type="dxa"/>
            <w:vAlign w:val="bottom"/>
            <w:gridSpan w:val="2"/>
            <w:shd w:val="clear" w:color="auto" w:fill="CCEEFF"/>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614,412</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315"/>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351,684</w:t>
            </w: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rPr>
              <w:t>Restricted cash, current portion</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11,278</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19,767</w:t>
            </w: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Accounts receivable, net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260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408</w:t>
            </w: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rPr>
              <w:t>Short-term investments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505</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505</w:t>
            </w: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Inventory</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1,043</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684</w:t>
            </w: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rPr>
              <w:t>Prepaid expenses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21,840</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29,610</w:t>
            </w: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 current assets</w:t>
            </w:r>
          </w:p>
        </w:tc>
        <w:tc>
          <w:tcPr>
            <w:tcW w:w="14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13,218</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20,578</w:t>
            </w:r>
          </w:p>
        </w:tc>
      </w:tr>
      <w:tr>
        <w:trPr>
          <w:trHeight w:val="95"/>
        </w:trPr>
        <w:tc>
          <w:tcPr>
            <w:tcW w:w="6760" w:type="dxa"/>
            <w:vAlign w:val="bottom"/>
            <w:tcBorders>
              <w:bottom w:val="single" w:sz="8" w:color="CCEEFF"/>
            </w:tcBorders>
          </w:tcPr>
          <w:p>
            <w:pPr>
              <w:ind w:left="200"/>
              <w:spacing w:after="0" w:line="95" w:lineRule="exact"/>
              <w:rPr>
                <w:sz w:val="20"/>
                <w:szCs w:val="20"/>
                <w:color w:val="auto"/>
              </w:rPr>
            </w:pPr>
            <w:r>
              <w:rPr>
                <w:rFonts w:ascii="Arial" w:cs="Arial" w:eastAsia="Arial" w:hAnsi="Arial"/>
                <w:sz w:val="10"/>
                <w:szCs w:val="10"/>
                <w:color w:val="auto"/>
              </w:rPr>
              <w:t>Total current assets</w:t>
            </w: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662,556</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423,236</w:t>
            </w:r>
          </w:p>
        </w:tc>
      </w:tr>
      <w:tr>
        <w:trPr>
          <w:trHeight w:val="95"/>
        </w:trPr>
        <w:tc>
          <w:tcPr>
            <w:tcW w:w="67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Property, plant and equipment, net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713,274</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142,813</w:t>
            </w:r>
          </w:p>
        </w:tc>
      </w:tr>
      <w:tr>
        <w:trPr>
          <w:trHeight w:val="106"/>
        </w:trPr>
        <w:tc>
          <w:tcPr>
            <w:tcW w:w="6760" w:type="dxa"/>
            <w:vAlign w:val="bottom"/>
          </w:tcPr>
          <w:p>
            <w:pPr>
              <w:spacing w:after="0" w:line="106" w:lineRule="exact"/>
              <w:rPr>
                <w:sz w:val="20"/>
                <w:szCs w:val="20"/>
                <w:color w:val="auto"/>
              </w:rPr>
            </w:pPr>
            <w:r>
              <w:rPr>
                <w:rFonts w:ascii="Arial" w:cs="Arial" w:eastAsia="Arial" w:hAnsi="Arial"/>
                <w:sz w:val="10"/>
                <w:szCs w:val="10"/>
                <w:color w:val="auto"/>
              </w:rPr>
              <w:t>Security deposits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3,901</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3,229</w:t>
            </w: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Restricted cash, less current portion</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14,728</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8,200</w:t>
            </w:r>
          </w:p>
        </w:tc>
      </w:tr>
      <w:tr>
        <w:trPr>
          <w:trHeight w:val="106"/>
        </w:trPr>
        <w:tc>
          <w:tcPr>
            <w:tcW w:w="6760" w:type="dxa"/>
            <w:vAlign w:val="bottom"/>
            <w:tcBorders>
              <w:bottom w:val="single" w:sz="8" w:color="CCEEFF"/>
            </w:tcBorders>
          </w:tcPr>
          <w:p>
            <w:pPr>
              <w:spacing w:after="0" w:line="106" w:lineRule="exact"/>
              <w:rPr>
                <w:sz w:val="20"/>
                <w:szCs w:val="20"/>
                <w:color w:val="auto"/>
              </w:rPr>
            </w:pPr>
            <w:r>
              <w:rPr>
                <w:rFonts w:ascii="Arial" w:cs="Arial" w:eastAsia="Arial" w:hAnsi="Arial"/>
                <w:sz w:val="10"/>
                <w:szCs w:val="10"/>
                <w:color w:val="auto"/>
              </w:rPr>
              <w:t>Other noncurrent assets</w:t>
            </w:r>
          </w:p>
        </w:tc>
        <w:tc>
          <w:tcPr>
            <w:tcW w:w="14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8,222</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2,124</w:t>
            </w:r>
          </w:p>
        </w:tc>
      </w:tr>
      <w:tr>
        <w:trPr>
          <w:trHeight w:val="115"/>
        </w:trPr>
        <w:tc>
          <w:tcPr>
            <w:tcW w:w="6760" w:type="dxa"/>
            <w:vAlign w:val="bottom"/>
            <w:tcBorders>
              <w:bottom w:val="single" w:sz="8" w:color="CCEEFF"/>
            </w:tcBorders>
            <w:shd w:val="clear" w:color="auto" w:fill="CCEEFF"/>
          </w:tcPr>
          <w:p>
            <w:pPr>
              <w:spacing w:after="0" w:line="95" w:lineRule="exact"/>
              <w:rPr>
                <w:sz w:val="20"/>
                <w:szCs w:val="20"/>
                <w:color w:val="auto"/>
              </w:rPr>
            </w:pPr>
            <w:r>
              <w:rPr>
                <w:rFonts w:ascii="Arial" w:cs="Arial" w:eastAsia="Arial" w:hAnsi="Arial"/>
                <w:sz w:val="10"/>
                <w:szCs w:val="10"/>
                <w:b w:val="1"/>
                <w:bCs w:val="1"/>
                <w:color w:val="auto"/>
              </w:rPr>
              <w:t>TOTAL ASSETS</w:t>
            </w:r>
          </w:p>
        </w:tc>
        <w:tc>
          <w:tcPr>
            <w:tcW w:w="14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jc w:val="right"/>
              <w:ind w:right="89"/>
              <w:spacing w:after="0" w:line="9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b w:val="1"/>
                <w:bCs w:val="1"/>
                <w:color w:val="auto"/>
              </w:rPr>
              <w:t>1,402,681</w:t>
            </w:r>
          </w:p>
        </w:tc>
        <w:tc>
          <w:tcPr>
            <w:tcW w:w="2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
                <w:szCs w:val="1"/>
                <w:b w:val="1"/>
                <w:bCs w:val="1"/>
                <w:color w:val="auto"/>
                <w:w w:val="4294967288"/>
              </w:rPr>
              <w:t>$</w:t>
            </w:r>
          </w:p>
        </w:tc>
        <w:tc>
          <w:tcPr>
            <w:tcW w:w="60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b w:val="1"/>
                <w:bCs w:val="1"/>
                <w:color w:val="auto"/>
              </w:rPr>
              <w:t>579,602</w:t>
            </w:r>
          </w:p>
        </w:tc>
      </w:tr>
      <w:tr>
        <w:trPr>
          <w:trHeight w:val="95"/>
        </w:trPr>
        <w:tc>
          <w:tcPr>
            <w:tcW w:w="6760" w:type="dxa"/>
            <w:vAlign w:val="bottom"/>
          </w:tcPr>
          <w:p>
            <w:pPr>
              <w:spacing w:after="0" w:line="95" w:lineRule="exact"/>
              <w:rPr>
                <w:sz w:val="20"/>
                <w:szCs w:val="20"/>
                <w:color w:val="auto"/>
              </w:rPr>
            </w:pPr>
            <w:r>
              <w:rPr>
                <w:rFonts w:ascii="Arial" w:cs="Arial" w:eastAsia="Arial" w:hAnsi="Arial"/>
                <w:sz w:val="10"/>
                <w:szCs w:val="10"/>
                <w:b w:val="1"/>
                <w:bCs w:val="1"/>
                <w:color w:val="auto"/>
              </w:rPr>
              <w:t>LIABILITIES, CONVERTIBLE PREFERRED SHARES AND SHAREHOLDERS’ DEFICIT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Current liabilities:</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rPr>
              <w:t>Accounts payable</w:t>
            </w:r>
          </w:p>
        </w:tc>
        <w:tc>
          <w:tcPr>
            <w:tcW w:w="340" w:type="dxa"/>
            <w:vAlign w:val="bottom"/>
            <w:gridSpan w:val="2"/>
          </w:tcPr>
          <w:p>
            <w:pPr>
              <w:jc w:val="right"/>
              <w:ind w:right="89"/>
              <w:spacing w:after="0" w:line="106" w:lineRule="exact"/>
              <w:rPr>
                <w:sz w:val="20"/>
                <w:szCs w:val="20"/>
                <w:color w:val="auto"/>
              </w:rPr>
            </w:pPr>
            <w:r>
              <w:rPr>
                <w:rFonts w:ascii="Arial" w:cs="Arial" w:eastAsia="Arial" w:hAnsi="Arial"/>
                <w:sz w:val="10"/>
                <w:szCs w:val="10"/>
                <w:color w:val="auto"/>
              </w:rPr>
              <w:t>$</w:t>
            </w: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17,333</w:t>
            </w:r>
          </w:p>
        </w:tc>
        <w:tc>
          <w:tcPr>
            <w:tcW w:w="200" w:type="dxa"/>
            <w:vAlign w:val="bottom"/>
          </w:tcPr>
          <w:p>
            <w:pPr>
              <w:spacing w:after="0"/>
              <w:rPr>
                <w:sz w:val="9"/>
                <w:szCs w:val="9"/>
                <w:color w:val="auto"/>
              </w:rPr>
            </w:pPr>
          </w:p>
        </w:tc>
        <w:tc>
          <w:tcPr>
            <w:tcW w:w="360" w:type="dxa"/>
            <w:vAlign w:val="bottom"/>
            <w:gridSpan w:val="2"/>
          </w:tcPr>
          <w:p>
            <w:pPr>
              <w:jc w:val="right"/>
              <w:ind w:right="315"/>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12,656</w:t>
            </w: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Accrued compensation</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16,197</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2,949</w:t>
            </w: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rPr>
              <w:t>Other accrued liabilities</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146,083</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46,079</w:t>
            </w:r>
          </w:p>
        </w:tc>
      </w:tr>
      <w:tr>
        <w:trPr>
          <w:trHeight w:val="106"/>
        </w:trPr>
        <w:tc>
          <w:tcPr>
            <w:tcW w:w="676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Other liabilities</w:t>
            </w:r>
          </w:p>
        </w:tc>
        <w:tc>
          <w:tcPr>
            <w:tcW w:w="14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5,670</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4,174</w:t>
            </w:r>
          </w:p>
        </w:tc>
      </w:tr>
      <w:tr>
        <w:trPr>
          <w:trHeight w:val="95"/>
        </w:trPr>
        <w:tc>
          <w:tcPr>
            <w:tcW w:w="6760" w:type="dxa"/>
            <w:vAlign w:val="bottom"/>
            <w:tcBorders>
              <w:bottom w:val="single" w:sz="8" w:color="CCEEFF"/>
            </w:tcBorders>
          </w:tcPr>
          <w:p>
            <w:pPr>
              <w:ind w:left="200"/>
              <w:spacing w:after="0" w:line="95" w:lineRule="exact"/>
              <w:rPr>
                <w:sz w:val="20"/>
                <w:szCs w:val="20"/>
                <w:color w:val="auto"/>
              </w:rPr>
            </w:pPr>
            <w:r>
              <w:rPr>
                <w:rFonts w:ascii="Arial" w:cs="Arial" w:eastAsia="Arial" w:hAnsi="Arial"/>
                <w:sz w:val="10"/>
                <w:szCs w:val="10"/>
                <w:color w:val="auto"/>
              </w:rPr>
              <w:t>Total current liabilities</w:t>
            </w:r>
          </w:p>
        </w:tc>
        <w:tc>
          <w:tcPr>
            <w:tcW w:w="1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185,283</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65,858</w:t>
            </w:r>
          </w:p>
        </w:tc>
      </w:tr>
      <w:tr>
        <w:trPr>
          <w:trHeight w:val="95"/>
        </w:trPr>
        <w:tc>
          <w:tcPr>
            <w:tcW w:w="676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Contingent forward contract liability</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30,844</w:t>
            </w:r>
          </w:p>
        </w:tc>
      </w:tr>
      <w:tr>
        <w:trPr>
          <w:trHeight w:val="106"/>
        </w:trPr>
        <w:tc>
          <w:tcPr>
            <w:tcW w:w="6760" w:type="dxa"/>
            <w:vAlign w:val="bottom"/>
          </w:tcPr>
          <w:p>
            <w:pPr>
              <w:spacing w:after="0" w:line="106" w:lineRule="exact"/>
              <w:rPr>
                <w:sz w:val="20"/>
                <w:szCs w:val="20"/>
                <w:color w:val="auto"/>
              </w:rPr>
            </w:pPr>
            <w:r>
              <w:rPr>
                <w:rFonts w:ascii="Arial" w:cs="Arial" w:eastAsia="Arial" w:hAnsi="Arial"/>
                <w:sz w:val="10"/>
                <w:szCs w:val="10"/>
                <w:color w:val="auto"/>
              </w:rPr>
              <w:t>Convertible preferred share warrant liability</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Arial" w:cs="Arial" w:eastAsia="Arial" w:hAnsi="Arial"/>
                <w:sz w:val="10"/>
                <w:szCs w:val="10"/>
                <w:color w:val="auto"/>
              </w:rPr>
              <w:t>2,960</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1,755</w:t>
            </w: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Other long-term liabilities</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38,905</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27,793</w:t>
            </w:r>
          </w:p>
        </w:tc>
      </w:tr>
      <w:tr>
        <w:trPr>
          <w:trHeight w:val="106"/>
        </w:trPr>
        <w:tc>
          <w:tcPr>
            <w:tcW w:w="6760" w:type="dxa"/>
            <w:vAlign w:val="bottom"/>
            <w:tcBorders>
              <w:bottom w:val="single" w:sz="8" w:color="CCEEFF"/>
            </w:tcBorders>
          </w:tcPr>
          <w:p>
            <w:pPr>
              <w:spacing w:after="0" w:line="106" w:lineRule="exact"/>
              <w:rPr>
                <w:sz w:val="20"/>
                <w:szCs w:val="20"/>
                <w:color w:val="auto"/>
              </w:rPr>
            </w:pPr>
            <w:r>
              <w:rPr>
                <w:rFonts w:ascii="Arial" w:cs="Arial" w:eastAsia="Arial" w:hAnsi="Arial"/>
                <w:sz w:val="10"/>
                <w:szCs w:val="10"/>
                <w:color w:val="auto"/>
              </w:rPr>
              <w:t>Income tax liabilities</w:t>
            </w:r>
          </w:p>
        </w:tc>
        <w:tc>
          <w:tcPr>
            <w:tcW w:w="14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234</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auto"/>
              </w:rPr>
              <w:t>422</w:t>
            </w:r>
          </w:p>
        </w:tc>
      </w:tr>
      <w:tr>
        <w:trPr>
          <w:trHeight w:val="95"/>
        </w:trPr>
        <w:tc>
          <w:tcPr>
            <w:tcW w:w="6760" w:type="dxa"/>
            <w:vAlign w:val="bottom"/>
            <w:shd w:val="clear" w:color="auto" w:fill="CCEEFF"/>
          </w:tcPr>
          <w:p>
            <w:pPr>
              <w:ind w:left="200"/>
              <w:spacing w:after="0" w:line="95" w:lineRule="exact"/>
              <w:rPr>
                <w:sz w:val="20"/>
                <w:szCs w:val="20"/>
                <w:color w:val="auto"/>
              </w:rPr>
            </w:pPr>
            <w:r>
              <w:rPr>
                <w:rFonts w:ascii="Arial" w:cs="Arial" w:eastAsia="Arial" w:hAnsi="Arial"/>
                <w:sz w:val="10"/>
                <w:szCs w:val="10"/>
                <w:color w:val="auto"/>
              </w:rPr>
              <w:t>Total liabilities</w:t>
            </w:r>
          </w:p>
        </w:tc>
        <w:tc>
          <w:tcPr>
            <w:tcW w:w="14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227,382</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126,672</w:t>
            </w:r>
          </w:p>
        </w:tc>
      </w:tr>
      <w:tr>
        <w:trPr>
          <w:trHeight w:val="95"/>
        </w:trPr>
        <w:tc>
          <w:tcPr>
            <w:tcW w:w="6760" w:type="dxa"/>
            <w:vAlign w:val="bottom"/>
          </w:tcPr>
          <w:p>
            <w:pPr>
              <w:spacing w:after="0" w:line="95" w:lineRule="exact"/>
              <w:rPr>
                <w:sz w:val="20"/>
                <w:szCs w:val="20"/>
                <w:color w:val="auto"/>
              </w:rPr>
            </w:pPr>
            <w:r>
              <w:rPr>
                <w:rFonts w:ascii="Arial" w:cs="Arial" w:eastAsia="Arial" w:hAnsi="Arial"/>
                <w:sz w:val="10"/>
                <w:szCs w:val="10"/>
                <w:color w:val="auto"/>
              </w:rPr>
              <w:t>Commitments and contingencies (Note 10)</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CONVERTIBLE PREFERRED SHARES</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93"/>
        </w:trPr>
        <w:tc>
          <w:tcPr>
            <w:tcW w:w="6760" w:type="dxa"/>
            <w:vAlign w:val="bottom"/>
          </w:tcPr>
          <w:p>
            <w:pPr>
              <w:spacing w:after="0" w:line="93" w:lineRule="exact"/>
              <w:rPr>
                <w:sz w:val="20"/>
                <w:szCs w:val="20"/>
                <w:color w:val="auto"/>
              </w:rPr>
            </w:pPr>
            <w:r>
              <w:rPr>
                <w:rFonts w:ascii="Arial" w:cs="Arial" w:eastAsia="Arial" w:hAnsi="Arial"/>
                <w:sz w:val="10"/>
                <w:szCs w:val="10"/>
                <w:color w:val="auto"/>
                <w:w w:val="93"/>
              </w:rPr>
              <w:t>Convertible preferred shares, $0.0001 par value; 1,058,949,780 and 757,857,435 shares authorized as of December 31, 2020 and 2019, respectively; 957,159,704</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6"/>
        </w:trPr>
        <w:tc>
          <w:tcPr>
            <w:tcW w:w="6760" w:type="dxa"/>
            <w:vAlign w:val="bottom"/>
          </w:tcPr>
          <w:p>
            <w:pPr>
              <w:ind w:left="100"/>
              <w:spacing w:after="0" w:line="106" w:lineRule="exact"/>
              <w:rPr>
                <w:sz w:val="20"/>
                <w:szCs w:val="20"/>
                <w:color w:val="auto"/>
              </w:rPr>
            </w:pPr>
            <w:r>
              <w:rPr>
                <w:rFonts w:ascii="Arial" w:cs="Arial" w:eastAsia="Arial" w:hAnsi="Arial"/>
                <w:sz w:val="10"/>
                <w:szCs w:val="10"/>
                <w:color w:val="auto"/>
                <w:w w:val="95"/>
              </w:rPr>
              <w:t>and 502,582,535 shares issued and outstanding as of December 31, 2020 and 2019, respectively; liquidation preference of $3,497,913, and $1,084,191 as of</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19"/>
        </w:trPr>
        <w:tc>
          <w:tcPr>
            <w:tcW w:w="6760" w:type="dxa"/>
            <w:vAlign w:val="bottom"/>
          </w:tcPr>
          <w:p>
            <w:pPr>
              <w:ind w:left="100"/>
              <w:spacing w:after="0"/>
              <w:rPr>
                <w:sz w:val="20"/>
                <w:szCs w:val="20"/>
                <w:color w:val="auto"/>
              </w:rPr>
            </w:pPr>
            <w:r>
              <w:rPr>
                <w:rFonts w:ascii="Arial" w:cs="Arial" w:eastAsia="Arial" w:hAnsi="Arial"/>
                <w:sz w:val="10"/>
                <w:szCs w:val="10"/>
                <w:color w:val="auto"/>
              </w:rPr>
              <w:t>December 31, 2020 and 2019, respectively</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2,494,076</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1,074,010</w:t>
            </w: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b w:val="1"/>
                <w:bCs w:val="1"/>
                <w:color w:val="auto"/>
              </w:rPr>
              <w:t>SHAREHOLDERS’ DEFICIT:</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93"/>
        </w:trPr>
        <w:tc>
          <w:tcPr>
            <w:tcW w:w="6760" w:type="dxa"/>
            <w:vAlign w:val="bottom"/>
          </w:tcPr>
          <w:p>
            <w:pPr>
              <w:spacing w:after="0" w:line="93" w:lineRule="exact"/>
              <w:rPr>
                <w:sz w:val="20"/>
                <w:szCs w:val="20"/>
                <w:color w:val="auto"/>
              </w:rPr>
            </w:pPr>
            <w:r>
              <w:rPr>
                <w:rFonts w:ascii="Arial" w:cs="Arial" w:eastAsia="Arial" w:hAnsi="Arial"/>
                <w:sz w:val="10"/>
                <w:szCs w:val="10"/>
                <w:color w:val="auto"/>
                <w:w w:val="98"/>
              </w:rPr>
              <w:t>Common shares, par value $0.0001; 1,189,800,259 and 886,084,934 shares authorized as of December 31, 2020 and 2019, respectively; 28,791,702 and</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19"/>
        </w:trPr>
        <w:tc>
          <w:tcPr>
            <w:tcW w:w="6760" w:type="dxa"/>
            <w:vAlign w:val="bottom"/>
          </w:tcPr>
          <w:p>
            <w:pPr>
              <w:ind w:left="100"/>
              <w:spacing w:after="0"/>
              <w:rPr>
                <w:sz w:val="20"/>
                <w:szCs w:val="20"/>
                <w:color w:val="auto"/>
              </w:rPr>
            </w:pPr>
            <w:r>
              <w:rPr>
                <w:rFonts w:ascii="Arial" w:cs="Arial" w:eastAsia="Arial" w:hAnsi="Arial"/>
                <w:sz w:val="10"/>
                <w:szCs w:val="10"/>
                <w:color w:val="auto"/>
              </w:rPr>
              <w:t>21,288,753 shares issued and outstanding as of December 2020 and 2019, respectively</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06"/>
        </w:trPr>
        <w:tc>
          <w:tcPr>
            <w:tcW w:w="676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Additional paid-in capital</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38,113</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16,431</w:t>
            </w:r>
          </w:p>
        </w:tc>
      </w:tr>
      <w:tr>
        <w:trPr>
          <w:trHeight w:val="106"/>
        </w:trPr>
        <w:tc>
          <w:tcPr>
            <w:tcW w:w="6760" w:type="dxa"/>
            <w:vAlign w:val="bottom"/>
          </w:tcPr>
          <w:p>
            <w:pPr>
              <w:spacing w:after="0" w:line="106" w:lineRule="exact"/>
              <w:rPr>
                <w:sz w:val="20"/>
                <w:szCs w:val="20"/>
                <w:color w:val="auto"/>
              </w:rPr>
            </w:pPr>
            <w:r>
              <w:rPr>
                <w:rFonts w:ascii="Arial" w:cs="Arial" w:eastAsia="Arial" w:hAnsi="Arial"/>
                <w:sz w:val="10"/>
                <w:szCs w:val="10"/>
                <w:color w:val="auto"/>
              </w:rPr>
              <w:t>Accumulated deficit</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right"/>
              <w:ind w:right="200"/>
              <w:spacing w:after="0" w:line="106" w:lineRule="exact"/>
              <w:rPr>
                <w:sz w:val="20"/>
                <w:szCs w:val="20"/>
                <w:color w:val="auto"/>
              </w:rPr>
            </w:pPr>
            <w:r>
              <w:rPr>
                <w:rFonts w:ascii="Arial" w:cs="Arial" w:eastAsia="Arial" w:hAnsi="Arial"/>
                <w:sz w:val="10"/>
                <w:szCs w:val="10"/>
                <w:color w:val="auto"/>
              </w:rPr>
              <w:t>(1,356,893)</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spacing w:after="0" w:line="106" w:lineRule="exact"/>
              <w:rPr>
                <w:sz w:val="20"/>
                <w:szCs w:val="20"/>
                <w:color w:val="auto"/>
              </w:rPr>
            </w:pPr>
            <w:r>
              <w:rPr>
                <w:rFonts w:ascii="Arial" w:cs="Arial" w:eastAsia="Arial" w:hAnsi="Arial"/>
                <w:sz w:val="10"/>
                <w:szCs w:val="10"/>
                <w:color w:val="auto"/>
              </w:rPr>
              <w:t>(637,513)</w:t>
            </w:r>
          </w:p>
        </w:tc>
      </w:tr>
      <w:tr>
        <w:trPr>
          <w:trHeight w:val="95"/>
        </w:trPr>
        <w:tc>
          <w:tcPr>
            <w:tcW w:w="6760" w:type="dxa"/>
            <w:vAlign w:val="bottom"/>
            <w:tcBorders>
              <w:top w:val="single" w:sz="8" w:color="CCEEFF"/>
            </w:tcBorders>
            <w:shd w:val="clear" w:color="auto" w:fill="CCEEFF"/>
          </w:tcPr>
          <w:p>
            <w:pPr>
              <w:ind w:left="200"/>
              <w:spacing w:after="0" w:line="95" w:lineRule="exact"/>
              <w:rPr>
                <w:sz w:val="20"/>
                <w:szCs w:val="20"/>
                <w:color w:val="auto"/>
              </w:rPr>
            </w:pPr>
            <w:r>
              <w:rPr>
                <w:rFonts w:ascii="Arial" w:cs="Arial" w:eastAsia="Arial" w:hAnsi="Arial"/>
                <w:sz w:val="10"/>
                <w:szCs w:val="10"/>
                <w:color w:val="auto"/>
              </w:rPr>
              <w:t>Total shareholders’ deficit</w:t>
            </w: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shd w:val="clear" w:color="auto" w:fill="CCEEFF"/>
          </w:tcPr>
          <w:p>
            <w:pPr>
              <w:spacing w:after="0"/>
              <w:rPr>
                <w:sz w:val="8"/>
                <w:szCs w:val="8"/>
                <w:color w:val="auto"/>
              </w:rPr>
            </w:pPr>
          </w:p>
        </w:tc>
        <w:tc>
          <w:tcPr>
            <w:tcW w:w="70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(1,318,777)</w:t>
            </w: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bottom w:val="single" w:sz="8" w:color="auto"/>
            </w:tcBorders>
            <w:shd w:val="clear" w:color="auto" w:fill="CCEEFF"/>
          </w:tcPr>
          <w:p>
            <w:pPr>
              <w:spacing w:after="0"/>
              <w:rPr>
                <w:sz w:val="8"/>
                <w:szCs w:val="8"/>
                <w:color w:val="auto"/>
              </w:rPr>
            </w:pPr>
          </w:p>
        </w:tc>
        <w:tc>
          <w:tcPr>
            <w:tcW w:w="60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(621,080)</w:t>
            </w:r>
          </w:p>
        </w:tc>
      </w:tr>
      <w:tr>
        <w:trPr>
          <w:trHeight w:val="104"/>
        </w:trPr>
        <w:tc>
          <w:tcPr>
            <w:tcW w:w="6760" w:type="dxa"/>
            <w:vAlign w:val="bottom"/>
          </w:tcPr>
          <w:p>
            <w:pPr>
              <w:spacing w:after="0" w:line="95" w:lineRule="exact"/>
              <w:rPr>
                <w:sz w:val="20"/>
                <w:szCs w:val="20"/>
                <w:color w:val="auto"/>
              </w:rPr>
            </w:pPr>
            <w:r>
              <w:rPr>
                <w:rFonts w:ascii="Arial" w:cs="Arial" w:eastAsia="Arial" w:hAnsi="Arial"/>
                <w:sz w:val="10"/>
                <w:szCs w:val="10"/>
                <w:b w:val="1"/>
                <w:bCs w:val="1"/>
                <w:color w:val="auto"/>
              </w:rPr>
              <w:t>TOTAL LIABILITIES, CONVERTIBLE PREFERRED SHARES AND SHAREHOLDERS’ DEFICIT</w:t>
            </w:r>
          </w:p>
        </w:tc>
        <w:tc>
          <w:tcPr>
            <w:tcW w:w="140" w:type="dxa"/>
            <w:vAlign w:val="bottom"/>
          </w:tcPr>
          <w:p>
            <w:pPr>
              <w:spacing w:after="0"/>
              <w:rPr>
                <w:sz w:val="9"/>
                <w:szCs w:val="9"/>
                <w:color w:val="auto"/>
              </w:rPr>
            </w:pPr>
          </w:p>
        </w:tc>
        <w:tc>
          <w:tcPr>
            <w:tcW w:w="200" w:type="dxa"/>
            <w:vAlign w:val="bottom"/>
            <w:tcBorders>
              <w:bottom w:val="single" w:sz="8" w:color="auto"/>
            </w:tcBorders>
          </w:tcPr>
          <w:p>
            <w:pPr>
              <w:jc w:val="right"/>
              <w:ind w:right="89"/>
              <w:spacing w:after="0" w:line="95" w:lineRule="exact"/>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1,402,681</w:t>
            </w:r>
          </w:p>
        </w:tc>
        <w:tc>
          <w:tcPr>
            <w:tcW w:w="2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315"/>
              <w:spacing w:after="0"/>
              <w:rPr>
                <w:sz w:val="20"/>
                <w:szCs w:val="20"/>
                <w:color w:val="auto"/>
              </w:rPr>
            </w:pPr>
            <w:r>
              <w:rPr>
                <w:rFonts w:ascii="Arial" w:cs="Arial" w:eastAsia="Arial" w:hAnsi="Arial"/>
                <w:sz w:val="1"/>
                <w:szCs w:val="1"/>
                <w:b w:val="1"/>
                <w:bCs w:val="1"/>
                <w:color w:val="auto"/>
                <w:w w:val="4294967288"/>
              </w:rPr>
              <w:t>$</w:t>
            </w:r>
          </w:p>
        </w:tc>
        <w:tc>
          <w:tcPr>
            <w:tcW w:w="6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579,602</w:t>
            </w:r>
          </w:p>
        </w:tc>
      </w:tr>
    </w:tbl>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8" w:name="page29"/>
    <w:bookmarkEnd w:id="28"/>
    <w:p>
      <w:pPr>
        <w:ind w:left="20"/>
        <w:spacing w:after="0"/>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0" w:type="dxa"/>
            <w:vAlign w:val="bottom"/>
            <w:gridSpan w:val="5"/>
          </w:tcPr>
          <w:p>
            <w:pPr>
              <w:ind w:left="300"/>
              <w:spacing w:after="0"/>
              <w:rPr>
                <w:sz w:val="20"/>
                <w:szCs w:val="20"/>
                <w:color w:val="auto"/>
              </w:rPr>
            </w:pPr>
            <w:r>
              <w:rPr>
                <w:rFonts w:ascii="Arial" w:cs="Arial" w:eastAsia="Arial" w:hAnsi="Arial"/>
                <w:sz w:val="10"/>
                <w:szCs w:val="10"/>
                <w:b w:val="1"/>
                <w:bCs w:val="1"/>
                <w:color w:val="auto"/>
              </w:rPr>
              <w:t>Year Ended December 31,</w:t>
            </w:r>
          </w:p>
        </w:tc>
      </w:tr>
      <w:tr>
        <w:trPr>
          <w:trHeight w:val="95"/>
        </w:trPr>
        <w:tc>
          <w:tcPr>
            <w:tcW w:w="642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337"/>
              <w:spacing w:after="0" w:line="95" w:lineRule="exact"/>
              <w:rPr>
                <w:sz w:val="20"/>
                <w:szCs w:val="20"/>
                <w:color w:val="auto"/>
              </w:rPr>
            </w:pPr>
            <w:r>
              <w:rPr>
                <w:rFonts w:ascii="Arial" w:cs="Arial" w:eastAsia="Arial" w:hAnsi="Arial"/>
                <w:sz w:val="10"/>
                <w:szCs w:val="10"/>
                <w:b w:val="1"/>
                <w:bCs w:val="1"/>
                <w:color w:val="auto"/>
              </w:rPr>
              <w:t>2020</w:t>
            </w:r>
          </w:p>
        </w:tc>
        <w:tc>
          <w:tcPr>
            <w:tcW w:w="160" w:type="dxa"/>
            <w:vAlign w:val="bottom"/>
            <w:tcBorders>
              <w:top w:val="single" w:sz="8" w:color="auto"/>
              <w:bottom w:val="single" w:sz="8" w:color="CCEEFF"/>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57"/>
              <w:spacing w:after="0" w:line="95" w:lineRule="exact"/>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8"/>
                <w:szCs w:val="8"/>
                <w:color w:val="auto"/>
              </w:rPr>
            </w:pPr>
          </w:p>
        </w:tc>
      </w:tr>
      <w:tr>
        <w:trPr>
          <w:trHeight w:val="143"/>
        </w:trPr>
        <w:tc>
          <w:tcPr>
            <w:tcW w:w="6420" w:type="dxa"/>
            <w:vAlign w:val="bottom"/>
            <w:shd w:val="clear" w:color="auto" w:fill="CCEEFF"/>
          </w:tcPr>
          <w:p>
            <w:pPr>
              <w:ind w:left="280"/>
              <w:spacing w:after="0" w:line="143" w:lineRule="exact"/>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3,976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6"/>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4,590</w:t>
            </w:r>
          </w:p>
        </w:tc>
        <w:tc>
          <w:tcPr>
            <w:tcW w:w="20" w:type="dxa"/>
            <w:vAlign w:val="bottom"/>
          </w:tcPr>
          <w:p>
            <w:pPr>
              <w:spacing w:after="0"/>
              <w:rPr>
                <w:sz w:val="12"/>
                <w:szCs w:val="12"/>
                <w:color w:val="auto"/>
              </w:rPr>
            </w:pPr>
          </w:p>
        </w:tc>
      </w:tr>
      <w:tr>
        <w:trPr>
          <w:trHeight w:val="154"/>
        </w:trPr>
        <w:tc>
          <w:tcPr>
            <w:tcW w:w="64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Cost of revenue</w:t>
            </w: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3,926</w:t>
            </w:r>
          </w:p>
        </w:tc>
        <w:tc>
          <w:tcPr>
            <w:tcW w:w="20" w:type="dxa"/>
            <w:vAlign w:val="bottom"/>
          </w:tcPr>
          <w:p>
            <w:pPr>
              <w:spacing w:after="0"/>
              <w:rPr>
                <w:sz w:val="13"/>
                <w:szCs w:val="13"/>
                <w:color w:val="auto"/>
              </w:rPr>
            </w:pPr>
          </w:p>
        </w:tc>
      </w:tr>
      <w:tr>
        <w:trPr>
          <w:trHeight w:val="143"/>
        </w:trPr>
        <w:tc>
          <w:tcPr>
            <w:tcW w:w="6420" w:type="dxa"/>
            <w:vAlign w:val="bottom"/>
            <w:shd w:val="clear" w:color="auto" w:fill="CCEEFF"/>
          </w:tcPr>
          <w:p>
            <w:pPr>
              <w:ind w:left="100"/>
              <w:spacing w:after="0" w:line="143" w:lineRule="exact"/>
              <w:rPr>
                <w:sz w:val="20"/>
                <w:szCs w:val="20"/>
                <w:color w:val="auto"/>
              </w:rPr>
            </w:pPr>
            <w:r>
              <w:rPr>
                <w:rFonts w:ascii="Arial" w:cs="Arial" w:eastAsia="Arial" w:hAnsi="Arial"/>
                <w:sz w:val="13"/>
                <w:szCs w:val="13"/>
                <w:color w:val="auto"/>
              </w:rPr>
              <w:t>Gross profit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906</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664</w:t>
            </w:r>
          </w:p>
        </w:tc>
        <w:tc>
          <w:tcPr>
            <w:tcW w:w="20" w:type="dxa"/>
            <w:vAlign w:val="bottom"/>
          </w:tcPr>
          <w:p>
            <w:pPr>
              <w:spacing w:after="0"/>
              <w:rPr>
                <w:sz w:val="12"/>
                <w:szCs w:val="12"/>
                <w:color w:val="auto"/>
              </w:rPr>
            </w:pPr>
          </w:p>
        </w:tc>
      </w:tr>
      <w:tr>
        <w:trPr>
          <w:trHeight w:val="154"/>
        </w:trPr>
        <w:tc>
          <w:tcPr>
            <w:tcW w:w="6420" w:type="dxa"/>
            <w:vAlign w:val="bottom"/>
          </w:tcPr>
          <w:p>
            <w:pPr>
              <w:spacing w:after="0"/>
              <w:rPr>
                <w:sz w:val="20"/>
                <w:szCs w:val="20"/>
                <w:color w:val="auto"/>
              </w:rPr>
            </w:pPr>
            <w:r>
              <w:rPr>
                <w:rFonts w:ascii="Arial" w:cs="Arial" w:eastAsia="Arial" w:hAnsi="Arial"/>
                <w:sz w:val="13"/>
                <w:szCs w:val="13"/>
                <w:b w:val="1"/>
                <w:bCs w:val="1"/>
                <w:color w:val="auto"/>
              </w:rPr>
              <w:t>Other expenses: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511,110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220,223</w:t>
            </w:r>
          </w:p>
        </w:tc>
        <w:tc>
          <w:tcPr>
            <w:tcW w:w="20" w:type="dxa"/>
            <w:vAlign w:val="bottom"/>
          </w:tcPr>
          <w:p>
            <w:pPr>
              <w:spacing w:after="0"/>
              <w:rPr>
                <w:sz w:val="13"/>
                <w:szCs w:val="13"/>
                <w:color w:val="auto"/>
              </w:rPr>
            </w:pPr>
          </w:p>
        </w:tc>
      </w:tr>
      <w:tr>
        <w:trPr>
          <w:trHeight w:val="154"/>
        </w:trPr>
        <w:tc>
          <w:tcPr>
            <w:tcW w:w="64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Selling, general and administrative</w:t>
            </w: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89,023</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38,375</w:t>
            </w:r>
          </w:p>
        </w:tc>
        <w:tc>
          <w:tcPr>
            <w:tcW w:w="20" w:type="dxa"/>
            <w:vAlign w:val="bottom"/>
          </w:tcPr>
          <w:p>
            <w:pPr>
              <w:spacing w:after="0"/>
              <w:rPr>
                <w:sz w:val="13"/>
                <w:szCs w:val="13"/>
                <w:color w:val="auto"/>
              </w:rPr>
            </w:pPr>
          </w:p>
        </w:tc>
      </w:tr>
      <w:tr>
        <w:trPr>
          <w:trHeight w:val="163"/>
        </w:trPr>
        <w:tc>
          <w:tcPr>
            <w:tcW w:w="6420" w:type="dxa"/>
            <w:vAlign w:val="bottom"/>
            <w:tcBorders>
              <w:bottom w:val="single" w:sz="8" w:color="CCEEFF"/>
            </w:tcBorders>
            <w:shd w:val="clear" w:color="auto" w:fill="CCEEFF"/>
          </w:tcPr>
          <w:p>
            <w:pPr>
              <w:ind w:left="380"/>
              <w:spacing w:after="0" w:line="144" w:lineRule="exact"/>
              <w:rPr>
                <w:sz w:val="20"/>
                <w:szCs w:val="20"/>
                <w:color w:val="auto"/>
              </w:rPr>
            </w:pPr>
            <w:r>
              <w:rPr>
                <w:rFonts w:ascii="Arial" w:cs="Arial" w:eastAsia="Arial" w:hAnsi="Arial"/>
                <w:sz w:val="13"/>
                <w:szCs w:val="13"/>
                <w:color w:val="auto"/>
              </w:rPr>
              <w:t>Total operating expenses</w:t>
            </w:r>
          </w:p>
        </w:tc>
        <w:tc>
          <w:tcPr>
            <w:tcW w:w="3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600,133</w:t>
            </w:r>
          </w:p>
        </w:tc>
        <w:tc>
          <w:tcPr>
            <w:tcW w:w="1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258,598</w:t>
            </w:r>
          </w:p>
        </w:tc>
        <w:tc>
          <w:tcPr>
            <w:tcW w:w="20" w:type="dxa"/>
            <w:vAlign w:val="bottom"/>
          </w:tcPr>
          <w:p>
            <w:pPr>
              <w:spacing w:after="0"/>
              <w:rPr>
                <w:sz w:val="14"/>
                <w:szCs w:val="14"/>
                <w:color w:val="auto"/>
              </w:rPr>
            </w:pPr>
          </w:p>
        </w:tc>
      </w:tr>
      <w:tr>
        <w:trPr>
          <w:trHeight w:val="143"/>
        </w:trPr>
        <w:tc>
          <w:tcPr>
            <w:tcW w:w="6420" w:type="dxa"/>
            <w:vAlign w:val="bottom"/>
          </w:tcPr>
          <w:p>
            <w:pPr>
              <w:spacing w:after="0" w:line="143" w:lineRule="exact"/>
              <w:rPr>
                <w:sz w:val="20"/>
                <w:szCs w:val="20"/>
                <w:color w:val="auto"/>
              </w:rPr>
            </w:pPr>
            <w:r>
              <w:rPr>
                <w:rFonts w:ascii="Arial" w:cs="Arial" w:eastAsia="Arial" w:hAnsi="Arial"/>
                <w:sz w:val="13"/>
                <w:szCs w:val="13"/>
                <w:color w:val="auto"/>
              </w:rPr>
              <w:t>Loss from operations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(599,227)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rPr>
              <w:t>(257,934)</w:t>
            </w:r>
          </w:p>
        </w:tc>
        <w:tc>
          <w:tcPr>
            <w:tcW w:w="20" w:type="dxa"/>
            <w:vAlign w:val="bottom"/>
          </w:tcPr>
          <w:p>
            <w:pPr>
              <w:spacing w:after="0"/>
              <w:rPr>
                <w:sz w:val="12"/>
                <w:szCs w:val="12"/>
                <w:color w:val="auto"/>
              </w:rPr>
            </w:pPr>
          </w:p>
        </w:tc>
      </w:tr>
      <w:tr>
        <w:trPr>
          <w:trHeight w:val="154"/>
        </w:trPr>
        <w:tc>
          <w:tcPr>
            <w:tcW w:w="6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income (expense), net:</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6420" w:type="dxa"/>
            <w:vAlign w:val="bottom"/>
          </w:tcPr>
          <w:p>
            <w:pPr>
              <w:ind w:left="100"/>
              <w:spacing w:after="0"/>
              <w:rPr>
                <w:sz w:val="20"/>
                <w:szCs w:val="20"/>
                <w:color w:val="auto"/>
              </w:rPr>
            </w:pPr>
            <w:r>
              <w:rPr>
                <w:rFonts w:ascii="Arial" w:cs="Arial" w:eastAsia="Arial" w:hAnsi="Arial"/>
                <w:sz w:val="13"/>
                <w:szCs w:val="13"/>
                <w:color w:val="auto"/>
              </w:rPr>
              <w:t>Change in fair value of forward contracts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(118,382)</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(15,053)</w:t>
            </w:r>
          </w:p>
        </w:tc>
        <w:tc>
          <w:tcPr>
            <w:tcW w:w="20" w:type="dxa"/>
            <w:vAlign w:val="bottom"/>
          </w:tcPr>
          <w:p>
            <w:pPr>
              <w:spacing w:after="0"/>
              <w:rPr>
                <w:sz w:val="13"/>
                <w:szCs w:val="13"/>
                <w:color w:val="auto"/>
              </w:rPr>
            </w:pPr>
          </w:p>
        </w:tc>
      </w:tr>
      <w:tr>
        <w:trPr>
          <w:trHeight w:val="154"/>
        </w:trPr>
        <w:tc>
          <w:tcPr>
            <w:tcW w:w="64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convertible preferred share warrant liability</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(1,205)</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20" w:type="dxa"/>
            <w:vAlign w:val="bottom"/>
          </w:tcPr>
          <w:p>
            <w:pPr>
              <w:spacing w:after="0"/>
              <w:rPr>
                <w:sz w:val="13"/>
                <w:szCs w:val="13"/>
                <w:color w:val="auto"/>
              </w:rPr>
            </w:pPr>
          </w:p>
        </w:tc>
      </w:tr>
      <w:tr>
        <w:trPr>
          <w:trHeight w:val="154"/>
        </w:trPr>
        <w:tc>
          <w:tcPr>
            <w:tcW w:w="6420" w:type="dxa"/>
            <w:vAlign w:val="bottom"/>
          </w:tcPr>
          <w:p>
            <w:pPr>
              <w:ind w:left="280"/>
              <w:spacing w:after="0"/>
              <w:rPr>
                <w:sz w:val="20"/>
                <w:szCs w:val="20"/>
                <w:color w:val="auto"/>
              </w:rPr>
            </w:pPr>
            <w:r>
              <w:rPr>
                <w:rFonts w:ascii="Arial" w:cs="Arial" w:eastAsia="Arial" w:hAnsi="Arial"/>
                <w:sz w:val="13"/>
                <w:szCs w:val="13"/>
                <w:color w:val="auto"/>
              </w:rPr>
              <w:t>Interest expense</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(64)</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(8,547)</w:t>
            </w:r>
          </w:p>
        </w:tc>
        <w:tc>
          <w:tcPr>
            <w:tcW w:w="20" w:type="dxa"/>
            <w:vAlign w:val="bottom"/>
          </w:tcPr>
          <w:p>
            <w:pPr>
              <w:spacing w:after="0"/>
              <w:rPr>
                <w:sz w:val="13"/>
                <w:szCs w:val="13"/>
                <w:color w:val="auto"/>
              </w:rPr>
            </w:pPr>
          </w:p>
        </w:tc>
      </w:tr>
      <w:tr>
        <w:trPr>
          <w:trHeight w:val="154"/>
        </w:trPr>
        <w:tc>
          <w:tcPr>
            <w:tcW w:w="6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income (expense)</w:t>
            </w: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(690)</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4,606</w:t>
            </w:r>
          </w:p>
        </w:tc>
        <w:tc>
          <w:tcPr>
            <w:tcW w:w="20" w:type="dxa"/>
            <w:vAlign w:val="bottom"/>
          </w:tcPr>
          <w:p>
            <w:pPr>
              <w:spacing w:after="0"/>
              <w:rPr>
                <w:sz w:val="13"/>
                <w:szCs w:val="13"/>
                <w:color w:val="auto"/>
              </w:rPr>
            </w:pPr>
          </w:p>
        </w:tc>
      </w:tr>
      <w:tr>
        <w:trPr>
          <w:trHeight w:val="143"/>
        </w:trPr>
        <w:tc>
          <w:tcPr>
            <w:tcW w:w="6420" w:type="dxa"/>
            <w:vAlign w:val="bottom"/>
            <w:tcBorders>
              <w:bottom w:val="single" w:sz="8" w:color="CCEEFF"/>
            </w:tcBorders>
          </w:tcPr>
          <w:p>
            <w:pPr>
              <w:ind w:left="480"/>
              <w:spacing w:after="0" w:line="143" w:lineRule="exact"/>
              <w:rPr>
                <w:sz w:val="20"/>
                <w:szCs w:val="20"/>
                <w:color w:val="auto"/>
              </w:rPr>
            </w:pPr>
            <w:r>
              <w:rPr>
                <w:rFonts w:ascii="Arial" w:cs="Arial" w:eastAsia="Arial" w:hAnsi="Arial"/>
                <w:sz w:val="13"/>
                <w:szCs w:val="13"/>
                <w:color w:val="auto"/>
              </w:rPr>
              <w:t>Total other expense, net</w:t>
            </w:r>
          </w:p>
        </w:tc>
        <w:tc>
          <w:tcPr>
            <w:tcW w:w="3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(120,341)</w:t>
            </w:r>
          </w:p>
        </w:tc>
        <w:tc>
          <w:tcPr>
            <w:tcW w:w="1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(19,400)</w:t>
            </w:r>
          </w:p>
        </w:tc>
        <w:tc>
          <w:tcPr>
            <w:tcW w:w="20" w:type="dxa"/>
            <w:vAlign w:val="bottom"/>
          </w:tcPr>
          <w:p>
            <w:pPr>
              <w:spacing w:after="0"/>
              <w:rPr>
                <w:sz w:val="12"/>
                <w:szCs w:val="12"/>
                <w:color w:val="auto"/>
              </w:rPr>
            </w:pPr>
          </w:p>
        </w:tc>
      </w:tr>
      <w:tr>
        <w:trPr>
          <w:trHeight w:val="143"/>
        </w:trPr>
        <w:tc>
          <w:tcPr>
            <w:tcW w:w="64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Loss before provision (benefit) for income taxes</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(719,568)</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(277,334)</w:t>
            </w:r>
          </w:p>
        </w:tc>
        <w:tc>
          <w:tcPr>
            <w:tcW w:w="20" w:type="dxa"/>
            <w:vAlign w:val="bottom"/>
          </w:tcPr>
          <w:p>
            <w:pPr>
              <w:spacing w:after="0"/>
              <w:rPr>
                <w:sz w:val="12"/>
                <w:szCs w:val="12"/>
                <w:color w:val="auto"/>
              </w:rPr>
            </w:pPr>
          </w:p>
        </w:tc>
      </w:tr>
      <w:tr>
        <w:trPr>
          <w:trHeight w:val="154"/>
        </w:trPr>
        <w:tc>
          <w:tcPr>
            <w:tcW w:w="6420" w:type="dxa"/>
            <w:vAlign w:val="bottom"/>
          </w:tcPr>
          <w:p>
            <w:pPr>
              <w:ind w:left="100"/>
              <w:spacing w:after="0"/>
              <w:rPr>
                <w:sz w:val="20"/>
                <w:szCs w:val="20"/>
                <w:color w:val="auto"/>
              </w:rPr>
            </w:pPr>
            <w:r>
              <w:rPr>
                <w:rFonts w:ascii="Arial" w:cs="Arial" w:eastAsia="Arial" w:hAnsi="Arial"/>
                <w:sz w:val="13"/>
                <w:szCs w:val="13"/>
                <w:color w:val="auto"/>
              </w:rPr>
              <w:t>Provision (benefit) for income taxes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(188)</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43"/>
        </w:trPr>
        <w:tc>
          <w:tcPr>
            <w:tcW w:w="642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3"/>
                <w:szCs w:val="13"/>
                <w:color w:val="auto"/>
              </w:rPr>
              <w:t>Net loss and comprehensive loss</w:t>
            </w:r>
          </w:p>
        </w:tc>
        <w:tc>
          <w:tcPr>
            <w:tcW w:w="3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(719,380)</w:t>
            </w: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(277,357)</w:t>
            </w:r>
          </w:p>
        </w:tc>
        <w:tc>
          <w:tcPr>
            <w:tcW w:w="20" w:type="dxa"/>
            <w:vAlign w:val="bottom"/>
          </w:tcPr>
          <w:p>
            <w:pPr>
              <w:spacing w:after="0"/>
              <w:rPr>
                <w:sz w:val="12"/>
                <w:szCs w:val="12"/>
                <w:color w:val="auto"/>
              </w:rPr>
            </w:pPr>
          </w:p>
        </w:tc>
      </w:tr>
      <w:tr>
        <w:trPr>
          <w:trHeight w:val="154"/>
        </w:trPr>
        <w:tc>
          <w:tcPr>
            <w:tcW w:w="6420" w:type="dxa"/>
            <w:vAlign w:val="bottom"/>
          </w:tcPr>
          <w:p>
            <w:pPr>
              <w:spacing w:after="0"/>
              <w:rPr>
                <w:sz w:val="20"/>
                <w:szCs w:val="20"/>
                <w:color w:val="auto"/>
              </w:rPr>
            </w:pPr>
            <w:r>
              <w:rPr>
                <w:rFonts w:ascii="Arial" w:cs="Arial" w:eastAsia="Arial" w:hAnsi="Arial"/>
                <w:sz w:val="13"/>
                <w:szCs w:val="13"/>
                <w:color w:val="auto"/>
              </w:rPr>
              <w:t>Deemed contribution related to repurchase of Series B convertible preferred shares</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54"/>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Deemed contribution related to repurchase of Series C convertible preferred shares</w:t>
            </w:r>
          </w:p>
        </w:tc>
        <w:tc>
          <w:tcPr>
            <w:tcW w:w="3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c>
          <w:tcPr>
            <w:tcW w:w="20" w:type="dxa"/>
            <w:vAlign w:val="bottom"/>
          </w:tcPr>
          <w:p>
            <w:pPr>
              <w:spacing w:after="0"/>
              <w:rPr>
                <w:sz w:val="13"/>
                <w:szCs w:val="13"/>
                <w:color w:val="auto"/>
              </w:rPr>
            </w:pPr>
          </w:p>
        </w:tc>
      </w:tr>
      <w:tr>
        <w:trPr>
          <w:trHeight w:val="152"/>
        </w:trPr>
        <w:tc>
          <w:tcPr>
            <w:tcW w:w="6420" w:type="dxa"/>
            <w:vAlign w:val="bottom"/>
            <w:tcBorders>
              <w:bottom w:val="single" w:sz="8" w:color="CCEEFF"/>
            </w:tcBorders>
          </w:tcPr>
          <w:p>
            <w:pPr>
              <w:ind w:left="280"/>
              <w:spacing w:after="0" w:line="144" w:lineRule="exact"/>
              <w:rPr>
                <w:sz w:val="20"/>
                <w:szCs w:val="20"/>
                <w:color w:val="auto"/>
              </w:rPr>
            </w:pPr>
            <w:r>
              <w:rPr>
                <w:rFonts w:ascii="Arial" w:cs="Arial" w:eastAsia="Arial" w:hAnsi="Arial"/>
                <w:sz w:val="13"/>
                <w:szCs w:val="13"/>
                <w:color w:val="auto"/>
              </w:rPr>
              <w:t>Net loss attributable to common shareholders</w:t>
            </w: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(705,596)</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96"/>
              <w:spacing w:after="0" w:line="144" w:lineRule="exact"/>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(269,422)</w:t>
            </w:r>
          </w:p>
        </w:tc>
        <w:tc>
          <w:tcPr>
            <w:tcW w:w="20" w:type="dxa"/>
            <w:vAlign w:val="bottom"/>
          </w:tcPr>
          <w:p>
            <w:pPr>
              <w:spacing w:after="0"/>
              <w:rPr>
                <w:sz w:val="13"/>
                <w:szCs w:val="13"/>
                <w:color w:val="auto"/>
              </w:rPr>
            </w:pPr>
          </w:p>
        </w:tc>
      </w:tr>
      <w:tr>
        <w:trPr>
          <w:trHeight w:val="17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per share attributable to common shareholders – basic and diluted</w:t>
            </w:r>
          </w:p>
        </w:tc>
        <w:tc>
          <w:tcPr>
            <w:tcW w:w="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20" w:type="dxa"/>
            <w:vAlign w:val="bottom"/>
          </w:tcPr>
          <w:p>
            <w:pPr>
              <w:spacing w:after="0"/>
              <w:rPr>
                <w:sz w:val="15"/>
                <w:szCs w:val="15"/>
                <w:color w:val="auto"/>
              </w:rPr>
            </w:pPr>
          </w:p>
        </w:tc>
      </w:tr>
      <w:tr>
        <w:trPr>
          <w:trHeight w:val="151"/>
        </w:trPr>
        <w:tc>
          <w:tcPr>
            <w:tcW w:w="6420" w:type="dxa"/>
            <w:vAlign w:val="bottom"/>
          </w:tcPr>
          <w:p>
            <w:pPr>
              <w:spacing w:after="0" w:line="143" w:lineRule="exact"/>
              <w:rPr>
                <w:sz w:val="20"/>
                <w:szCs w:val="20"/>
                <w:color w:val="auto"/>
              </w:rPr>
            </w:pPr>
            <w:r>
              <w:rPr>
                <w:rFonts w:ascii="Arial" w:cs="Arial" w:eastAsia="Arial" w:hAnsi="Arial"/>
                <w:sz w:val="13"/>
                <w:szCs w:val="13"/>
                <w:color w:val="auto"/>
                <w:w w:val="92"/>
              </w:rPr>
              <w:t>Weighted average shares used in computing net loss per share attributable to common shareholders – basic and diluted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24,825,944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20,595,229</w:t>
            </w:r>
          </w:p>
        </w:tc>
        <w:tc>
          <w:tcPr>
            <w:tcW w:w="20" w:type="dxa"/>
            <w:vAlign w:val="bottom"/>
          </w:tcPr>
          <w:p>
            <w:pPr>
              <w:spacing w:after="0"/>
              <w:rPr>
                <w:sz w:val="13"/>
                <w:szCs w:val="13"/>
                <w:color w:val="auto"/>
              </w:rPr>
            </w:pPr>
          </w:p>
        </w:tc>
      </w:tr>
    </w:tbl>
    <w:p>
      <w:pPr>
        <w:spacing w:after="0" w:line="13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29" w:name="page30"/>
    <w:bookmarkEnd w:id="29"/>
    <w:p>
      <w:pPr>
        <w:ind w:left="20"/>
        <w:spacing w:after="0"/>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CONVERTIBLE PREFERRED SHARES AND SHAREHOLDERS' DEFICIT</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1200" w:type="dxa"/>
            <w:vAlign w:val="bottom"/>
            <w:gridSpan w:val="4"/>
          </w:tcPr>
          <w:p>
            <w:pPr>
              <w:jc w:val="center"/>
              <w:ind w:left="549"/>
              <w:spacing w:after="0"/>
              <w:rPr>
                <w:sz w:val="20"/>
                <w:szCs w:val="20"/>
                <w:color w:val="auto"/>
              </w:rPr>
            </w:pPr>
            <w:r>
              <w:rPr>
                <w:rFonts w:ascii="Arial" w:cs="Arial" w:eastAsia="Arial" w:hAnsi="Arial"/>
                <w:sz w:val="10"/>
                <w:szCs w:val="10"/>
                <w:b w:val="1"/>
                <w:bCs w:val="1"/>
                <w:color w:val="auto"/>
                <w:w w:val="94"/>
              </w:rPr>
              <w:t>Convertible</w:t>
            </w: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69"/>
              <w:spacing w:after="0"/>
              <w:rPr>
                <w:sz w:val="20"/>
                <w:szCs w:val="20"/>
                <w:color w:val="auto"/>
              </w:rPr>
            </w:pPr>
            <w:r>
              <w:rPr>
                <w:rFonts w:ascii="Arial" w:cs="Arial" w:eastAsia="Arial" w:hAnsi="Arial"/>
                <w:sz w:val="10"/>
                <w:szCs w:val="10"/>
                <w:b w:val="1"/>
                <w:bCs w:val="1"/>
                <w:color w:val="auto"/>
              </w:rPr>
              <w:t>Total</w:t>
            </w:r>
          </w:p>
        </w:tc>
      </w:tr>
      <w:tr>
        <w:trPr>
          <w:trHeight w:val="121"/>
        </w:trPr>
        <w:tc>
          <w:tcPr>
            <w:tcW w:w="2540" w:type="dxa"/>
            <w:vAlign w:val="bottom"/>
          </w:tcPr>
          <w:p>
            <w:pPr>
              <w:spacing w:after="0"/>
              <w:rPr>
                <w:sz w:val="10"/>
                <w:szCs w:val="10"/>
                <w:color w:val="auto"/>
              </w:rPr>
            </w:pPr>
          </w:p>
        </w:tc>
        <w:tc>
          <w:tcPr>
            <w:tcW w:w="194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0"/>
                <w:szCs w:val="10"/>
                <w:b w:val="1"/>
                <w:bCs w:val="1"/>
                <w:color w:val="auto"/>
                <w:w w:val="91"/>
              </w:rPr>
              <w:t>Preferred Shares</w:t>
            </w:r>
          </w:p>
        </w:tc>
        <w:tc>
          <w:tcPr>
            <w:tcW w:w="100" w:type="dxa"/>
            <w:vAlign w:val="bottom"/>
          </w:tcPr>
          <w:p>
            <w:pPr>
              <w:spacing w:after="0"/>
              <w:rPr>
                <w:sz w:val="10"/>
                <w:szCs w:val="10"/>
                <w:color w:val="auto"/>
              </w:rPr>
            </w:pPr>
          </w:p>
        </w:tc>
        <w:tc>
          <w:tcPr>
            <w:tcW w:w="1420" w:type="dxa"/>
            <w:vAlign w:val="bottom"/>
            <w:gridSpan w:val="4"/>
          </w:tcPr>
          <w:p>
            <w:pPr>
              <w:jc w:val="right"/>
              <w:ind w:right="289"/>
              <w:spacing w:after="0"/>
              <w:rPr>
                <w:sz w:val="20"/>
                <w:szCs w:val="20"/>
                <w:color w:val="auto"/>
              </w:rPr>
            </w:pPr>
            <w:r>
              <w:rPr>
                <w:rFonts w:ascii="Arial" w:cs="Arial" w:eastAsia="Arial" w:hAnsi="Arial"/>
                <w:sz w:val="10"/>
                <w:szCs w:val="10"/>
                <w:b w:val="1"/>
                <w:bCs w:val="1"/>
                <w:color w:val="auto"/>
              </w:rPr>
              <w:t>Common 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10"/>
                <w:szCs w:val="1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5"/>
              </w:rPr>
              <w:t>Accumulated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69"/>
              <w:spacing w:after="0"/>
              <w:rPr>
                <w:sz w:val="20"/>
                <w:szCs w:val="20"/>
                <w:color w:val="auto"/>
              </w:rPr>
            </w:pPr>
            <w:r>
              <w:rPr>
                <w:rFonts w:ascii="Arial" w:cs="Arial" w:eastAsia="Arial" w:hAnsi="Arial"/>
                <w:sz w:val="10"/>
                <w:szCs w:val="10"/>
                <w:b w:val="1"/>
                <w:bCs w:val="1"/>
                <w:color w:val="auto"/>
                <w:w w:val="89"/>
              </w:rPr>
              <w:t>Shareholders’</w:t>
            </w:r>
          </w:p>
        </w:tc>
      </w:tr>
      <w:tr>
        <w:trPr>
          <w:trHeight w:val="95"/>
        </w:trPr>
        <w:tc>
          <w:tcPr>
            <w:tcW w:w="2540" w:type="dxa"/>
            <w:vAlign w:val="bottom"/>
          </w:tcPr>
          <w:p>
            <w:pPr>
              <w:spacing w:after="0"/>
              <w:rPr>
                <w:sz w:val="8"/>
                <w:szCs w:val="8"/>
                <w:color w:val="auto"/>
              </w:rPr>
            </w:pPr>
          </w:p>
        </w:tc>
        <w:tc>
          <w:tcPr>
            <w:tcW w:w="1000" w:type="dxa"/>
            <w:vAlign w:val="bottom"/>
            <w:tcBorders>
              <w:top w:val="single" w:sz="8" w:color="auto"/>
            </w:tcBorders>
            <w:gridSpan w:val="2"/>
          </w:tcPr>
          <w:p>
            <w:pPr>
              <w:jc w:val="right"/>
              <w:ind w:right="400"/>
              <w:spacing w:after="0" w:line="95" w:lineRule="exact"/>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ind w:right="149"/>
              <w:spacing w:after="0" w:line="95" w:lineRule="exact"/>
              <w:rPr>
                <w:sz w:val="20"/>
                <w:szCs w:val="20"/>
                <w:color w:val="auto"/>
              </w:rPr>
            </w:pPr>
            <w:r>
              <w:rPr>
                <w:rFonts w:ascii="Arial" w:cs="Arial" w:eastAsia="Arial" w:hAnsi="Arial"/>
                <w:sz w:val="10"/>
                <w:szCs w:val="10"/>
                <w:b w:val="1"/>
                <w:bCs w:val="1"/>
                <w:color w:val="auto"/>
              </w:rPr>
              <w:t>Amount</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jc w:val="right"/>
              <w:ind w:right="169"/>
              <w:spacing w:after="0" w:line="95" w:lineRule="exact"/>
              <w:rPr>
                <w:sz w:val="20"/>
                <w:szCs w:val="20"/>
                <w:color w:val="auto"/>
              </w:rPr>
            </w:pPr>
            <w:r>
              <w:rPr>
                <w:rFonts w:ascii="Arial" w:cs="Arial" w:eastAsia="Arial" w:hAnsi="Arial"/>
                <w:sz w:val="10"/>
                <w:szCs w:val="10"/>
                <w:b w:val="1"/>
                <w:bCs w:val="1"/>
                <w:color w:val="auto"/>
              </w:rPr>
              <w:t>Shares</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29"/>
              <w:spacing w:after="0" w:line="95" w:lineRule="exact"/>
              <w:rPr>
                <w:sz w:val="20"/>
                <w:szCs w:val="20"/>
                <w:color w:val="auto"/>
              </w:rPr>
            </w:pPr>
            <w:r>
              <w:rPr>
                <w:rFonts w:ascii="Arial" w:cs="Arial" w:eastAsia="Arial" w:hAnsi="Arial"/>
                <w:sz w:val="10"/>
                <w:szCs w:val="10"/>
                <w:b w:val="1"/>
                <w:bCs w:val="1"/>
                <w:color w:val="auto"/>
                <w:w w:val="89"/>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8"/>
                <w:szCs w:val="8"/>
                <w:color w:val="auto"/>
              </w:rPr>
            </w:pPr>
          </w:p>
        </w:tc>
        <w:tc>
          <w:tcPr>
            <w:tcW w:w="920" w:type="dxa"/>
            <w:vAlign w:val="bottom"/>
            <w:gridSpan w:val="2"/>
          </w:tcPr>
          <w:p>
            <w:pPr>
              <w:jc w:val="right"/>
              <w:ind w:right="440"/>
              <w:spacing w:after="0" w:line="95" w:lineRule="exact"/>
              <w:rPr>
                <w:sz w:val="20"/>
                <w:szCs w:val="20"/>
                <w:color w:val="auto"/>
              </w:rPr>
            </w:pPr>
            <w:r>
              <w:rPr>
                <w:rFonts w:ascii="Arial" w:cs="Arial" w:eastAsia="Arial" w:hAnsi="Arial"/>
                <w:sz w:val="10"/>
                <w:szCs w:val="10"/>
                <w:b w:val="1"/>
                <w:bCs w:val="1"/>
                <w:color w:val="auto"/>
              </w:rPr>
              <w:t>Deficit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ind w:right="49"/>
              <w:spacing w:after="0" w:line="95" w:lineRule="exact"/>
              <w:rPr>
                <w:sz w:val="20"/>
                <w:szCs w:val="20"/>
                <w:color w:val="auto"/>
              </w:rPr>
            </w:pPr>
            <w:r>
              <w:rPr>
                <w:rFonts w:ascii="Arial" w:cs="Arial" w:eastAsia="Arial" w:hAnsi="Arial"/>
                <w:sz w:val="10"/>
                <w:szCs w:val="10"/>
                <w:b w:val="1"/>
                <w:bCs w:val="1"/>
                <w:color w:val="auto"/>
                <w:w w:val="98"/>
              </w:rPr>
              <w:t>Deficit</w:t>
            </w:r>
          </w:p>
        </w:tc>
      </w:tr>
      <w:tr>
        <w:trPr>
          <w:trHeight w:val="95"/>
        </w:trPr>
        <w:tc>
          <w:tcPr>
            <w:tcW w:w="2540" w:type="dxa"/>
            <w:vAlign w:val="bottom"/>
            <w:tcBorders>
              <w:top w:val="single" w:sz="8" w:color="CCEEFF"/>
            </w:tcBorders>
            <w:shd w:val="clear" w:color="auto" w:fill="CCEEFF"/>
          </w:tcPr>
          <w:p>
            <w:pPr>
              <w:spacing w:after="0" w:line="95" w:lineRule="exact"/>
              <w:rPr>
                <w:sz w:val="20"/>
                <w:szCs w:val="20"/>
                <w:color w:val="auto"/>
              </w:rPr>
            </w:pPr>
            <w:r>
              <w:rPr>
                <w:rFonts w:ascii="Arial" w:cs="Arial" w:eastAsia="Arial" w:hAnsi="Arial"/>
                <w:sz w:val="10"/>
                <w:szCs w:val="10"/>
                <w:color w:val="auto"/>
              </w:rPr>
              <w:t>Balance as of January 1, 2019</w:t>
            </w:r>
          </w:p>
        </w:tc>
        <w:tc>
          <w:tcPr>
            <w:tcW w:w="9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137,248,112</w:t>
            </w: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9"/>
              <w:spacing w:after="0" w:line="95"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259,960</w:t>
            </w:r>
          </w:p>
        </w:tc>
        <w:tc>
          <w:tcPr>
            <w:tcW w:w="120" w:type="dxa"/>
            <w:vAlign w:val="bottom"/>
            <w:tcBorders>
              <w:top w:val="single" w:sz="8" w:color="CCEEFF"/>
              <w:right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20,165,672</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294</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(360,156)</w:t>
            </w: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(359,860)</w:t>
            </w:r>
          </w:p>
        </w:tc>
      </w:tr>
      <w:tr>
        <w:trPr>
          <w:trHeight w:val="106"/>
        </w:trPr>
        <w:tc>
          <w:tcPr>
            <w:tcW w:w="2540" w:type="dxa"/>
            <w:vAlign w:val="bottom"/>
          </w:tcPr>
          <w:p>
            <w:pPr>
              <w:ind w:left="100"/>
              <w:spacing w:after="0" w:line="106" w:lineRule="exact"/>
              <w:rPr>
                <w:sz w:val="20"/>
                <w:szCs w:val="20"/>
                <w:color w:val="auto"/>
              </w:rPr>
            </w:pPr>
            <w:r>
              <w:rPr>
                <w:rFonts w:ascii="Arial" w:cs="Arial" w:eastAsia="Arial" w:hAnsi="Arial"/>
                <w:sz w:val="10"/>
                <w:szCs w:val="10"/>
                <w:color w:val="auto"/>
              </w:rPr>
              <w:t>Net loss</w:t>
            </w:r>
          </w:p>
        </w:tc>
        <w:tc>
          <w:tcPr>
            <w:tcW w:w="10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auto"/>
            </w:tcBorders>
            <w:gridSpan w:val="2"/>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2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(277,357)</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(277,357)</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Repurchase of Series C convertible preferred shares</w:t>
            </w:r>
          </w:p>
        </w:tc>
        <w:tc>
          <w:tcPr>
            <w:tcW w:w="10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(9,442,858)</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(47,531)</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(2,469)</w:t>
            </w: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(2,469)</w:t>
            </w:r>
          </w:p>
        </w:tc>
      </w:tr>
      <w:tr>
        <w:trPr>
          <w:trHeight w:val="93"/>
        </w:trPr>
        <w:tc>
          <w:tcPr>
            <w:tcW w:w="2540" w:type="dxa"/>
            <w:vAlign w:val="bottom"/>
          </w:tcPr>
          <w:p>
            <w:pPr>
              <w:ind w:left="100"/>
              <w:spacing w:after="0" w:line="93" w:lineRule="exact"/>
              <w:rPr>
                <w:sz w:val="20"/>
                <w:szCs w:val="20"/>
                <w:color w:val="auto"/>
              </w:rPr>
            </w:pPr>
            <w:r>
              <w:rPr>
                <w:rFonts w:ascii="Arial" w:cs="Arial" w:eastAsia="Arial" w:hAnsi="Arial"/>
                <w:sz w:val="10"/>
                <w:szCs w:val="10"/>
                <w:color w:val="auto"/>
              </w:rPr>
              <w:t>Extinguishment of Series C convertible preferred</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19"/>
        </w:trPr>
        <w:tc>
          <w:tcPr>
            <w:tcW w:w="2540" w:type="dxa"/>
            <w:vAlign w:val="bottom"/>
          </w:tcPr>
          <w:p>
            <w:pPr>
              <w:ind w:left="200"/>
              <w:spacing w:after="0"/>
              <w:rPr>
                <w:sz w:val="20"/>
                <w:szCs w:val="20"/>
                <w:color w:val="auto"/>
              </w:rPr>
            </w:pPr>
            <w:r>
              <w:rPr>
                <w:rFonts w:ascii="Arial" w:cs="Arial" w:eastAsia="Arial" w:hAnsi="Arial"/>
                <w:sz w:val="10"/>
                <w:szCs w:val="10"/>
                <w:color w:val="auto"/>
              </w:rPr>
              <w:t>shares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(10,404)</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10,404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10,404</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Issuance of Series D convertible preferred shares</w:t>
            </w:r>
          </w:p>
        </w:tc>
        <w:tc>
          <w:tcPr>
            <w:tcW w:w="9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374,777,280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871,985</w:t>
            </w: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r>
      <w:tr>
        <w:trPr>
          <w:trHeight w:val="106"/>
        </w:trPr>
        <w:tc>
          <w:tcPr>
            <w:tcW w:w="2540" w:type="dxa"/>
            <w:vAlign w:val="bottom"/>
          </w:tcPr>
          <w:p>
            <w:pPr>
              <w:ind w:left="100"/>
              <w:spacing w:after="0" w:line="106" w:lineRule="exact"/>
              <w:rPr>
                <w:sz w:val="20"/>
                <w:szCs w:val="20"/>
                <w:color w:val="auto"/>
              </w:rPr>
            </w:pPr>
            <w:r>
              <w:rPr>
                <w:rFonts w:ascii="Arial" w:cs="Arial" w:eastAsia="Arial" w:hAnsi="Arial"/>
                <w:sz w:val="10"/>
                <w:szCs w:val="10"/>
                <w:color w:val="auto"/>
              </w:rPr>
              <w:t>Exercise of share options</w:t>
            </w:r>
          </w:p>
        </w:tc>
        <w:tc>
          <w:tcPr>
            <w:tcW w:w="10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auto"/>
            </w:tcBorders>
            <w:gridSpan w:val="2"/>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1,123,069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483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483</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Share-based compensation</w:t>
            </w:r>
          </w:p>
        </w:tc>
        <w:tc>
          <w:tcPr>
            <w:tcW w:w="10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7,719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7,719</w:t>
            </w:r>
          </w:p>
        </w:tc>
      </w:tr>
      <w:tr>
        <w:trPr>
          <w:trHeight w:val="95"/>
        </w:trPr>
        <w:tc>
          <w:tcPr>
            <w:tcW w:w="2540" w:type="dxa"/>
            <w:vAlign w:val="bottom"/>
          </w:tcPr>
          <w:p>
            <w:pPr>
              <w:spacing w:after="0" w:line="95" w:lineRule="exact"/>
              <w:rPr>
                <w:sz w:val="20"/>
                <w:szCs w:val="20"/>
                <w:color w:val="auto"/>
              </w:rPr>
            </w:pPr>
            <w:r>
              <w:rPr>
                <w:rFonts w:ascii="Arial" w:cs="Arial" w:eastAsia="Arial" w:hAnsi="Arial"/>
                <w:sz w:val="10"/>
                <w:szCs w:val="10"/>
                <w:color w:val="auto"/>
              </w:rPr>
              <w:t>Balance as of December 31, 2019</w:t>
            </w:r>
          </w:p>
        </w:tc>
        <w:tc>
          <w:tcPr>
            <w:tcW w:w="9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502,582,534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jc w:val="right"/>
              <w:ind w:right="29"/>
              <w:spacing w:after="0" w:line="95"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1,074,010</w:t>
            </w: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21,288,741</w:t>
            </w:r>
          </w:p>
        </w:tc>
        <w:tc>
          <w:tcPr>
            <w:tcW w:w="140" w:type="dxa"/>
            <w:vAlign w:val="bottom"/>
          </w:tcPr>
          <w:p>
            <w:pPr>
              <w:spacing w:after="0"/>
              <w:rPr>
                <w:sz w:val="8"/>
                <w:szCs w:val="8"/>
                <w:color w:val="auto"/>
              </w:rPr>
            </w:pPr>
          </w:p>
        </w:tc>
        <w:tc>
          <w:tcPr>
            <w:tcW w:w="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16,431</w:t>
            </w:r>
          </w:p>
        </w:tc>
        <w:tc>
          <w:tcPr>
            <w:tcW w:w="140" w:type="dxa"/>
            <w:vAlign w:val="bottom"/>
          </w:tcPr>
          <w:p>
            <w:pPr>
              <w:spacing w:after="0"/>
              <w:rPr>
                <w:sz w:val="8"/>
                <w:szCs w:val="8"/>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(637,513)</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tcPr>
          <w:p>
            <w:pPr>
              <w:jc w:val="right"/>
              <w:spacing w:after="0" w:line="95" w:lineRule="exact"/>
              <w:rPr>
                <w:sz w:val="20"/>
                <w:szCs w:val="20"/>
                <w:color w:val="auto"/>
              </w:rPr>
            </w:pPr>
            <w:r>
              <w:rPr>
                <w:rFonts w:ascii="Arial" w:cs="Arial" w:eastAsia="Arial" w:hAnsi="Arial"/>
                <w:sz w:val="10"/>
                <w:szCs w:val="10"/>
                <w:color w:val="auto"/>
              </w:rPr>
              <w:t>(621,080)</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Net loss</w:t>
            </w:r>
          </w:p>
        </w:tc>
        <w:tc>
          <w:tcPr>
            <w:tcW w:w="10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(719,380)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(719,380)</w:t>
            </w:r>
          </w:p>
        </w:tc>
      </w:tr>
      <w:tr>
        <w:trPr>
          <w:trHeight w:val="93"/>
        </w:trPr>
        <w:tc>
          <w:tcPr>
            <w:tcW w:w="2540" w:type="dxa"/>
            <w:vAlign w:val="bottom"/>
          </w:tcPr>
          <w:p>
            <w:pPr>
              <w:ind w:left="100"/>
              <w:spacing w:after="0" w:line="93" w:lineRule="exact"/>
              <w:rPr>
                <w:sz w:val="20"/>
                <w:szCs w:val="20"/>
                <w:color w:val="auto"/>
              </w:rPr>
            </w:pPr>
            <w:r>
              <w:rPr>
                <w:rFonts w:ascii="Arial" w:cs="Arial" w:eastAsia="Arial" w:hAnsi="Arial"/>
                <w:sz w:val="10"/>
                <w:szCs w:val="10"/>
                <w:color w:val="auto"/>
              </w:rPr>
              <w:t>Extinguishment and reclassification of Series B</w:t>
            </w: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19"/>
        </w:trPr>
        <w:tc>
          <w:tcPr>
            <w:tcW w:w="2540" w:type="dxa"/>
            <w:vAlign w:val="bottom"/>
          </w:tcPr>
          <w:p>
            <w:pPr>
              <w:ind w:left="200"/>
              <w:spacing w:after="0"/>
              <w:rPr>
                <w:sz w:val="20"/>
                <w:szCs w:val="20"/>
                <w:color w:val="auto"/>
              </w:rPr>
            </w:pPr>
            <w:r>
              <w:rPr>
                <w:rFonts w:ascii="Arial" w:cs="Arial" w:eastAsia="Arial" w:hAnsi="Arial"/>
                <w:sz w:val="10"/>
                <w:szCs w:val="10"/>
                <w:color w:val="auto"/>
              </w:rPr>
              <w:t>convertible preferred shares</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(4,000)</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Repurchase of Series C convertible preferred shares</w:t>
            </w:r>
          </w:p>
        </w:tc>
        <w:tc>
          <w:tcPr>
            <w:tcW w:w="10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(11,507,389)</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(24,885)</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12,784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12,784</w:t>
            </w:r>
          </w:p>
        </w:tc>
      </w:tr>
      <w:tr>
        <w:trPr>
          <w:trHeight w:val="106"/>
        </w:trPr>
        <w:tc>
          <w:tcPr>
            <w:tcW w:w="2540" w:type="dxa"/>
            <w:vAlign w:val="bottom"/>
          </w:tcPr>
          <w:p>
            <w:pPr>
              <w:ind w:left="100"/>
              <w:spacing w:after="0" w:line="106" w:lineRule="exact"/>
              <w:rPr>
                <w:sz w:val="20"/>
                <w:szCs w:val="20"/>
                <w:color w:val="auto"/>
              </w:rPr>
            </w:pPr>
            <w:r>
              <w:rPr>
                <w:rFonts w:ascii="Arial" w:cs="Arial" w:eastAsia="Arial" w:hAnsi="Arial"/>
                <w:sz w:val="10"/>
                <w:szCs w:val="10"/>
                <w:color w:val="auto"/>
              </w:rPr>
              <w:t>Issuance of Series D convertible preferred shares</w:t>
            </w:r>
          </w:p>
        </w:tc>
        <w:tc>
          <w:tcPr>
            <w:tcW w:w="920" w:type="dxa"/>
            <w:vAlign w:val="bottom"/>
          </w:tcPr>
          <w:p>
            <w:pPr>
              <w:jc w:val="right"/>
              <w:spacing w:after="0" w:line="106" w:lineRule="exact"/>
              <w:rPr>
                <w:sz w:val="20"/>
                <w:szCs w:val="20"/>
                <w:color w:val="auto"/>
              </w:rPr>
            </w:pPr>
            <w:r>
              <w:rPr>
                <w:rFonts w:ascii="Arial" w:cs="Arial" w:eastAsia="Arial" w:hAnsi="Arial"/>
                <w:sz w:val="10"/>
                <w:szCs w:val="10"/>
                <w:color w:val="auto"/>
              </w:rPr>
              <w:t>164,992,213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400,000</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2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93"/>
        </w:trPr>
        <w:tc>
          <w:tcPr>
            <w:tcW w:w="25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Settlement of Series D contingent forward contract</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19"/>
        </w:trPr>
        <w:tc>
          <w:tcPr>
            <w:tcW w:w="25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liability</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39,563</w:t>
            </w: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06"/>
        </w:trPr>
        <w:tc>
          <w:tcPr>
            <w:tcW w:w="2540" w:type="dxa"/>
            <w:vAlign w:val="bottom"/>
          </w:tcPr>
          <w:p>
            <w:pPr>
              <w:ind w:left="100"/>
              <w:spacing w:after="0" w:line="106" w:lineRule="exact"/>
              <w:rPr>
                <w:sz w:val="20"/>
                <w:szCs w:val="20"/>
                <w:color w:val="auto"/>
              </w:rPr>
            </w:pPr>
            <w:r>
              <w:rPr>
                <w:rFonts w:ascii="Arial" w:cs="Arial" w:eastAsia="Arial" w:hAnsi="Arial"/>
                <w:sz w:val="10"/>
                <w:szCs w:val="10"/>
                <w:color w:val="auto"/>
              </w:rPr>
              <w:t>Issuance of Series E convertible preferred shares</w:t>
            </w:r>
          </w:p>
        </w:tc>
        <w:tc>
          <w:tcPr>
            <w:tcW w:w="920" w:type="dxa"/>
            <w:vAlign w:val="bottom"/>
          </w:tcPr>
          <w:p>
            <w:pPr>
              <w:jc w:val="right"/>
              <w:spacing w:after="0" w:line="106" w:lineRule="exact"/>
              <w:rPr>
                <w:sz w:val="20"/>
                <w:szCs w:val="20"/>
                <w:color w:val="auto"/>
              </w:rPr>
            </w:pPr>
            <w:r>
              <w:rPr>
                <w:rFonts w:ascii="Arial" w:cs="Arial" w:eastAsia="Arial" w:hAnsi="Arial"/>
                <w:sz w:val="10"/>
                <w:szCs w:val="10"/>
                <w:color w:val="auto"/>
              </w:rPr>
              <w:t>301,092,346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spacing w:after="0" w:line="106" w:lineRule="exact"/>
              <w:rPr>
                <w:sz w:val="20"/>
                <w:szCs w:val="20"/>
                <w:color w:val="auto"/>
              </w:rPr>
            </w:pPr>
            <w:r>
              <w:rPr>
                <w:rFonts w:ascii="Arial" w:cs="Arial" w:eastAsia="Arial" w:hAnsi="Arial"/>
                <w:sz w:val="10"/>
                <w:szCs w:val="10"/>
                <w:color w:val="auto"/>
              </w:rPr>
              <w:t>898,932</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92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w:t>
            </w:r>
          </w:p>
        </w:tc>
      </w:tr>
      <w:tr>
        <w:trPr>
          <w:trHeight w:val="93"/>
        </w:trPr>
        <w:tc>
          <w:tcPr>
            <w:tcW w:w="2540" w:type="dxa"/>
            <w:vAlign w:val="bottom"/>
            <w:shd w:val="clear" w:color="auto" w:fill="CCEEFF"/>
          </w:tcPr>
          <w:p>
            <w:pPr>
              <w:ind w:left="100"/>
              <w:spacing w:after="0" w:line="93" w:lineRule="exact"/>
              <w:rPr>
                <w:sz w:val="20"/>
                <w:szCs w:val="20"/>
                <w:color w:val="auto"/>
              </w:rPr>
            </w:pPr>
            <w:r>
              <w:rPr>
                <w:rFonts w:ascii="Arial" w:cs="Arial" w:eastAsia="Arial" w:hAnsi="Arial"/>
                <w:sz w:val="10"/>
                <w:szCs w:val="10"/>
                <w:color w:val="auto"/>
              </w:rPr>
              <w:t>Settlement of Series E contingent forward contract</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r>
        <w:trPr>
          <w:trHeight w:val="119"/>
        </w:trPr>
        <w:tc>
          <w:tcPr>
            <w:tcW w:w="2540" w:type="dxa"/>
            <w:vAlign w:val="bottom"/>
            <w:shd w:val="clear" w:color="auto" w:fill="CCEEFF"/>
          </w:tcPr>
          <w:p>
            <w:pPr>
              <w:ind w:left="200"/>
              <w:spacing w:after="0"/>
              <w:rPr>
                <w:sz w:val="20"/>
                <w:szCs w:val="20"/>
                <w:color w:val="auto"/>
              </w:rPr>
            </w:pPr>
            <w:r>
              <w:rPr>
                <w:rFonts w:ascii="Arial" w:cs="Arial" w:eastAsia="Arial" w:hAnsi="Arial"/>
                <w:sz w:val="10"/>
                <w:szCs w:val="10"/>
                <w:color w:val="auto"/>
              </w:rPr>
              <w:t>liability</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110,456</w:t>
            </w:r>
          </w:p>
        </w:tc>
        <w:tc>
          <w:tcPr>
            <w:tcW w:w="1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06"/>
        </w:trPr>
        <w:tc>
          <w:tcPr>
            <w:tcW w:w="2540" w:type="dxa"/>
            <w:vAlign w:val="bottom"/>
          </w:tcPr>
          <w:p>
            <w:pPr>
              <w:ind w:left="100"/>
              <w:spacing w:after="0" w:line="106" w:lineRule="exact"/>
              <w:rPr>
                <w:sz w:val="20"/>
                <w:szCs w:val="20"/>
                <w:color w:val="auto"/>
              </w:rPr>
            </w:pPr>
            <w:r>
              <w:rPr>
                <w:rFonts w:ascii="Arial" w:cs="Arial" w:eastAsia="Arial" w:hAnsi="Arial"/>
                <w:sz w:val="10"/>
                <w:szCs w:val="10"/>
                <w:color w:val="auto"/>
              </w:rPr>
              <w:t>Exercise of share options</w:t>
            </w:r>
          </w:p>
        </w:tc>
        <w:tc>
          <w:tcPr>
            <w:tcW w:w="100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right w:val="single" w:sz="8" w:color="auto"/>
            </w:tcBorders>
            <w:gridSpan w:val="2"/>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760" w:type="dxa"/>
            <w:vAlign w:val="bottom"/>
          </w:tcPr>
          <w:p>
            <w:pPr>
              <w:jc w:val="right"/>
              <w:spacing w:after="0" w:line="106" w:lineRule="exact"/>
              <w:rPr>
                <w:sz w:val="20"/>
                <w:szCs w:val="20"/>
                <w:color w:val="auto"/>
              </w:rPr>
            </w:pPr>
            <w:r>
              <w:rPr>
                <w:rFonts w:ascii="Arial" w:cs="Arial" w:eastAsia="Arial" w:hAnsi="Arial"/>
                <w:sz w:val="10"/>
                <w:szCs w:val="10"/>
                <w:color w:val="auto"/>
              </w:rPr>
              <w:t>7,502,961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spacing w:after="0" w:line="106"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3,284</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06" w:lineRule="exact"/>
              <w:rPr>
                <w:sz w:val="20"/>
                <w:szCs w:val="20"/>
                <w:color w:val="auto"/>
              </w:rPr>
            </w:pPr>
            <w:r>
              <w:rPr>
                <w:rFonts w:ascii="Arial" w:cs="Arial" w:eastAsia="Arial" w:hAnsi="Arial"/>
                <w:sz w:val="10"/>
                <w:szCs w:val="10"/>
                <w:color w:val="auto"/>
              </w:rPr>
              <w:t>3,285</w:t>
            </w:r>
          </w:p>
        </w:tc>
      </w:tr>
      <w:tr>
        <w:trPr>
          <w:trHeight w:val="106"/>
        </w:trPr>
        <w:tc>
          <w:tcPr>
            <w:tcW w:w="25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Share-based compensation</w:t>
            </w:r>
          </w:p>
        </w:tc>
        <w:tc>
          <w:tcPr>
            <w:tcW w:w="100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4,614</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4,614</w:t>
            </w:r>
          </w:p>
        </w:tc>
      </w:tr>
      <w:tr>
        <w:trPr>
          <w:trHeight w:val="104"/>
        </w:trPr>
        <w:tc>
          <w:tcPr>
            <w:tcW w:w="2540" w:type="dxa"/>
            <w:vAlign w:val="bottom"/>
          </w:tcPr>
          <w:p>
            <w:pPr>
              <w:spacing w:after="0" w:line="95" w:lineRule="exact"/>
              <w:rPr>
                <w:sz w:val="20"/>
                <w:szCs w:val="20"/>
                <w:color w:val="auto"/>
              </w:rPr>
            </w:pPr>
            <w:r>
              <w:rPr>
                <w:rFonts w:ascii="Arial" w:cs="Arial" w:eastAsia="Arial" w:hAnsi="Arial"/>
                <w:sz w:val="10"/>
                <w:szCs w:val="10"/>
                <w:color w:val="auto"/>
              </w:rPr>
              <w:t>Balance as of December 31, 2020</w:t>
            </w:r>
          </w:p>
        </w:tc>
        <w:tc>
          <w:tcPr>
            <w:tcW w:w="92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957,159,704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29"/>
              <w:spacing w:after="0" w:line="95"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2,494,076</w:t>
            </w: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28,791,702</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3</w:t>
            </w:r>
          </w:p>
        </w:tc>
        <w:tc>
          <w:tcPr>
            <w:tcW w:w="1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38,113</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(1,356,893)</w:t>
            </w: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(1,318,777)</w:t>
            </w:r>
          </w:p>
        </w:tc>
      </w:tr>
    </w:tbl>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0" w:name="page31"/>
    <w:bookmarkEnd w:id="30"/>
    <w:p>
      <w:pPr>
        <w:ind w:left="20"/>
        <w:spacing w:after="0"/>
        <w:rPr>
          <w:rFonts w:ascii="Arial" w:cs="Arial" w:eastAsia="Arial" w:hAnsi="Arial"/>
          <w:sz w:val="13"/>
          <w:szCs w:val="13"/>
          <w:u w:val="single" w:color="auto"/>
          <w:color w:val="0000EE"/>
        </w:rPr>
      </w:pPr>
      <w:hyperlink w:anchor="page26">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ATIEVA,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09"/>
        </w:trPr>
        <w:tc>
          <w:tcPr>
            <w:tcW w:w="5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60" w:type="dxa"/>
            <w:vAlign w:val="bottom"/>
            <w:gridSpan w:val="6"/>
          </w:tcPr>
          <w:p>
            <w:pPr>
              <w:ind w:left="340"/>
              <w:spacing w:after="0"/>
              <w:rPr>
                <w:sz w:val="20"/>
                <w:szCs w:val="20"/>
                <w:color w:val="auto"/>
              </w:rPr>
            </w:pPr>
            <w:r>
              <w:rPr>
                <w:rFonts w:ascii="Arial" w:cs="Arial" w:eastAsia="Arial" w:hAnsi="Arial"/>
                <w:sz w:val="9"/>
                <w:szCs w:val="9"/>
                <w:b w:val="1"/>
                <w:bCs w:val="1"/>
                <w:color w:val="auto"/>
              </w:rPr>
              <w:t>Year Ended December 31</w:t>
            </w:r>
          </w:p>
        </w:tc>
      </w:tr>
      <w:tr>
        <w:trPr>
          <w:trHeight w:val="86"/>
        </w:trPr>
        <w:tc>
          <w:tcPr>
            <w:tcW w:w="5700" w:type="dxa"/>
            <w:vAlign w:val="bottom"/>
            <w:tcBorders>
              <w:bottom w:val="single" w:sz="8" w:color="CCEEFF"/>
            </w:tcBorders>
          </w:tcPr>
          <w:p>
            <w:pPr>
              <w:spacing w:after="0"/>
              <w:rPr>
                <w:sz w:val="7"/>
                <w:szCs w:val="7"/>
                <w:color w:val="auto"/>
              </w:rPr>
            </w:pPr>
          </w:p>
        </w:tc>
        <w:tc>
          <w:tcPr>
            <w:tcW w:w="1240" w:type="dxa"/>
            <w:vAlign w:val="bottom"/>
            <w:tcBorders>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295"/>
              <w:spacing w:after="0" w:line="86" w:lineRule="exact"/>
              <w:rPr>
                <w:sz w:val="20"/>
                <w:szCs w:val="20"/>
                <w:color w:val="auto"/>
              </w:rPr>
            </w:pPr>
            <w:r>
              <w:rPr>
                <w:rFonts w:ascii="Arial" w:cs="Arial" w:eastAsia="Arial" w:hAnsi="Arial"/>
                <w:sz w:val="9"/>
                <w:szCs w:val="9"/>
                <w:b w:val="1"/>
                <w:bCs w:val="1"/>
                <w:color w:val="auto"/>
              </w:rPr>
              <w:t>2020</w:t>
            </w:r>
          </w:p>
        </w:tc>
        <w:tc>
          <w:tcPr>
            <w:tcW w:w="10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55"/>
              <w:spacing w:after="0" w:line="86" w:lineRule="exact"/>
              <w:rPr>
                <w:sz w:val="20"/>
                <w:szCs w:val="20"/>
                <w:color w:val="auto"/>
              </w:rPr>
            </w:pPr>
            <w:r>
              <w:rPr>
                <w:rFonts w:ascii="Arial" w:cs="Arial" w:eastAsia="Arial" w:hAnsi="Arial"/>
                <w:sz w:val="9"/>
                <w:szCs w:val="9"/>
                <w:b w:val="1"/>
                <w:bCs w:val="1"/>
                <w:color w:val="auto"/>
              </w:rPr>
              <w:t>2019</w:t>
            </w:r>
          </w:p>
        </w:tc>
        <w:tc>
          <w:tcPr>
            <w:tcW w:w="20" w:type="dxa"/>
            <w:vAlign w:val="bottom"/>
          </w:tcPr>
          <w:p>
            <w:pPr>
              <w:spacing w:after="0"/>
              <w:rPr>
                <w:sz w:val="7"/>
                <w:szCs w:val="7"/>
                <w:color w:val="auto"/>
              </w:rPr>
            </w:pPr>
          </w:p>
        </w:tc>
      </w:tr>
      <w:tr>
        <w:trPr>
          <w:trHeight w:val="86"/>
        </w:trPr>
        <w:tc>
          <w:tcPr>
            <w:tcW w:w="570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Cash flows from operating activities</w:t>
            </w: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Net loss</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00"/>
              <w:spacing w:after="0" w:line="96" w:lineRule="exact"/>
              <w:rPr>
                <w:sz w:val="20"/>
                <w:szCs w:val="20"/>
                <w:color w:val="auto"/>
              </w:rPr>
            </w:pPr>
            <w:r>
              <w:rPr>
                <w:rFonts w:ascii="Arial" w:cs="Arial" w:eastAsia="Arial" w:hAnsi="Arial"/>
                <w:sz w:val="9"/>
                <w:szCs w:val="9"/>
                <w:color w:val="auto"/>
              </w:rPr>
              <w:t>(719,380)</w:t>
            </w: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(277,357)</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200"/>
              <w:spacing w:after="0" w:line="96" w:lineRule="exact"/>
              <w:rPr>
                <w:sz w:val="20"/>
                <w:szCs w:val="20"/>
                <w:color w:val="auto"/>
              </w:rPr>
            </w:pPr>
            <w:r>
              <w:rPr>
                <w:rFonts w:ascii="Arial" w:cs="Arial" w:eastAsia="Arial" w:hAnsi="Arial"/>
                <w:sz w:val="9"/>
                <w:szCs w:val="9"/>
                <w:color w:val="auto"/>
              </w:rPr>
              <w:t>Adjustments to reconcile net loss to net cash used in operating activities: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Depreciation and amortization</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10,217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3,842</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Share-based compensation</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4,614</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7,719</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Loss on disposal of property and equipment</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139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30</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Amortization of debt discount</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3,394</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Change in fair value of contingent forward contracts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118,382</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15,053</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Change in fair value of warrants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1,205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406</w:t>
            </w:r>
          </w:p>
        </w:tc>
        <w:tc>
          <w:tcPr>
            <w:tcW w:w="20" w:type="dxa"/>
            <w:vAlign w:val="bottom"/>
          </w:tcPr>
          <w:p>
            <w:pPr>
              <w:spacing w:after="0"/>
              <w:rPr>
                <w:sz w:val="8"/>
                <w:szCs w:val="8"/>
                <w:color w:val="auto"/>
              </w:rPr>
            </w:pPr>
          </w:p>
        </w:tc>
      </w:tr>
      <w:tr>
        <w:trPr>
          <w:trHeight w:val="96"/>
        </w:trPr>
        <w:tc>
          <w:tcPr>
            <w:tcW w:w="5700" w:type="dxa"/>
            <w:vAlign w:val="bottom"/>
          </w:tcPr>
          <w:p>
            <w:pPr>
              <w:ind w:left="200"/>
              <w:spacing w:after="0" w:line="96" w:lineRule="exact"/>
              <w:rPr>
                <w:sz w:val="20"/>
                <w:szCs w:val="20"/>
                <w:color w:val="auto"/>
              </w:rPr>
            </w:pPr>
            <w:r>
              <w:rPr>
                <w:rFonts w:ascii="Arial" w:cs="Arial" w:eastAsia="Arial" w:hAnsi="Arial"/>
                <w:sz w:val="9"/>
                <w:szCs w:val="9"/>
                <w:color w:val="auto"/>
              </w:rPr>
              <w:t>Changes in operating assets and liabilities: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Accounts receivable</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984</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Inventory</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100"/>
              <w:spacing w:after="0" w:line="96" w:lineRule="exact"/>
              <w:rPr>
                <w:sz w:val="20"/>
                <w:szCs w:val="20"/>
                <w:color w:val="auto"/>
              </w:rPr>
            </w:pPr>
            <w:r>
              <w:rPr>
                <w:rFonts w:ascii="Arial" w:cs="Arial" w:eastAsia="Arial" w:hAnsi="Arial"/>
                <w:sz w:val="9"/>
                <w:szCs w:val="9"/>
                <w:color w:val="auto"/>
              </w:rPr>
              <w:t>(359)</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(188)</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Prepaid expenses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7,770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(27,590)</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Other current assets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7,360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(5,010)</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Other noncurrent assets and security deposit</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2,866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6,143</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Accounts payable</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100"/>
              <w:spacing w:after="0" w:line="96" w:lineRule="exact"/>
              <w:rPr>
                <w:sz w:val="20"/>
                <w:szCs w:val="20"/>
                <w:color w:val="auto"/>
              </w:rPr>
            </w:pPr>
            <w:r>
              <w:rPr>
                <w:rFonts w:ascii="Arial" w:cs="Arial" w:eastAsia="Arial" w:hAnsi="Arial"/>
                <w:sz w:val="9"/>
                <w:szCs w:val="9"/>
                <w:color w:val="auto"/>
              </w:rPr>
              <w:t>(69,861)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5,843</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Accrued compensation</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13,249</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2,774</w:t>
            </w:r>
          </w:p>
        </w:tc>
        <w:tc>
          <w:tcPr>
            <w:tcW w:w="20" w:type="dxa"/>
            <w:vAlign w:val="bottom"/>
          </w:tcPr>
          <w:p>
            <w:pPr>
              <w:spacing w:after="0"/>
              <w:rPr>
                <w:sz w:val="8"/>
                <w:szCs w:val="8"/>
                <w:color w:val="auto"/>
              </w:rPr>
            </w:pPr>
          </w:p>
        </w:tc>
      </w:tr>
      <w:tr>
        <w:trPr>
          <w:trHeight w:val="96"/>
        </w:trPr>
        <w:tc>
          <w:tcPr>
            <w:tcW w:w="5700" w:type="dxa"/>
            <w:vAlign w:val="bottom"/>
            <w:tcBorders>
              <w:bottom w:val="single" w:sz="8" w:color="CCEEFF"/>
            </w:tcBorders>
          </w:tcPr>
          <w:p>
            <w:pPr>
              <w:ind w:left="100"/>
              <w:spacing w:after="0" w:line="96" w:lineRule="exact"/>
              <w:rPr>
                <w:sz w:val="20"/>
                <w:szCs w:val="20"/>
                <w:color w:val="auto"/>
              </w:rPr>
            </w:pPr>
            <w:r>
              <w:rPr>
                <w:rFonts w:ascii="Arial" w:cs="Arial" w:eastAsia="Arial" w:hAnsi="Arial"/>
                <w:sz w:val="9"/>
                <w:szCs w:val="9"/>
                <w:color w:val="auto"/>
              </w:rPr>
              <w:t>Other current liabilities and accrued liabilities</w:t>
            </w:r>
          </w:p>
        </w:tc>
        <w:tc>
          <w:tcPr>
            <w:tcW w:w="12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53,454</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28,658</w:t>
            </w:r>
          </w:p>
        </w:tc>
        <w:tc>
          <w:tcPr>
            <w:tcW w:w="20" w:type="dxa"/>
            <w:vAlign w:val="bottom"/>
          </w:tcPr>
          <w:p>
            <w:pPr>
              <w:spacing w:after="0"/>
              <w:rPr>
                <w:sz w:val="8"/>
                <w:szCs w:val="8"/>
                <w:color w:val="auto"/>
              </w:rPr>
            </w:pPr>
          </w:p>
        </w:tc>
      </w:tr>
      <w:tr>
        <w:trPr>
          <w:trHeight w:val="86"/>
        </w:trPr>
        <w:tc>
          <w:tcPr>
            <w:tcW w:w="5700" w:type="dxa"/>
            <w:vAlign w:val="bottom"/>
            <w:shd w:val="clear" w:color="auto" w:fill="CCEEFF"/>
          </w:tcPr>
          <w:p>
            <w:pPr>
              <w:ind w:left="100"/>
              <w:spacing w:after="0" w:line="86" w:lineRule="exact"/>
              <w:rPr>
                <w:sz w:val="20"/>
                <w:szCs w:val="20"/>
                <w:color w:val="auto"/>
              </w:rPr>
            </w:pPr>
            <w:r>
              <w:rPr>
                <w:rFonts w:ascii="Arial" w:cs="Arial" w:eastAsia="Arial" w:hAnsi="Arial"/>
                <w:sz w:val="9"/>
                <w:szCs w:val="9"/>
                <w:color w:val="auto"/>
              </w:rPr>
              <w:t>Net cash used in operating activities</w:t>
            </w:r>
          </w:p>
        </w:tc>
        <w:tc>
          <w:tcPr>
            <w:tcW w:w="124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(570,196)</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(235,299)</w:t>
            </w:r>
          </w:p>
        </w:tc>
        <w:tc>
          <w:tcPr>
            <w:tcW w:w="20" w:type="dxa"/>
            <w:vAlign w:val="bottom"/>
          </w:tcPr>
          <w:p>
            <w:pPr>
              <w:spacing w:after="0"/>
              <w:rPr>
                <w:sz w:val="7"/>
                <w:szCs w:val="7"/>
                <w:color w:val="auto"/>
              </w:rPr>
            </w:pPr>
          </w:p>
        </w:tc>
      </w:tr>
      <w:tr>
        <w:trPr>
          <w:trHeight w:val="86"/>
        </w:trPr>
        <w:tc>
          <w:tcPr>
            <w:tcW w:w="5700" w:type="dxa"/>
            <w:vAlign w:val="bottom"/>
          </w:tcPr>
          <w:p>
            <w:pPr>
              <w:spacing w:after="0" w:line="86" w:lineRule="exact"/>
              <w:rPr>
                <w:sz w:val="20"/>
                <w:szCs w:val="20"/>
                <w:color w:val="auto"/>
              </w:rPr>
            </w:pPr>
            <w:r>
              <w:rPr>
                <w:rFonts w:ascii="Arial" w:cs="Arial" w:eastAsia="Arial" w:hAnsi="Arial"/>
                <w:sz w:val="9"/>
                <w:szCs w:val="9"/>
                <w:b w:val="1"/>
                <w:bCs w:val="1"/>
                <w:color w:val="auto"/>
              </w:rPr>
              <w:t>Cash flows from investing activities:</w:t>
            </w:r>
          </w:p>
        </w:tc>
        <w:tc>
          <w:tcPr>
            <w:tcW w:w="1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Purchases of property, equipment, and software</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6" w:lineRule="exact"/>
              <w:rPr>
                <w:sz w:val="20"/>
                <w:szCs w:val="20"/>
                <w:color w:val="auto"/>
              </w:rPr>
            </w:pPr>
            <w:r>
              <w:rPr>
                <w:rFonts w:ascii="Arial" w:cs="Arial" w:eastAsia="Arial" w:hAnsi="Arial"/>
                <w:sz w:val="9"/>
                <w:szCs w:val="9"/>
                <w:color w:val="auto"/>
              </w:rPr>
              <w:t>(459,582)</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20"/>
              <w:spacing w:after="0" w:line="96" w:lineRule="exact"/>
              <w:rPr>
                <w:sz w:val="20"/>
                <w:szCs w:val="20"/>
                <w:color w:val="auto"/>
              </w:rPr>
            </w:pPr>
            <w:r>
              <w:rPr>
                <w:rFonts w:ascii="Arial" w:cs="Arial" w:eastAsia="Arial" w:hAnsi="Arial"/>
                <w:sz w:val="9"/>
                <w:szCs w:val="9"/>
                <w:color w:val="auto"/>
              </w:rPr>
              <w:t>(104,290)</w:t>
            </w:r>
          </w:p>
        </w:tc>
      </w:tr>
      <w:tr>
        <w:trPr>
          <w:trHeight w:val="86"/>
        </w:trPr>
        <w:tc>
          <w:tcPr>
            <w:tcW w:w="5700" w:type="dxa"/>
            <w:vAlign w:val="bottom"/>
            <w:tcBorders>
              <w:bottom w:val="single" w:sz="8" w:color="CCEEFF"/>
            </w:tcBorders>
          </w:tcPr>
          <w:p>
            <w:pPr>
              <w:ind w:left="100"/>
              <w:spacing w:after="0" w:line="86" w:lineRule="exact"/>
              <w:rPr>
                <w:sz w:val="20"/>
                <w:szCs w:val="20"/>
                <w:color w:val="auto"/>
              </w:rPr>
            </w:pPr>
            <w:r>
              <w:rPr>
                <w:rFonts w:ascii="Arial" w:cs="Arial" w:eastAsia="Arial" w:hAnsi="Arial"/>
                <w:sz w:val="9"/>
                <w:szCs w:val="9"/>
                <w:color w:val="auto"/>
              </w:rPr>
              <w:t>Net cash used in investing activities</w:t>
            </w:r>
          </w:p>
        </w:tc>
        <w:tc>
          <w:tcPr>
            <w:tcW w:w="1240" w:type="dxa"/>
            <w:vAlign w:val="bottom"/>
            <w:tcBorders>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spacing w:after="0" w:line="86" w:lineRule="exact"/>
              <w:rPr>
                <w:sz w:val="20"/>
                <w:szCs w:val="20"/>
                <w:color w:val="auto"/>
              </w:rPr>
            </w:pPr>
            <w:r>
              <w:rPr>
                <w:rFonts w:ascii="Arial" w:cs="Arial" w:eastAsia="Arial" w:hAnsi="Arial"/>
                <w:sz w:val="9"/>
                <w:szCs w:val="9"/>
                <w:color w:val="auto"/>
              </w:rPr>
              <w:t>(459,582)</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(104,290)</w:t>
            </w:r>
          </w:p>
        </w:tc>
        <w:tc>
          <w:tcPr>
            <w:tcW w:w="20" w:type="dxa"/>
            <w:vAlign w:val="bottom"/>
          </w:tcPr>
          <w:p>
            <w:pPr>
              <w:spacing w:after="0"/>
              <w:rPr>
                <w:sz w:val="7"/>
                <w:szCs w:val="7"/>
                <w:color w:val="auto"/>
              </w:rPr>
            </w:pPr>
          </w:p>
        </w:tc>
      </w:tr>
      <w:tr>
        <w:trPr>
          <w:trHeight w:val="86"/>
        </w:trPr>
        <w:tc>
          <w:tcPr>
            <w:tcW w:w="5700" w:type="dxa"/>
            <w:vAlign w:val="bottom"/>
            <w:shd w:val="clear" w:color="auto" w:fill="CCEEFF"/>
          </w:tcPr>
          <w:p>
            <w:pPr>
              <w:spacing w:after="0" w:line="86" w:lineRule="exact"/>
              <w:rPr>
                <w:sz w:val="20"/>
                <w:szCs w:val="20"/>
                <w:color w:val="auto"/>
              </w:rPr>
            </w:pPr>
            <w:r>
              <w:rPr>
                <w:rFonts w:ascii="Arial" w:cs="Arial" w:eastAsia="Arial" w:hAnsi="Arial"/>
                <w:sz w:val="9"/>
                <w:szCs w:val="9"/>
                <w:b w:val="1"/>
                <w:bCs w:val="1"/>
                <w:color w:val="auto"/>
              </w:rPr>
              <w:t>Cash flows from financing activities:</w:t>
            </w: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Proceeds from issuance of convertible note</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140"/>
              <w:spacing w:after="0" w:line="96"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70,949</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Payment for Capital leases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00"/>
              <w:spacing w:after="0" w:line="96" w:lineRule="exact"/>
              <w:rPr>
                <w:sz w:val="20"/>
                <w:szCs w:val="20"/>
                <w:color w:val="auto"/>
              </w:rPr>
            </w:pPr>
            <w:r>
              <w:rPr>
                <w:rFonts w:ascii="Arial" w:cs="Arial" w:eastAsia="Arial" w:hAnsi="Arial"/>
                <w:sz w:val="9"/>
                <w:szCs w:val="9"/>
                <w:color w:val="auto"/>
              </w:rPr>
              <w:t>(364)</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Repurchase of Series C convertible preferred shares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tcPr>
          <w:p>
            <w:pPr>
              <w:jc w:val="right"/>
              <w:ind w:right="100"/>
              <w:spacing w:after="0" w:line="96" w:lineRule="exact"/>
              <w:rPr>
                <w:sz w:val="20"/>
                <w:szCs w:val="20"/>
                <w:color w:val="auto"/>
              </w:rPr>
            </w:pPr>
            <w:r>
              <w:rPr>
                <w:rFonts w:ascii="Arial" w:cs="Arial" w:eastAsia="Arial" w:hAnsi="Arial"/>
                <w:sz w:val="9"/>
                <w:szCs w:val="9"/>
                <w:color w:val="auto"/>
              </w:rPr>
              <w:t>(12,101)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(50,000)</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Proceeds from issuance of Series D convertible preferred shares</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400,000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600,000</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Proceeds from issuance of Series E convertible preferred shares</w:t>
            </w: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899,725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Proceeds from exercise of share options</w:t>
            </w:r>
          </w:p>
        </w:tc>
        <w:tc>
          <w:tcPr>
            <w:tcW w:w="124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3,285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483</w:t>
            </w:r>
          </w:p>
        </w:tc>
        <w:tc>
          <w:tcPr>
            <w:tcW w:w="20" w:type="dxa"/>
            <w:vAlign w:val="bottom"/>
          </w:tcPr>
          <w:p>
            <w:pPr>
              <w:spacing w:after="0"/>
              <w:rPr>
                <w:sz w:val="8"/>
                <w:szCs w:val="8"/>
                <w:color w:val="auto"/>
              </w:rPr>
            </w:pPr>
          </w:p>
        </w:tc>
      </w:tr>
      <w:tr>
        <w:trPr>
          <w:trHeight w:val="86"/>
        </w:trPr>
        <w:tc>
          <w:tcPr>
            <w:tcW w:w="5700" w:type="dxa"/>
            <w:vAlign w:val="bottom"/>
            <w:tcBorders>
              <w:bottom w:val="single" w:sz="8" w:color="CCEEFF"/>
            </w:tcBorders>
          </w:tcPr>
          <w:p>
            <w:pPr>
              <w:ind w:left="100"/>
              <w:spacing w:after="0" w:line="86" w:lineRule="exact"/>
              <w:rPr>
                <w:sz w:val="20"/>
                <w:szCs w:val="20"/>
                <w:color w:val="auto"/>
              </w:rPr>
            </w:pPr>
            <w:r>
              <w:rPr>
                <w:rFonts w:ascii="Arial" w:cs="Arial" w:eastAsia="Arial" w:hAnsi="Arial"/>
                <w:sz w:val="9"/>
                <w:szCs w:val="9"/>
                <w:color w:val="auto"/>
              </w:rPr>
              <w:t>Net cash provided by financing activities</w:t>
            </w:r>
          </w:p>
        </w:tc>
        <w:tc>
          <w:tcPr>
            <w:tcW w:w="124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1,290,545</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621,432</w:t>
            </w:r>
          </w:p>
        </w:tc>
        <w:tc>
          <w:tcPr>
            <w:tcW w:w="20" w:type="dxa"/>
            <w:vAlign w:val="bottom"/>
          </w:tcPr>
          <w:p>
            <w:pPr>
              <w:spacing w:after="0"/>
              <w:rPr>
                <w:sz w:val="7"/>
                <w:szCs w:val="7"/>
                <w:color w:val="auto"/>
              </w:rPr>
            </w:pPr>
          </w:p>
        </w:tc>
      </w:tr>
      <w:tr>
        <w:trPr>
          <w:trHeight w:val="86"/>
        </w:trPr>
        <w:tc>
          <w:tcPr>
            <w:tcW w:w="5700" w:type="dxa"/>
            <w:vAlign w:val="bottom"/>
            <w:shd w:val="clear" w:color="auto" w:fill="CCEEFF"/>
          </w:tcPr>
          <w:p>
            <w:pPr>
              <w:ind w:left="100"/>
              <w:spacing w:after="0" w:line="86" w:lineRule="exact"/>
              <w:rPr>
                <w:sz w:val="20"/>
                <w:szCs w:val="20"/>
                <w:color w:val="auto"/>
              </w:rPr>
            </w:pPr>
            <w:r>
              <w:rPr>
                <w:rFonts w:ascii="Arial" w:cs="Arial" w:eastAsia="Arial" w:hAnsi="Arial"/>
                <w:sz w:val="9"/>
                <w:szCs w:val="9"/>
                <w:color w:val="auto"/>
              </w:rPr>
              <w:t>Net increase in cash, cash equivalents, and restricted cash</w:t>
            </w: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260,767</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6" w:lineRule="exact"/>
              <w:rPr>
                <w:sz w:val="20"/>
                <w:szCs w:val="20"/>
                <w:color w:val="auto"/>
              </w:rPr>
            </w:pPr>
            <w:r>
              <w:rPr>
                <w:rFonts w:ascii="Arial" w:cs="Arial" w:eastAsia="Arial" w:hAnsi="Arial"/>
                <w:sz w:val="9"/>
                <w:szCs w:val="9"/>
                <w:color w:val="auto"/>
              </w:rPr>
              <w:t>281,843</w:t>
            </w:r>
          </w:p>
        </w:tc>
        <w:tc>
          <w:tcPr>
            <w:tcW w:w="20" w:type="dxa"/>
            <w:vAlign w:val="bottom"/>
          </w:tcPr>
          <w:p>
            <w:pPr>
              <w:spacing w:after="0"/>
              <w:rPr>
                <w:sz w:val="7"/>
                <w:szCs w:val="7"/>
                <w:color w:val="auto"/>
              </w:rPr>
            </w:pPr>
          </w:p>
        </w:tc>
      </w:tr>
      <w:tr>
        <w:trPr>
          <w:trHeight w:val="96"/>
        </w:trPr>
        <w:tc>
          <w:tcPr>
            <w:tcW w:w="5700" w:type="dxa"/>
            <w:vAlign w:val="bottom"/>
            <w:tcBorders>
              <w:bottom w:val="single" w:sz="8" w:color="CCEEFF"/>
            </w:tcBorders>
          </w:tcPr>
          <w:p>
            <w:pPr>
              <w:ind w:left="100"/>
              <w:spacing w:after="0" w:line="96" w:lineRule="exact"/>
              <w:rPr>
                <w:sz w:val="20"/>
                <w:szCs w:val="20"/>
                <w:color w:val="auto"/>
              </w:rPr>
            </w:pPr>
            <w:r>
              <w:rPr>
                <w:rFonts w:ascii="Arial" w:cs="Arial" w:eastAsia="Arial" w:hAnsi="Arial"/>
                <w:sz w:val="9"/>
                <w:szCs w:val="9"/>
                <w:color w:val="auto"/>
              </w:rPr>
              <w:t>Beginning cash, cash equivalents, and restricted cash</w:t>
            </w:r>
          </w:p>
        </w:tc>
        <w:tc>
          <w:tcPr>
            <w:tcW w:w="12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379,651</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line="96" w:lineRule="exact"/>
              <w:rPr>
                <w:sz w:val="20"/>
                <w:szCs w:val="20"/>
                <w:color w:val="auto"/>
              </w:rPr>
            </w:pPr>
            <w:r>
              <w:rPr>
                <w:rFonts w:ascii="Arial" w:cs="Arial" w:eastAsia="Arial" w:hAnsi="Arial"/>
                <w:sz w:val="9"/>
                <w:szCs w:val="9"/>
                <w:color w:val="auto"/>
              </w:rPr>
              <w:t>97,808</w:t>
            </w:r>
          </w:p>
        </w:tc>
        <w:tc>
          <w:tcPr>
            <w:tcW w:w="20" w:type="dxa"/>
            <w:vAlign w:val="bottom"/>
          </w:tcPr>
          <w:p>
            <w:pPr>
              <w:spacing w:after="0"/>
              <w:rPr>
                <w:sz w:val="8"/>
                <w:szCs w:val="8"/>
                <w:color w:val="auto"/>
              </w:rPr>
            </w:pPr>
          </w:p>
        </w:tc>
      </w:tr>
      <w:tr>
        <w:trPr>
          <w:trHeight w:val="95"/>
        </w:trPr>
        <w:tc>
          <w:tcPr>
            <w:tcW w:w="5700" w:type="dxa"/>
            <w:vAlign w:val="bottom"/>
            <w:tcBorders>
              <w:bottom w:val="single" w:sz="8" w:color="CCEEFF"/>
            </w:tcBorders>
            <w:shd w:val="clear" w:color="auto" w:fill="CCEEFF"/>
          </w:tcPr>
          <w:p>
            <w:pPr>
              <w:ind w:left="100"/>
              <w:spacing w:after="0" w:line="86" w:lineRule="exact"/>
              <w:rPr>
                <w:sz w:val="20"/>
                <w:szCs w:val="20"/>
                <w:color w:val="auto"/>
              </w:rPr>
            </w:pPr>
            <w:r>
              <w:rPr>
                <w:rFonts w:ascii="Arial" w:cs="Arial" w:eastAsia="Arial" w:hAnsi="Arial"/>
                <w:sz w:val="9"/>
                <w:szCs w:val="9"/>
                <w:color w:val="auto"/>
              </w:rPr>
              <w:t>Ending cash, cash equivalents, and restricted cash</w:t>
            </w:r>
          </w:p>
        </w:tc>
        <w:tc>
          <w:tcPr>
            <w:tcW w:w="12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4"/>
                <w:szCs w:val="4"/>
                <w:color w:val="auto"/>
                <w:w w:val="87"/>
              </w:rPr>
              <w:t>$</w:t>
            </w:r>
          </w:p>
        </w:tc>
        <w:tc>
          <w:tcPr>
            <w:tcW w:w="6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640,418</w:t>
            </w: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15"/>
              <w:spacing w:after="0" w:line="86" w:lineRule="exact"/>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shd w:val="clear" w:color="auto" w:fill="CCEEFF"/>
          </w:tcPr>
          <w:p>
            <w:pPr>
              <w:jc w:val="right"/>
              <w:spacing w:after="0" w:line="86" w:lineRule="exact"/>
              <w:rPr>
                <w:sz w:val="20"/>
                <w:szCs w:val="20"/>
                <w:color w:val="auto"/>
              </w:rPr>
            </w:pPr>
            <w:r>
              <w:rPr>
                <w:rFonts w:ascii="Arial" w:cs="Arial" w:eastAsia="Arial" w:hAnsi="Arial"/>
                <w:sz w:val="9"/>
                <w:szCs w:val="9"/>
                <w:color w:val="auto"/>
              </w:rPr>
              <w:t>379,651</w:t>
            </w:r>
          </w:p>
        </w:tc>
        <w:tc>
          <w:tcPr>
            <w:tcW w:w="20" w:type="dxa"/>
            <w:vAlign w:val="bottom"/>
          </w:tcPr>
          <w:p>
            <w:pPr>
              <w:spacing w:after="0"/>
              <w:rPr>
                <w:sz w:val="8"/>
                <w:szCs w:val="8"/>
                <w:color w:val="auto"/>
              </w:rPr>
            </w:pPr>
          </w:p>
        </w:tc>
      </w:tr>
      <w:tr>
        <w:trPr>
          <w:trHeight w:val="96"/>
        </w:trPr>
        <w:tc>
          <w:tcPr>
            <w:tcW w:w="5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Reconciliation of cash, cash equivalents, and restricted cash</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Cash</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614,412</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351,684</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Restricted cash</w:t>
            </w:r>
          </w:p>
        </w:tc>
        <w:tc>
          <w:tcPr>
            <w:tcW w:w="124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26,006</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jc w:val="right"/>
              <w:spacing w:after="0" w:line="96" w:lineRule="exact"/>
              <w:rPr>
                <w:sz w:val="20"/>
                <w:szCs w:val="20"/>
                <w:color w:val="auto"/>
              </w:rPr>
            </w:pPr>
            <w:r>
              <w:rPr>
                <w:rFonts w:ascii="Arial" w:cs="Arial" w:eastAsia="Arial" w:hAnsi="Arial"/>
                <w:sz w:val="9"/>
                <w:szCs w:val="9"/>
                <w:color w:val="auto"/>
              </w:rPr>
              <w:t>27,967</w:t>
            </w:r>
          </w:p>
        </w:tc>
        <w:tc>
          <w:tcPr>
            <w:tcW w:w="20" w:type="dxa"/>
            <w:vAlign w:val="bottom"/>
          </w:tcPr>
          <w:p>
            <w:pPr>
              <w:spacing w:after="0"/>
              <w:rPr>
                <w:sz w:val="8"/>
                <w:szCs w:val="8"/>
                <w:color w:val="auto"/>
              </w:rPr>
            </w:pPr>
          </w:p>
        </w:tc>
      </w:tr>
      <w:tr>
        <w:trPr>
          <w:trHeight w:val="95"/>
        </w:trPr>
        <w:tc>
          <w:tcPr>
            <w:tcW w:w="5700" w:type="dxa"/>
            <w:vAlign w:val="bottom"/>
            <w:tcBorders>
              <w:bottom w:val="single" w:sz="8" w:color="CCEEFF"/>
            </w:tcBorders>
          </w:tcPr>
          <w:p>
            <w:pPr>
              <w:ind w:left="100"/>
              <w:spacing w:after="0" w:line="86" w:lineRule="exact"/>
              <w:rPr>
                <w:sz w:val="20"/>
                <w:szCs w:val="20"/>
                <w:color w:val="auto"/>
              </w:rPr>
            </w:pPr>
            <w:r>
              <w:rPr>
                <w:rFonts w:ascii="Arial" w:cs="Arial" w:eastAsia="Arial" w:hAnsi="Arial"/>
                <w:sz w:val="9"/>
                <w:szCs w:val="9"/>
                <w:color w:val="auto"/>
              </w:rPr>
              <w:t>Total cash, cash equivalents, and restricted cash, end of period</w:t>
            </w:r>
          </w:p>
        </w:tc>
        <w:tc>
          <w:tcPr>
            <w:tcW w:w="12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6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640,418</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jc w:val="right"/>
              <w:ind w:right="115"/>
              <w:spacing w:after="0" w:line="86" w:lineRule="exact"/>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86" w:lineRule="exact"/>
              <w:rPr>
                <w:sz w:val="20"/>
                <w:szCs w:val="20"/>
                <w:color w:val="auto"/>
              </w:rPr>
            </w:pPr>
            <w:r>
              <w:rPr>
                <w:rFonts w:ascii="Arial" w:cs="Arial" w:eastAsia="Arial" w:hAnsi="Arial"/>
                <w:sz w:val="9"/>
                <w:szCs w:val="9"/>
                <w:color w:val="auto"/>
              </w:rPr>
              <w:t>379,651</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Supplemental disclosure of cash flow information:</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Cash paid for interest</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51</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30</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spacing w:after="0" w:line="96" w:lineRule="exact"/>
              <w:rPr>
                <w:sz w:val="20"/>
                <w:szCs w:val="20"/>
                <w:color w:val="auto"/>
              </w:rPr>
            </w:pPr>
            <w:r>
              <w:rPr>
                <w:rFonts w:ascii="Arial" w:cs="Arial" w:eastAsia="Arial" w:hAnsi="Arial"/>
                <w:sz w:val="9"/>
                <w:szCs w:val="9"/>
                <w:b w:val="1"/>
                <w:bCs w:val="1"/>
                <w:color w:val="auto"/>
              </w:rPr>
              <w:t>Supplemental disclosure of non-cash investing and financing activity:</w:t>
            </w: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Property and equipment included in accounts payable and accrued expense</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117,946</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32,863</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Property and equipment acquired through capital leases</w:t>
            </w:r>
          </w:p>
        </w:tc>
        <w:tc>
          <w:tcPr>
            <w:tcW w:w="142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3,289</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451</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Issuance of contingent forward contracts</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793</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Extinguishment of Series B convertible preferred shares included in additional paid-in capital</w:t>
            </w:r>
          </w:p>
        </w:tc>
        <w:tc>
          <w:tcPr>
            <w:tcW w:w="142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Extinguishment of Series B convertible preferred shares included in accrued liabilities</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3,000</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Settlement of Series D convertible preferred shares contingent forward contract</w:t>
            </w:r>
          </w:p>
        </w:tc>
        <w:tc>
          <w:tcPr>
            <w:tcW w:w="142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39,563</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Settlement of Series E convertible preferred shares contingent forward contract</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660" w:type="dxa"/>
            <w:vAlign w:val="bottom"/>
          </w:tcPr>
          <w:p>
            <w:pPr>
              <w:jc w:val="right"/>
              <w:spacing w:after="0" w:line="96" w:lineRule="exact"/>
              <w:rPr>
                <w:sz w:val="20"/>
                <w:szCs w:val="20"/>
                <w:color w:val="auto"/>
              </w:rPr>
            </w:pPr>
            <w:r>
              <w:rPr>
                <w:rFonts w:ascii="Arial" w:cs="Arial" w:eastAsia="Arial" w:hAnsi="Arial"/>
                <w:sz w:val="9"/>
                <w:szCs w:val="9"/>
                <w:color w:val="auto"/>
              </w:rPr>
              <w:t>110,456</w:t>
            </w:r>
          </w:p>
        </w:tc>
        <w:tc>
          <w:tcPr>
            <w:tcW w:w="100" w:type="dxa"/>
            <w:vAlign w:val="bottom"/>
          </w:tcPr>
          <w:p>
            <w:pPr>
              <w:spacing w:after="0"/>
              <w:rPr>
                <w:sz w:val="8"/>
                <w:szCs w:val="8"/>
                <w:color w:val="auto"/>
              </w:rPr>
            </w:pP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Convertible Notes converted into Series D convertible preferred shares</w:t>
            </w:r>
          </w:p>
        </w:tc>
        <w:tc>
          <w:tcPr>
            <w:tcW w:w="142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300,000</w:t>
            </w:r>
          </w:p>
        </w:tc>
        <w:tc>
          <w:tcPr>
            <w:tcW w:w="20" w:type="dxa"/>
            <w:vAlign w:val="bottom"/>
          </w:tcPr>
          <w:p>
            <w:pPr>
              <w:spacing w:after="0"/>
              <w:rPr>
                <w:sz w:val="8"/>
                <w:szCs w:val="8"/>
                <w:color w:val="auto"/>
              </w:rPr>
            </w:pPr>
          </w:p>
        </w:tc>
      </w:tr>
      <w:tr>
        <w:trPr>
          <w:trHeight w:val="96"/>
        </w:trPr>
        <w:tc>
          <w:tcPr>
            <w:tcW w:w="5700" w:type="dxa"/>
            <w:vAlign w:val="bottom"/>
          </w:tcPr>
          <w:p>
            <w:pPr>
              <w:ind w:left="100"/>
              <w:spacing w:after="0" w:line="96" w:lineRule="exact"/>
              <w:rPr>
                <w:sz w:val="20"/>
                <w:szCs w:val="20"/>
                <w:color w:val="auto"/>
              </w:rPr>
            </w:pPr>
            <w:r>
              <w:rPr>
                <w:rFonts w:ascii="Arial" w:cs="Arial" w:eastAsia="Arial" w:hAnsi="Arial"/>
                <w:sz w:val="9"/>
                <w:szCs w:val="9"/>
                <w:color w:val="auto"/>
              </w:rPr>
              <w:t>Unamortized Convertible Notes debt issuance cost and debt discount converted into Series D convertible preferred shares</w:t>
            </w:r>
          </w:p>
        </w:tc>
        <w:tc>
          <w:tcPr>
            <w:tcW w:w="1420" w:type="dxa"/>
            <w:vAlign w:val="bottom"/>
            <w:gridSpan w:val="2"/>
          </w:tcPr>
          <w:p>
            <w:pPr>
              <w:jc w:val="right"/>
              <w:ind w:right="118"/>
              <w:spacing w:after="0" w:line="96"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40"/>
              <w:spacing w:after="0" w:line="96"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tcPr>
          <w:p>
            <w:pPr>
              <w:jc w:val="right"/>
              <w:spacing w:after="0" w:line="96" w:lineRule="exact"/>
              <w:rPr>
                <w:sz w:val="20"/>
                <w:szCs w:val="20"/>
                <w:color w:val="auto"/>
              </w:rPr>
            </w:pPr>
            <w:r>
              <w:rPr>
                <w:rFonts w:ascii="Arial" w:cs="Arial" w:eastAsia="Arial" w:hAnsi="Arial"/>
                <w:sz w:val="9"/>
                <w:szCs w:val="9"/>
                <w:color w:val="auto"/>
              </w:rPr>
              <w:t>(36,797)</w:t>
            </w:r>
          </w:p>
        </w:tc>
        <w:tc>
          <w:tcPr>
            <w:tcW w:w="20" w:type="dxa"/>
            <w:vAlign w:val="bottom"/>
          </w:tcPr>
          <w:p>
            <w:pPr>
              <w:spacing w:after="0"/>
              <w:rPr>
                <w:sz w:val="8"/>
                <w:szCs w:val="8"/>
                <w:color w:val="auto"/>
              </w:rPr>
            </w:pPr>
          </w:p>
        </w:tc>
      </w:tr>
      <w:tr>
        <w:trPr>
          <w:trHeight w:val="96"/>
        </w:trPr>
        <w:tc>
          <w:tcPr>
            <w:tcW w:w="5700" w:type="dxa"/>
            <w:vAlign w:val="bottom"/>
            <w:shd w:val="clear" w:color="auto" w:fill="CCEEFF"/>
          </w:tcPr>
          <w:p>
            <w:pPr>
              <w:ind w:left="100"/>
              <w:spacing w:after="0" w:line="96" w:lineRule="exact"/>
              <w:rPr>
                <w:sz w:val="20"/>
                <w:szCs w:val="20"/>
                <w:color w:val="auto"/>
              </w:rPr>
            </w:pPr>
            <w:r>
              <w:rPr>
                <w:rFonts w:ascii="Arial" w:cs="Arial" w:eastAsia="Arial" w:hAnsi="Arial"/>
                <w:sz w:val="9"/>
                <w:szCs w:val="9"/>
                <w:color w:val="auto"/>
              </w:rPr>
              <w:t>Accrued interest of Convertible Notes converted to Series D convertible preferred shares</w:t>
            </w:r>
          </w:p>
        </w:tc>
        <w:tc>
          <w:tcPr>
            <w:tcW w:w="1420" w:type="dxa"/>
            <w:vAlign w:val="bottom"/>
            <w:gridSpan w:val="2"/>
            <w:shd w:val="clear" w:color="auto" w:fill="CCEEFF"/>
          </w:tcPr>
          <w:p>
            <w:pPr>
              <w:jc w:val="right"/>
              <w:ind w:right="118"/>
              <w:spacing w:after="0" w:line="96"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40"/>
              <w:spacing w:after="0" w:line="96" w:lineRule="exact"/>
              <w:rPr>
                <w:sz w:val="20"/>
                <w:szCs w:val="20"/>
                <w:color w:val="auto"/>
              </w:rPr>
            </w:pPr>
            <w:r>
              <w:rPr>
                <w:rFonts w:ascii="Arial" w:cs="Arial" w:eastAsia="Arial" w:hAnsi="Arial"/>
                <w:sz w:val="9"/>
                <w:szCs w:val="9"/>
                <w:color w:val="auto"/>
              </w:rPr>
              <w:t>—</w:t>
            </w:r>
          </w:p>
        </w:tc>
        <w:tc>
          <w:tcPr>
            <w:tcW w:w="320" w:type="dxa"/>
            <w:vAlign w:val="bottom"/>
            <w:gridSpan w:val="2"/>
            <w:shd w:val="clear" w:color="auto" w:fill="CCEEFF"/>
          </w:tcPr>
          <w:p>
            <w:pPr>
              <w:jc w:val="right"/>
              <w:ind w:right="115"/>
              <w:spacing w:after="0" w:line="96" w:lineRule="exact"/>
              <w:rPr>
                <w:sz w:val="20"/>
                <w:szCs w:val="20"/>
                <w:color w:val="auto"/>
              </w:rPr>
            </w:pPr>
            <w:r>
              <w:rPr>
                <w:rFonts w:ascii="Arial" w:cs="Arial" w:eastAsia="Arial" w:hAnsi="Arial"/>
                <w:sz w:val="9"/>
                <w:szCs w:val="9"/>
                <w:color w:val="auto"/>
              </w:rPr>
              <w:t>$</w:t>
            </w:r>
          </w:p>
        </w:tc>
        <w:tc>
          <w:tcPr>
            <w:tcW w:w="760" w:type="dxa"/>
            <w:vAlign w:val="bottom"/>
            <w:shd w:val="clear" w:color="auto" w:fill="CCEEFF"/>
          </w:tcPr>
          <w:p>
            <w:pPr>
              <w:jc w:val="right"/>
              <w:spacing w:after="0" w:line="96" w:lineRule="exact"/>
              <w:rPr>
                <w:sz w:val="20"/>
                <w:szCs w:val="20"/>
                <w:color w:val="auto"/>
              </w:rPr>
            </w:pPr>
            <w:r>
              <w:rPr>
                <w:rFonts w:ascii="Arial" w:cs="Arial" w:eastAsia="Arial" w:hAnsi="Arial"/>
                <w:sz w:val="9"/>
                <w:szCs w:val="9"/>
                <w:color w:val="auto"/>
              </w:rPr>
              <w:t>8,747</w:t>
            </w:r>
          </w:p>
        </w:tc>
        <w:tc>
          <w:tcPr>
            <w:tcW w:w="20" w:type="dxa"/>
            <w:vAlign w:val="bottom"/>
          </w:tcPr>
          <w:p>
            <w:pPr>
              <w:spacing w:after="0"/>
              <w:rPr>
                <w:sz w:val="8"/>
                <w:szCs w:val="8"/>
                <w:color w:val="auto"/>
              </w:rPr>
            </w:pPr>
          </w:p>
        </w:tc>
      </w:tr>
      <w:tr>
        <w:trPr>
          <w:trHeight w:val="114"/>
        </w:trPr>
        <w:tc>
          <w:tcPr>
            <w:tcW w:w="5700" w:type="dxa"/>
            <w:vAlign w:val="bottom"/>
          </w:tcPr>
          <w:p>
            <w:pPr>
              <w:ind w:left="100"/>
              <w:spacing w:after="0"/>
              <w:rPr>
                <w:sz w:val="20"/>
                <w:szCs w:val="20"/>
                <w:color w:val="auto"/>
              </w:rPr>
            </w:pPr>
            <w:r>
              <w:rPr>
                <w:rFonts w:ascii="Arial" w:cs="Arial" w:eastAsia="Arial" w:hAnsi="Arial"/>
                <w:sz w:val="9"/>
                <w:szCs w:val="9"/>
                <w:color w:val="auto"/>
              </w:rPr>
              <w:t>Deferred financing cost reclassed to convertible preferred shares</w:t>
            </w:r>
          </w:p>
        </w:tc>
        <w:tc>
          <w:tcPr>
            <w:tcW w:w="1420" w:type="dxa"/>
            <w:vAlign w:val="bottom"/>
            <w:gridSpan w:val="2"/>
          </w:tcPr>
          <w:p>
            <w:pPr>
              <w:jc w:val="right"/>
              <w:ind w:right="118"/>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115"/>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10,253</w:t>
            </w:r>
          </w:p>
        </w:tc>
        <w:tc>
          <w:tcPr>
            <w:tcW w:w="20" w:type="dxa"/>
            <w:vAlign w:val="bottom"/>
          </w:tcPr>
          <w:p>
            <w:pPr>
              <w:spacing w:after="0"/>
              <w:rPr>
                <w:sz w:val="9"/>
                <w:szCs w:val="9"/>
                <w:color w:val="auto"/>
              </w:rPr>
            </w:pPr>
          </w:p>
        </w:tc>
      </w:tr>
    </w:tbl>
    <w:p>
      <w:pPr>
        <w:spacing w:after="0" w:line="127"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2615" cy="1841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31" w:name="page32"/>
    <w:bookmarkEnd w:id="31"/>
    <w:p>
      <w:pPr>
        <w:ind w:left="20"/>
        <w:spacing w:after="0"/>
        <w:rPr>
          <w:sz w:val="20"/>
          <w:szCs w:val="20"/>
          <w:color w:val="auto"/>
        </w:rPr>
      </w:pPr>
      <w:r>
        <w:rPr>
          <w:rFonts w:ascii="Arial" w:cs="Arial" w:eastAsia="Arial" w:hAnsi="Arial"/>
          <w:sz w:val="13"/>
          <w:szCs w:val="13"/>
          <w:b w:val="1"/>
          <w:bCs w:val="1"/>
          <w:color w:val="auto"/>
        </w:rPr>
        <w:t>NOTE 1 — DESCRIPTION OF BUSINESS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Overview</w:t>
      </w:r>
    </w:p>
    <w:p>
      <w:pPr>
        <w:spacing w:after="0" w:line="162" w:lineRule="exact"/>
        <w:rPr>
          <w:sz w:val="20"/>
          <w:szCs w:val="20"/>
          <w:color w:val="auto"/>
        </w:rPr>
      </w:pPr>
    </w:p>
    <w:p>
      <w:pPr>
        <w:ind w:left="20" w:right="139" w:firstLine="231"/>
        <w:spacing w:after="0" w:line="250" w:lineRule="auto"/>
        <w:rPr>
          <w:sz w:val="20"/>
          <w:szCs w:val="20"/>
          <w:color w:val="auto"/>
        </w:rPr>
      </w:pPr>
      <w:r>
        <w:rPr>
          <w:rFonts w:ascii="Arial" w:cs="Arial" w:eastAsia="Arial" w:hAnsi="Arial"/>
          <w:sz w:val="13"/>
          <w:szCs w:val="13"/>
          <w:color w:val="auto"/>
        </w:rPr>
        <w:t>The precursor of Atieva, Inc. (DBA Lucid Motors) was originally incorporated in the state of Delaware in December 2007 (“Atieva Delaware”). Atieva Delaware designed, developed, and built energy storage systems for electric vehicles and supplied automakers with the battery pack system needed to power hybrid, plug-in, and electric vehicles. In December 2009, Atieva Delaware and a newly incorporated Cayman Islands company (“Atieva Cayman”) entered into a share exchange agreement (the “Share Exchange Agreement”). Under the Share Exchange Agreement, (a) each holder of Atieva Delaware common shares exchanged such shares for shares of Atieva Cayman’s par value $0.0001 common shares (the “Common Shares”) on a one-for-one basis, and (b) each holder of Atieva Delaware Series A shares exchanged such shares for Atieva Cayman Series A shares on a one-for-one basis. Upon completion of the share exchange, Atieva Delaware was renamed as Atieva USA, Inc. with Atieva Cayman retaining the name of Atieva, Inc.</w:t>
      </w:r>
    </w:p>
    <w:p>
      <w:pPr>
        <w:spacing w:after="0" w:line="140" w:lineRule="exact"/>
        <w:rPr>
          <w:sz w:val="20"/>
          <w:szCs w:val="20"/>
          <w:color w:val="auto"/>
        </w:rPr>
      </w:pPr>
    </w:p>
    <w:p>
      <w:pPr>
        <w:ind w:left="20" w:right="159" w:firstLine="231"/>
        <w:spacing w:after="0" w:line="253" w:lineRule="auto"/>
        <w:rPr>
          <w:sz w:val="20"/>
          <w:szCs w:val="20"/>
          <w:color w:val="auto"/>
        </w:rPr>
      </w:pPr>
      <w:r>
        <w:rPr>
          <w:rFonts w:ascii="Arial" w:cs="Arial" w:eastAsia="Arial" w:hAnsi="Arial"/>
          <w:sz w:val="13"/>
          <w:szCs w:val="13"/>
          <w:color w:val="auto"/>
        </w:rPr>
        <w:t>Subsequent to the share exchange transaction, Atieva Delaware distributed 100% of its wholly owned subsidiaries in Hong Kong and Shanghai, China (“Atieva Hong Kong” and “Atieva Shanghai,” respectively) to Atieva Cayman in December 2010. In addition, Atieva Delaware registered a branch office in Taiwan in May 2008. In 2014, Atieva, Inc. (the “Company” or “our”) changed its business model to focus on the design and development of high-performance fully electric vehicles and advanced electric vehicle powertrain components.</w:t>
      </w:r>
    </w:p>
    <w:p>
      <w:pPr>
        <w:spacing w:after="0" w:line="139"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As part of the build-out of the Company’s retail stores and service centers for distribution of vehicles to customers, the Company changed Atieva Delaware’s legal name to Lucid USA, Inc., and incorporated new subsidiaries in the U.S. and Canada, including Lucid Group USA, Inc., a Delaware corporation in August 2020, and Lucid Motors Canada ULC, a British Columbia unlimited liability company and an indirect, wholly-owned subsidiary of Lucid Group USA, Inc. in December 2020. The Company is headquartered in Newark, California and has various other global office locations.</w:t>
      </w:r>
    </w:p>
    <w:p>
      <w:pPr>
        <w:spacing w:after="0" w:line="139" w:lineRule="exact"/>
        <w:rPr>
          <w:sz w:val="20"/>
          <w:szCs w:val="20"/>
          <w:color w:val="auto"/>
        </w:rPr>
      </w:pPr>
    </w:p>
    <w:p>
      <w:pPr>
        <w:ind w:left="20" w:right="299" w:firstLine="231"/>
        <w:spacing w:after="0" w:line="309" w:lineRule="auto"/>
        <w:rPr>
          <w:sz w:val="20"/>
          <w:szCs w:val="20"/>
          <w:color w:val="auto"/>
        </w:rPr>
      </w:pPr>
      <w:r>
        <w:rPr>
          <w:rFonts w:ascii="Arial" w:cs="Arial" w:eastAsia="Arial" w:hAnsi="Arial"/>
          <w:sz w:val="12"/>
          <w:szCs w:val="12"/>
          <w:color w:val="auto"/>
        </w:rPr>
        <w:t>On February 22, 2021, Atieva, Inc. entered into a definitive merger agreement with Churchill Capital Corp IV (“Churchill”) in which Atieva would become a wholly owned subsidiary of Churchill. Upon the closing of the merger on July 23, 2021, Churchill was immediately renamed to “Lucid Group, Inc.”</w:t>
      </w:r>
    </w:p>
    <w:p>
      <w:pPr>
        <w:spacing w:after="0" w:line="106" w:lineRule="exact"/>
        <w:rPr>
          <w:sz w:val="20"/>
          <w:szCs w:val="20"/>
          <w:color w:val="auto"/>
        </w:rPr>
      </w:pPr>
    </w:p>
    <w:p>
      <w:pPr>
        <w:ind w:left="20" w:right="79" w:firstLine="231"/>
        <w:spacing w:after="0" w:line="308" w:lineRule="auto"/>
        <w:rPr>
          <w:sz w:val="20"/>
          <w:szCs w:val="20"/>
          <w:color w:val="auto"/>
        </w:rPr>
      </w:pPr>
      <w:r>
        <w:rPr>
          <w:rFonts w:ascii="Arial" w:cs="Arial" w:eastAsia="Arial" w:hAnsi="Arial"/>
          <w:sz w:val="11"/>
          <w:szCs w:val="11"/>
          <w:color w:val="auto"/>
        </w:rPr>
        <w:t>The Merger has been accounted for as a reverse recapitalization. Under this method of accounting, Churchill has been treated as the acquired company for financial reporting purposes. Accordingly, for accounting purposes, the financial statements of the combined entity represent a continuation of the financial statements of the Company with the Merger being treated as the equivalent of the Company issuing shares for the net assets of Churchill, accompanied by a recapitalization. Accordingly, all periods included in these financial statements of the Company are prior to the Merger and have been retrospectively adjusted using the exchange ratio of 2.644 for the equivalent number of shares outstanding immediately after the Closing to give effect to the reverse recapitalization. See Note 15 — Subsequent Events for more information.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Liquidity and Going Concern</w:t>
      </w:r>
    </w:p>
    <w:p>
      <w:pPr>
        <w:spacing w:after="0" w:line="162" w:lineRule="exact"/>
        <w:rPr>
          <w:sz w:val="20"/>
          <w:szCs w:val="20"/>
          <w:color w:val="auto"/>
        </w:rPr>
      </w:pPr>
    </w:p>
    <w:p>
      <w:pPr>
        <w:ind w:left="20" w:right="239" w:firstLine="231"/>
        <w:spacing w:after="0" w:line="267" w:lineRule="auto"/>
        <w:rPr>
          <w:sz w:val="20"/>
          <w:szCs w:val="20"/>
          <w:color w:val="auto"/>
        </w:rPr>
      </w:pPr>
      <w:r>
        <w:rPr>
          <w:rFonts w:ascii="Arial" w:cs="Arial" w:eastAsia="Arial" w:hAnsi="Arial"/>
          <w:sz w:val="13"/>
          <w:szCs w:val="13"/>
          <w:color w:val="auto"/>
        </w:rPr>
        <w:t>The Company devotes its efforts to business planning, research and development, recruiting of management and technical staff, acquiring operating assets, and raising capital.</w:t>
      </w:r>
    </w:p>
    <w:p>
      <w:pPr>
        <w:spacing w:after="0" w:line="129" w:lineRule="exact"/>
        <w:rPr>
          <w:sz w:val="20"/>
          <w:szCs w:val="20"/>
          <w:color w:val="auto"/>
        </w:rPr>
      </w:pPr>
    </w:p>
    <w:p>
      <w:pPr>
        <w:ind w:left="20" w:right="379" w:firstLine="231"/>
        <w:spacing w:after="0" w:line="257" w:lineRule="auto"/>
        <w:rPr>
          <w:sz w:val="20"/>
          <w:szCs w:val="20"/>
          <w:color w:val="auto"/>
        </w:rPr>
      </w:pPr>
      <w:r>
        <w:rPr>
          <w:rFonts w:ascii="Arial" w:cs="Arial" w:eastAsia="Arial" w:hAnsi="Arial"/>
          <w:sz w:val="13"/>
          <w:szCs w:val="13"/>
          <w:color w:val="auto"/>
        </w:rPr>
        <w:t>From inception through December 31, 2020, the Company has incurred operating losses and negative cash flows from operating activities. For the years ended December 31, 2020 and 2019, the Company has incurred operating losses, including net losses of $719.4 million and $277.4 million, respectively. The Company has an accumulated deficit of $1.4 billion as of December 31, 2020.</w:t>
      </w:r>
    </w:p>
    <w:p>
      <w:pPr>
        <w:spacing w:after="0" w:line="135" w:lineRule="exact"/>
        <w:rPr>
          <w:sz w:val="20"/>
          <w:szCs w:val="20"/>
          <w:color w:val="auto"/>
        </w:rPr>
      </w:pPr>
    </w:p>
    <w:p>
      <w:pPr>
        <w:ind w:left="20" w:right="179" w:firstLine="231"/>
        <w:spacing w:after="0" w:line="257" w:lineRule="auto"/>
        <w:rPr>
          <w:sz w:val="20"/>
          <w:szCs w:val="20"/>
          <w:color w:val="auto"/>
        </w:rPr>
      </w:pPr>
      <w:r>
        <w:rPr>
          <w:rFonts w:ascii="Arial" w:cs="Arial" w:eastAsia="Arial" w:hAnsi="Arial"/>
          <w:sz w:val="13"/>
          <w:szCs w:val="13"/>
          <w:color w:val="auto"/>
        </w:rPr>
        <w:t>As of the end of 2020, the Company was finalizing construction of its newly built manufacturing plant in Casa Grande, Arizona (the “Arizona plant”). The Company plans to begin selling its first vehicle, the Lucid Air, in the second half of 2021, along with the continued expansion of the Arizona plant and build-out of a network of retail sales and service locations. The Company has plans for continued development of additional vehicle model types for future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32" w:name="page33"/>
    <w:bookmarkEnd w:id="32"/>
    <w:p>
      <w:pPr>
        <w:ind w:left="20" w:right="59"/>
        <w:spacing w:after="0" w:line="267" w:lineRule="auto"/>
        <w:rPr>
          <w:sz w:val="20"/>
          <w:szCs w:val="20"/>
          <w:color w:val="auto"/>
        </w:rPr>
      </w:pPr>
      <w:r>
        <w:rPr>
          <w:rFonts w:ascii="Arial" w:cs="Arial" w:eastAsia="Arial" w:hAnsi="Arial"/>
          <w:sz w:val="13"/>
          <w:szCs w:val="13"/>
          <w:color w:val="auto"/>
        </w:rPr>
        <w:t>release. The aforementioned activities will require considerable capital, above and beyond the expected cash inflows from the initial sales of the Lucid Air. As such, the future operating plan involves considerable risk if secure funding sources were not identified and confirmed.</w:t>
      </w:r>
    </w:p>
    <w:p>
      <w:pPr>
        <w:spacing w:after="0" w:line="129" w:lineRule="exact"/>
        <w:rPr>
          <w:sz w:val="20"/>
          <w:szCs w:val="20"/>
          <w:color w:val="auto"/>
        </w:rPr>
      </w:pPr>
    </w:p>
    <w:p>
      <w:pPr>
        <w:ind w:left="20" w:right="59" w:firstLine="229"/>
        <w:spacing w:after="0" w:line="251" w:lineRule="auto"/>
        <w:rPr>
          <w:sz w:val="20"/>
          <w:szCs w:val="20"/>
          <w:color w:val="auto"/>
        </w:rPr>
      </w:pPr>
      <w:r>
        <w:rPr>
          <w:rFonts w:ascii="Arial" w:cs="Arial" w:eastAsia="Arial" w:hAnsi="Arial"/>
          <w:sz w:val="13"/>
          <w:szCs w:val="13"/>
          <w:color w:val="auto"/>
        </w:rPr>
        <w:t>The Company’s existing sources of liquidity include cash and cash equivalents. Historically, the Company has been able to obtain debt and equity financing as disclosed in these consolidated financial statements. The Company has funded operations primarily with issuances of convertible preferred shares, convertible notes, long-term debt and net proceeds from revenues. As discussed in Note 15 — Subsequent Events, upon the Closing of the Merger, the Company received $4,400.3 million in cash proceeds, net of transaction costs. The Company believes the Merger eliminated the substantial doubt about the Company’s ability to continue as a going concern within one year after the date of issuance of these consolidated financial statements.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Certain Significant Risks and Uncertainties</w:t>
      </w:r>
    </w:p>
    <w:p>
      <w:pPr>
        <w:spacing w:after="0" w:line="162" w:lineRule="exact"/>
        <w:rPr>
          <w:sz w:val="20"/>
          <w:szCs w:val="20"/>
          <w:color w:val="auto"/>
        </w:rPr>
      </w:pPr>
    </w:p>
    <w:p>
      <w:pPr>
        <w:ind w:left="20" w:right="59" w:firstLine="231"/>
        <w:spacing w:after="0" w:line="275" w:lineRule="auto"/>
        <w:rPr>
          <w:sz w:val="20"/>
          <w:szCs w:val="20"/>
          <w:color w:val="auto"/>
        </w:rPr>
      </w:pPr>
      <w:r>
        <w:rPr>
          <w:rFonts w:ascii="Arial" w:cs="Arial" w:eastAsia="Arial" w:hAnsi="Arial"/>
          <w:sz w:val="12"/>
          <w:szCs w:val="12"/>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28"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The Company participates in a dynamic high 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39" w:lineRule="exact"/>
        <w:rPr>
          <w:sz w:val="20"/>
          <w:szCs w:val="20"/>
          <w:color w:val="auto"/>
        </w:rPr>
      </w:pPr>
    </w:p>
    <w:p>
      <w:pPr>
        <w:ind w:left="20" w:right="159" w:firstLine="231"/>
        <w:spacing w:after="0" w:line="305" w:lineRule="auto"/>
        <w:rPr>
          <w:sz w:val="20"/>
          <w:szCs w:val="20"/>
          <w:color w:val="auto"/>
        </w:rPr>
      </w:pPr>
      <w:r>
        <w:rPr>
          <w:rFonts w:ascii="Arial" w:cs="Arial" w:eastAsia="Arial" w:hAnsi="Arial"/>
          <w:sz w:val="11"/>
          <w:szCs w:val="11"/>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2 — SUMMARY OF SIGNIFICANT ACCOUNTING POLICIES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Basis of Presentation and Preparation</w:t>
      </w:r>
    </w:p>
    <w:p>
      <w:pPr>
        <w:spacing w:after="0" w:line="162" w:lineRule="exact"/>
        <w:rPr>
          <w:sz w:val="20"/>
          <w:szCs w:val="20"/>
          <w:color w:val="auto"/>
        </w:rPr>
      </w:pPr>
    </w:p>
    <w:p>
      <w:pPr>
        <w:ind w:left="20" w:right="59" w:firstLine="231"/>
        <w:spacing w:after="0" w:line="251" w:lineRule="auto"/>
        <w:rPr>
          <w:sz w:val="20"/>
          <w:szCs w:val="20"/>
          <w:color w:val="auto"/>
        </w:rPr>
      </w:pPr>
      <w:r>
        <w:rPr>
          <w:rFonts w:ascii="Arial" w:cs="Arial" w:eastAsia="Arial" w:hAnsi="Arial"/>
          <w:sz w:val="13"/>
          <w:szCs w:val="13"/>
          <w:color w:val="auto"/>
        </w:rPr>
        <w:t>The accompanying consolidated financial statements have been prepared pursuant to generally accepted accounting principles generally accepted in the United States of America (“GAAP”) as determined by the Financial Accounting Standards Board (“FASB”) Accounting Standards Codification (“ASC”) and pursuant to the regulations of the U.S. Securities and Exchange Commission (“SEC”).The consolidated financial statements as of and for the years ended December 31, 2020 and 2019 include the accounts of Atieva Cayman and its wholly owned subsidiaries. All significant intercompany balances accounts and transactions have been eliminated in the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3" w:name="page34"/>
    <w:bookmarkEnd w:id="33"/>
    <w:p>
      <w:pPr>
        <w:ind w:left="20"/>
        <w:spacing w:after="0"/>
        <w:rPr>
          <w:sz w:val="20"/>
          <w:szCs w:val="20"/>
          <w:color w:val="auto"/>
        </w:rPr>
      </w:pPr>
      <w:r>
        <w:rPr>
          <w:rFonts w:ascii="Arial" w:cs="Arial" w:eastAsia="Arial" w:hAnsi="Arial"/>
          <w:sz w:val="13"/>
          <w:szCs w:val="13"/>
          <w:b w:val="1"/>
          <w:bCs w:val="1"/>
          <w:color w:val="auto"/>
        </w:rPr>
        <w:t>Segment Reporting</w:t>
      </w:r>
    </w:p>
    <w:p>
      <w:pPr>
        <w:spacing w:after="0" w:line="162" w:lineRule="exact"/>
        <w:rPr>
          <w:sz w:val="20"/>
          <w:szCs w:val="20"/>
          <w:color w:val="auto"/>
        </w:rPr>
      </w:pPr>
    </w:p>
    <w:p>
      <w:pPr>
        <w:ind w:left="20" w:right="259" w:firstLine="231"/>
        <w:spacing w:after="0" w:line="281" w:lineRule="auto"/>
        <w:rPr>
          <w:sz w:val="20"/>
          <w:szCs w:val="20"/>
          <w:color w:val="auto"/>
        </w:rPr>
      </w:pPr>
      <w:r>
        <w:rPr>
          <w:rFonts w:ascii="Arial" w:cs="Arial" w:eastAsia="Arial" w:hAnsi="Arial"/>
          <w:sz w:val="12"/>
          <w:szCs w:val="12"/>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Use of Estimates</w:t>
      </w:r>
    </w:p>
    <w:p>
      <w:pPr>
        <w:spacing w:after="0" w:line="162" w:lineRule="exact"/>
        <w:rPr>
          <w:sz w:val="20"/>
          <w:szCs w:val="20"/>
          <w:color w:val="auto"/>
        </w:rPr>
      </w:pPr>
    </w:p>
    <w:p>
      <w:pPr>
        <w:ind w:left="20" w:right="119" w:firstLine="231"/>
        <w:spacing w:after="0" w:line="303"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Cash Equivalents and Restricted Cash</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Company considers all highly liquid investments with an original or remaining maturity at the date of purchase of three months or less to be cash equivalents.</w:t>
      </w:r>
    </w:p>
    <w:p>
      <w:pPr>
        <w:spacing w:after="0" w:line="170" w:lineRule="exact"/>
        <w:rPr>
          <w:sz w:val="20"/>
          <w:szCs w:val="20"/>
          <w:color w:val="auto"/>
        </w:rPr>
      </w:pPr>
    </w:p>
    <w:p>
      <w:pPr>
        <w:ind w:left="20" w:right="79" w:firstLine="231"/>
        <w:spacing w:after="0" w:line="275" w:lineRule="auto"/>
        <w:rPr>
          <w:sz w:val="20"/>
          <w:szCs w:val="20"/>
          <w:color w:val="auto"/>
        </w:rPr>
      </w:pPr>
      <w:r>
        <w:rPr>
          <w:rFonts w:ascii="Arial" w:cs="Arial" w:eastAsia="Arial" w:hAnsi="Arial"/>
          <w:sz w:val="12"/>
          <w:szCs w:val="12"/>
          <w:color w:val="auto"/>
        </w:rPr>
        <w:t>The Company has restricted cash in current assets of $11.3 million and $19.8 million as of December 31, 2020 and 2019, respectively, consisting of customer reservation payments for electric vehicles of $0.5 million and $0.3 million and the escrow deposit for building of the Arizona plant of $ 10.8 million and $19.5 million as of December 31, 2020 and 2019, respectively. As of December 31, 2020 and 2019, the Company has $14.7 million and $8.2 million, respectively, held in long-term restricted cash consisting of $5.0 million and $5.0 million, respectively, for the letter of credit required by the landlord for the headquarter facility in Newark, California, $8.0 million and $1.5 million, respectively, in letter of credit required by the landlord for the retail locations, and $1.7 million and $1.7 million, respectively, in escrow deposit required under the escrow agreement for the lease with Pinal county, Arizona, related to the Arizona plant.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provides a reconciliation of cash and restricted cash to amounts shown in the statements of cash flows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December 31,</w:t>
            </w: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3000" w:type="dxa"/>
            <w:vAlign w:val="bottom"/>
            <w:tcBorders>
              <w:bottom w:val="single" w:sz="8" w:color="CCEEFF"/>
            </w:tcBorders>
          </w:tcPr>
          <w:p>
            <w:pPr>
              <w:spacing w:after="0"/>
              <w:rPr>
                <w:sz w:val="8"/>
                <w:szCs w:val="8"/>
                <w:color w:val="auto"/>
              </w:rPr>
            </w:pPr>
          </w:p>
        </w:tc>
        <w:tc>
          <w:tcPr>
            <w:tcW w:w="34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99"/>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30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Cash</w:t>
            </w:r>
          </w:p>
        </w:tc>
        <w:tc>
          <w:tcPr>
            <w:tcW w:w="34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614,412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351,684</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Restricted cash, current portion</w:t>
            </w: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11,278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19,767</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 less current portion</w:t>
            </w:r>
          </w:p>
        </w:tc>
        <w:tc>
          <w:tcPr>
            <w:tcW w:w="34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c>
          <w:tcPr>
            <w:tcW w:w="2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340" w:type="dxa"/>
            <w:vAlign w:val="bottom"/>
          </w:tcPr>
          <w:p>
            <w:pPr>
              <w:spacing w:after="0"/>
              <w:rPr>
                <w:sz w:val="13"/>
                <w:szCs w:val="13"/>
                <w:color w:val="auto"/>
              </w:rPr>
            </w:pPr>
          </w:p>
        </w:tc>
      </w:tr>
      <w:tr>
        <w:trPr>
          <w:trHeight w:val="152"/>
        </w:trPr>
        <w:tc>
          <w:tcPr>
            <w:tcW w:w="3240" w:type="dxa"/>
            <w:vAlign w:val="bottom"/>
            <w:gridSpan w:val="2"/>
          </w:tcPr>
          <w:p>
            <w:pPr>
              <w:ind w:left="240"/>
              <w:spacing w:after="0" w:line="144" w:lineRule="exact"/>
              <w:rPr>
                <w:sz w:val="20"/>
                <w:szCs w:val="20"/>
                <w:color w:val="auto"/>
              </w:rPr>
            </w:pPr>
            <w:r>
              <w:rPr>
                <w:rFonts w:ascii="Arial" w:cs="Arial" w:eastAsia="Arial" w:hAnsi="Arial"/>
                <w:sz w:val="13"/>
                <w:szCs w:val="13"/>
                <w:color w:val="auto"/>
              </w:rPr>
              <w:t>Total cash and restricted cash</w:t>
            </w:r>
          </w:p>
        </w:tc>
        <w:tc>
          <w:tcPr>
            <w:tcW w:w="3400" w:type="dxa"/>
            <w:vAlign w:val="bottom"/>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640,418</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379,651</w:t>
            </w:r>
          </w:p>
        </w:tc>
        <w:tc>
          <w:tcPr>
            <w:tcW w:w="340" w:type="dxa"/>
            <w:vAlign w:val="bottom"/>
          </w:tcPr>
          <w:p>
            <w:pPr>
              <w:spacing w:after="0"/>
              <w:rPr>
                <w:sz w:val="13"/>
                <w:szCs w:val="13"/>
                <w:color w:val="auto"/>
              </w:rPr>
            </w:pPr>
          </w:p>
        </w:tc>
      </w:tr>
      <w:tr>
        <w:trPr>
          <w:trHeight w:val="615"/>
        </w:trPr>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00" w:type="dxa"/>
            <w:vAlign w:val="bottom"/>
            <w:gridSpan w:val="2"/>
          </w:tcPr>
          <w:p>
            <w:pPr>
              <w:jc w:val="right"/>
              <w:ind w:right="2212"/>
              <w:spacing w:after="0"/>
              <w:rPr>
                <w:sz w:val="20"/>
                <w:szCs w:val="20"/>
                <w:color w:val="auto"/>
              </w:rPr>
            </w:pPr>
            <w:r>
              <w:rPr>
                <w:rFonts w:ascii="Arial" w:cs="Arial" w:eastAsia="Arial" w:hAnsi="Arial"/>
                <w:sz w:val="13"/>
                <w:szCs w:val="13"/>
                <w:color w:val="auto"/>
              </w:rPr>
              <w:t>F-9</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59" w:right="1440"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color w:val="auto"/>
        </w:rPr>
        <w:t>Accounts Receivable</w:t>
      </w:r>
    </w:p>
    <w:p>
      <w:pPr>
        <w:spacing w:after="0" w:line="162" w:lineRule="exact"/>
        <w:rPr>
          <w:sz w:val="20"/>
          <w:szCs w:val="20"/>
          <w:color w:val="auto"/>
        </w:rPr>
      </w:pPr>
    </w:p>
    <w:p>
      <w:pPr>
        <w:ind w:left="20" w:right="199" w:firstLine="229"/>
        <w:spacing w:after="0" w:line="305" w:lineRule="auto"/>
        <w:rPr>
          <w:sz w:val="20"/>
          <w:szCs w:val="20"/>
          <w:color w:val="auto"/>
        </w:rPr>
      </w:pPr>
      <w:r>
        <w:rPr>
          <w:rFonts w:ascii="Arial" w:cs="Arial" w:eastAsia="Arial" w:hAnsi="Arial"/>
          <w:sz w:val="11"/>
          <w:szCs w:val="11"/>
          <w:color w:val="auto"/>
        </w:rPr>
        <w:t>Accounts receivable consist of current trade receivables from a single customer. The Company records accounts receivable at their net realizable value.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2020 and 2019, the Company did not record an allowance for doubtful accounts.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Short-Term Investments</w:t>
      </w:r>
    </w:p>
    <w:p>
      <w:pPr>
        <w:spacing w:after="0" w:line="162" w:lineRule="exact"/>
        <w:rPr>
          <w:sz w:val="20"/>
          <w:szCs w:val="20"/>
          <w:color w:val="auto"/>
        </w:rPr>
      </w:pPr>
    </w:p>
    <w:p>
      <w:pPr>
        <w:ind w:left="20" w:right="79" w:firstLine="231"/>
        <w:spacing w:after="0" w:line="309" w:lineRule="auto"/>
        <w:rPr>
          <w:sz w:val="20"/>
          <w:szCs w:val="20"/>
          <w:color w:val="auto"/>
        </w:rPr>
      </w:pPr>
      <w:r>
        <w:rPr>
          <w:rFonts w:ascii="Arial" w:cs="Arial" w:eastAsia="Arial" w:hAnsi="Arial"/>
          <w:sz w:val="12"/>
          <w:szCs w:val="12"/>
          <w:color w:val="auto"/>
        </w:rPr>
        <w:t>Investments with original or remaining maturities of more than three months at the time of purchase are generally classified as short-term investments and consist of time deposits. The Company’s short-term investments consist of certificates of deposit totaling $0.5 million as of December 31, 2020 and 2019.</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Concentration of Credit Risk</w:t>
      </w:r>
    </w:p>
    <w:p>
      <w:pPr>
        <w:spacing w:after="0" w:line="162"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consists of current trade receivables from a single customer as of December 31, 2020 and 2019, and all of the Company’s revenue is from the same customer for the years ended December 31, 2020 and 2019.</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Property, Plant, and Equipment</w:t>
      </w:r>
    </w:p>
    <w:p>
      <w:pPr>
        <w:spacing w:after="0" w:line="162" w:lineRule="exact"/>
        <w:rPr>
          <w:sz w:val="20"/>
          <w:szCs w:val="20"/>
          <w:color w:val="auto"/>
        </w:rPr>
      </w:pPr>
    </w:p>
    <w:p>
      <w:pPr>
        <w:ind w:left="20" w:right="59" w:firstLine="231"/>
        <w:spacing w:after="0" w:line="309" w:lineRule="auto"/>
        <w:rPr>
          <w:sz w:val="20"/>
          <w:szCs w:val="20"/>
          <w:color w:val="auto"/>
        </w:rPr>
      </w:pPr>
      <w:r>
        <w:rPr>
          <w:rFonts w:ascii="Arial" w:cs="Arial" w:eastAsia="Arial" w:hAnsi="Arial"/>
          <w:sz w:val="12"/>
          <w:szCs w:val="12"/>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500" w:type="dxa"/>
            <w:vAlign w:val="bottom"/>
            <w:gridSpan w:val="2"/>
          </w:tcPr>
          <w:p>
            <w:pPr>
              <w:spacing w:after="0"/>
              <w:rPr>
                <w:sz w:val="20"/>
                <w:szCs w:val="20"/>
                <w:color w:val="auto"/>
              </w:rPr>
            </w:pPr>
            <w:r>
              <w:rPr>
                <w:rFonts w:ascii="Arial" w:cs="Arial" w:eastAsia="Arial" w:hAnsi="Arial"/>
                <w:sz w:val="10"/>
                <w:szCs w:val="10"/>
                <w:b w:val="1"/>
                <w:bCs w:val="1"/>
                <w:color w:val="auto"/>
              </w:rPr>
              <w:t>Asset Category</w:t>
            </w:r>
          </w:p>
        </w:tc>
        <w:tc>
          <w:tcPr>
            <w:tcW w:w="4880" w:type="dxa"/>
            <w:vAlign w:val="bottom"/>
          </w:tcPr>
          <w:p>
            <w:pPr>
              <w:jc w:val="center"/>
              <w:spacing w:after="0"/>
              <w:rPr>
                <w:sz w:val="20"/>
                <w:szCs w:val="20"/>
                <w:color w:val="auto"/>
              </w:rPr>
            </w:pPr>
            <w:r>
              <w:rPr>
                <w:rFonts w:ascii="Arial" w:cs="Arial" w:eastAsia="Arial" w:hAnsi="Arial"/>
                <w:sz w:val="10"/>
                <w:szCs w:val="10"/>
                <w:b w:val="1"/>
                <w:bCs w:val="1"/>
                <w:color w:val="auto"/>
                <w:w w:val="93"/>
              </w:rPr>
              <w:t>Life (years)</w:t>
            </w:r>
          </w:p>
        </w:tc>
      </w:tr>
      <w:tr>
        <w:trPr>
          <w:trHeight w:val="143"/>
        </w:trPr>
        <w:tc>
          <w:tcPr>
            <w:tcW w:w="33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Machinery</w:t>
            </w:r>
          </w:p>
        </w:tc>
        <w:tc>
          <w:tcPr>
            <w:tcW w:w="14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jc w:val="center"/>
              <w:spacing w:after="0" w:line="144" w:lineRule="exact"/>
              <w:rPr>
                <w:sz w:val="20"/>
                <w:szCs w:val="20"/>
                <w:color w:val="auto"/>
              </w:rPr>
            </w:pPr>
            <w:r>
              <w:rPr>
                <w:rFonts w:ascii="Arial" w:cs="Arial" w:eastAsia="Arial" w:hAnsi="Arial"/>
                <w:sz w:val="13"/>
                <w:szCs w:val="13"/>
                <w:color w:val="auto"/>
                <w:w w:val="82"/>
              </w:rPr>
              <w:t>5</w:t>
            </w:r>
          </w:p>
        </w:tc>
      </w:tr>
      <w:tr>
        <w:trPr>
          <w:trHeight w:val="154"/>
        </w:trPr>
        <w:tc>
          <w:tcPr>
            <w:tcW w:w="3500" w:type="dxa"/>
            <w:vAlign w:val="bottom"/>
            <w:gridSpan w:val="2"/>
          </w:tcPr>
          <w:p>
            <w:pPr>
              <w:spacing w:after="0"/>
              <w:rPr>
                <w:sz w:val="20"/>
                <w:szCs w:val="20"/>
                <w:color w:val="auto"/>
              </w:rPr>
            </w:pPr>
            <w:r>
              <w:rPr>
                <w:rFonts w:ascii="Arial" w:cs="Arial" w:eastAsia="Arial" w:hAnsi="Arial"/>
                <w:sz w:val="13"/>
                <w:szCs w:val="13"/>
                <w:color w:val="auto"/>
              </w:rPr>
              <w:t>Computer equipment and software</w:t>
            </w:r>
          </w:p>
        </w:tc>
        <w:tc>
          <w:tcPr>
            <w:tcW w:w="4880" w:type="dxa"/>
            <w:vAlign w:val="bottom"/>
          </w:tcPr>
          <w:p>
            <w:pPr>
              <w:jc w:val="center"/>
              <w:spacing w:after="0"/>
              <w:rPr>
                <w:sz w:val="20"/>
                <w:szCs w:val="20"/>
                <w:color w:val="auto"/>
              </w:rPr>
            </w:pPr>
            <w:r>
              <w:rPr>
                <w:rFonts w:ascii="Arial" w:cs="Arial" w:eastAsia="Arial" w:hAnsi="Arial"/>
                <w:sz w:val="13"/>
                <w:szCs w:val="13"/>
                <w:color w:val="auto"/>
                <w:w w:val="82"/>
              </w:rPr>
              <w:t>3</w:t>
            </w:r>
          </w:p>
        </w:tc>
      </w:tr>
      <w:tr>
        <w:trPr>
          <w:trHeight w:val="154"/>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4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r>
      <w:tr>
        <w:trPr>
          <w:trHeight w:val="154"/>
        </w:trPr>
        <w:tc>
          <w:tcPr>
            <w:tcW w:w="3500" w:type="dxa"/>
            <w:vAlign w:val="bottom"/>
            <w:gridSpan w:val="2"/>
          </w:tcPr>
          <w:p>
            <w:pPr>
              <w:spacing w:after="0"/>
              <w:rPr>
                <w:sz w:val="20"/>
                <w:szCs w:val="20"/>
                <w:color w:val="auto"/>
              </w:rPr>
            </w:pPr>
            <w:r>
              <w:rPr>
                <w:rFonts w:ascii="Arial" w:cs="Arial" w:eastAsia="Arial" w:hAnsi="Arial"/>
                <w:sz w:val="13"/>
                <w:szCs w:val="13"/>
                <w:color w:val="auto"/>
              </w:rPr>
              <w:t>Capital leases</w:t>
            </w:r>
          </w:p>
        </w:tc>
        <w:tc>
          <w:tcPr>
            <w:tcW w:w="4880" w:type="dxa"/>
            <w:vAlign w:val="bottom"/>
          </w:tcPr>
          <w:p>
            <w:pPr>
              <w:jc w:val="center"/>
              <w:spacing w:after="0"/>
              <w:rPr>
                <w:sz w:val="20"/>
                <w:szCs w:val="20"/>
                <w:color w:val="auto"/>
              </w:rPr>
            </w:pPr>
            <w:r>
              <w:rPr>
                <w:rFonts w:ascii="Arial" w:cs="Arial" w:eastAsia="Arial" w:hAnsi="Arial"/>
                <w:sz w:val="13"/>
                <w:szCs w:val="13"/>
                <w:color w:val="auto"/>
                <w:w w:val="82"/>
              </w:rPr>
              <w:t>3</w:t>
            </w:r>
          </w:p>
        </w:tc>
      </w:tr>
      <w:tr>
        <w:trPr>
          <w:trHeight w:val="154"/>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4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Shorter of the lease term and the estimated useful lives of the assets</w:t>
            </w:r>
          </w:p>
        </w:tc>
      </w:tr>
    </w:tbl>
    <w:p>
      <w:pPr>
        <w:spacing w:after="0" w:line="145" w:lineRule="exact"/>
        <w:rPr>
          <w:sz w:val="20"/>
          <w:szCs w:val="20"/>
          <w:color w:val="auto"/>
        </w:rPr>
      </w:pPr>
    </w:p>
    <w:p>
      <w:pPr>
        <w:ind w:left="20" w:right="59" w:firstLine="231"/>
        <w:spacing w:after="0" w:line="253" w:lineRule="auto"/>
        <w:rPr>
          <w:sz w:val="20"/>
          <w:szCs w:val="20"/>
          <w:color w:val="auto"/>
        </w:rPr>
      </w:pPr>
      <w:r>
        <w:rPr>
          <w:rFonts w:ascii="Arial" w:cs="Arial" w:eastAsia="Arial" w:hAnsi="Arial"/>
          <w:sz w:val="13"/>
          <w:szCs w:val="13"/>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Company recorded a disposition loss on fixed assets of $0.1 million for the year ended December 31, 2020 and an immaterial loss for the year ended December 31, 2019.</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Inventory</w:t>
      </w:r>
    </w:p>
    <w:p>
      <w:pPr>
        <w:spacing w:after="0" w:line="162" w:lineRule="exact"/>
        <w:rPr>
          <w:sz w:val="20"/>
          <w:szCs w:val="20"/>
          <w:color w:val="auto"/>
        </w:rPr>
      </w:pPr>
    </w:p>
    <w:p>
      <w:pPr>
        <w:jc w:val="both"/>
        <w:ind w:left="20" w:right="159" w:firstLine="231"/>
        <w:spacing w:after="0" w:line="288" w:lineRule="auto"/>
        <w:rPr>
          <w:sz w:val="20"/>
          <w:szCs w:val="20"/>
          <w:color w:val="auto"/>
        </w:rPr>
      </w:pPr>
      <w:r>
        <w:rPr>
          <w:rFonts w:ascii="Arial" w:cs="Arial" w:eastAsia="Arial" w:hAnsi="Arial"/>
          <w:sz w:val="12"/>
          <w:szCs w:val="12"/>
          <w:color w:val="auto"/>
        </w:rPr>
        <w:t>Inventory, consisting of raw materials, work in progress and finished goods is stated at the lower of cost or net realizable value. Costs are computed under the standard cost method, which approximates actual costs determined on a first-in, first-out basis. Net realizable value is determined as estimated selling prices in the ordinary course of business, less reasonably predictable costs of disposal and transportation. The cost basis of the Company’s inventory is reduced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35" w:name="page36"/>
    <w:bookmarkEnd w:id="35"/>
    <w:p>
      <w:pPr>
        <w:ind w:left="20"/>
        <w:spacing w:after="0"/>
        <w:rPr>
          <w:sz w:val="20"/>
          <w:szCs w:val="20"/>
          <w:color w:val="auto"/>
        </w:rPr>
      </w:pPr>
      <w:r>
        <w:rPr>
          <w:rFonts w:ascii="Arial" w:cs="Arial" w:eastAsia="Arial" w:hAnsi="Arial"/>
          <w:sz w:val="13"/>
          <w:szCs w:val="13"/>
          <w:color w:val="auto"/>
        </w:rPr>
        <w:t>for any products that are considered to be held in excess of demand or obsolete based upon assumptions about future demand and market conditions.</w:t>
      </w:r>
    </w:p>
    <w:p>
      <w:pPr>
        <w:spacing w:after="0" w:line="158" w:lineRule="exact"/>
        <w:rPr>
          <w:sz w:val="20"/>
          <w:szCs w:val="20"/>
          <w:color w:val="auto"/>
        </w:rPr>
      </w:pPr>
    </w:p>
    <w:p>
      <w:pPr>
        <w:ind w:left="20" w:right="179" w:firstLine="231"/>
        <w:spacing w:after="0" w:line="309" w:lineRule="auto"/>
        <w:rPr>
          <w:sz w:val="20"/>
          <w:szCs w:val="20"/>
          <w:color w:val="auto"/>
        </w:rPr>
      </w:pPr>
      <w:r>
        <w:rPr>
          <w:rFonts w:ascii="Arial" w:cs="Arial" w:eastAsia="Arial" w:hAnsi="Arial"/>
          <w:sz w:val="12"/>
          <w:szCs w:val="12"/>
          <w:color w:val="auto"/>
        </w:rPr>
        <w:t>The Company also reviews the status of the inventory periodically to determine whether a lower of cost or net realizable value analysis needs to be performed based on market pricing. The Company’s inventory is associated with battery pack system projects with its customer and consists of the following (in thousands):</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4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r>
      <w:tr>
        <w:trPr>
          <w:trHeight w:val="95"/>
        </w:trPr>
        <w:tc>
          <w:tcPr>
            <w:tcW w:w="64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0"/>
              <w:spacing w:after="0" w:line="95"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99"/>
              <w:spacing w:after="0" w:line="95" w:lineRule="exact"/>
              <w:rPr>
                <w:sz w:val="20"/>
                <w:szCs w:val="20"/>
                <w:color w:val="auto"/>
              </w:rPr>
            </w:pPr>
            <w:r>
              <w:rPr>
                <w:rFonts w:ascii="Arial" w:cs="Arial" w:eastAsia="Arial" w:hAnsi="Arial"/>
                <w:sz w:val="10"/>
                <w:szCs w:val="10"/>
                <w:b w:val="1"/>
                <w:bCs w:val="1"/>
                <w:color w:val="auto"/>
              </w:rPr>
              <w:t>2019</w:t>
            </w:r>
          </w:p>
        </w:tc>
      </w:tr>
      <w:tr>
        <w:trPr>
          <w:trHeight w:val="143"/>
        </w:trPr>
        <w:tc>
          <w:tcPr>
            <w:tcW w:w="64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Raw materials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661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2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205</w:t>
            </w:r>
          </w:p>
        </w:tc>
      </w:tr>
      <w:tr>
        <w:trPr>
          <w:trHeight w:val="154"/>
        </w:trPr>
        <w:tc>
          <w:tcPr>
            <w:tcW w:w="6480" w:type="dxa"/>
            <w:vAlign w:val="bottom"/>
          </w:tcPr>
          <w:p>
            <w:pPr>
              <w:spacing w:after="0"/>
              <w:rPr>
                <w:sz w:val="20"/>
                <w:szCs w:val="20"/>
                <w:color w:val="auto"/>
              </w:rPr>
            </w:pPr>
            <w:r>
              <w:rPr>
                <w:rFonts w:ascii="Arial" w:cs="Arial" w:eastAsia="Arial" w:hAnsi="Arial"/>
                <w:sz w:val="13"/>
                <w:szCs w:val="13"/>
                <w:color w:val="auto"/>
              </w:rPr>
              <w:t>Work in progress</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4"/>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r>
      <w:tr>
        <w:trPr>
          <w:trHeight w:val="152"/>
        </w:trPr>
        <w:tc>
          <w:tcPr>
            <w:tcW w:w="6480" w:type="dxa"/>
            <w:vAlign w:val="bottom"/>
          </w:tcPr>
          <w:p>
            <w:pPr>
              <w:spacing w:after="0" w:line="144" w:lineRule="exact"/>
              <w:rPr>
                <w:sz w:val="20"/>
                <w:szCs w:val="20"/>
                <w:color w:val="auto"/>
              </w:rPr>
            </w:pPr>
            <w:r>
              <w:rPr>
                <w:rFonts w:ascii="Arial" w:cs="Arial" w:eastAsia="Arial" w:hAnsi="Arial"/>
                <w:sz w:val="13"/>
                <w:szCs w:val="13"/>
                <w:color w:val="auto"/>
              </w:rPr>
              <w:t>Total inventory</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1,043</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213"/>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684</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did not adjust the cost basis of its inventory as of December 31, 2020 and 2019.</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Impairment of Long-Lived Assets</w:t>
      </w:r>
    </w:p>
    <w:p>
      <w:pPr>
        <w:spacing w:after="0" w:line="162"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2020 and 2019.</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Foreign Currency</w:t>
      </w:r>
    </w:p>
    <w:p>
      <w:pPr>
        <w:spacing w:after="0" w:line="162" w:lineRule="exact"/>
        <w:rPr>
          <w:sz w:val="20"/>
          <w:szCs w:val="20"/>
          <w:color w:val="auto"/>
        </w:rPr>
      </w:pPr>
    </w:p>
    <w:p>
      <w:pPr>
        <w:ind w:left="20" w:right="79" w:firstLine="231"/>
        <w:spacing w:after="0" w:line="275" w:lineRule="auto"/>
        <w:rPr>
          <w:sz w:val="20"/>
          <w:szCs w:val="20"/>
          <w:color w:val="auto"/>
        </w:rPr>
      </w:pPr>
      <w:r>
        <w:rPr>
          <w:rFonts w:ascii="Arial" w:cs="Arial" w:eastAsia="Arial" w:hAnsi="Arial"/>
          <w:sz w:val="12"/>
          <w:szCs w:val="12"/>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income (expense) — net in the Company’s consolidated statements of operations, and the Company recorded a foreign currency loss of $2.5 million for the year ended December 31, 2020 mainly due to the currency fluctuations of Euro, Japanese yen, and South Korean won, and an immaterial loss for the year ended December 31, 2019.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 from Contracts with Customers</w:t>
      </w:r>
    </w:p>
    <w:p>
      <w:pPr>
        <w:spacing w:after="0" w:line="162" w:lineRule="exact"/>
        <w:rPr>
          <w:sz w:val="20"/>
          <w:szCs w:val="20"/>
          <w:color w:val="auto"/>
        </w:rPr>
      </w:pPr>
    </w:p>
    <w:p>
      <w:pPr>
        <w:jc w:val="both"/>
        <w:ind w:left="20" w:right="99" w:firstLine="231"/>
        <w:spacing w:after="0" w:line="267" w:lineRule="auto"/>
        <w:rPr>
          <w:sz w:val="20"/>
          <w:szCs w:val="20"/>
          <w:color w:val="auto"/>
        </w:rPr>
      </w:pPr>
      <w:r>
        <w:rPr>
          <w:rFonts w:ascii="Arial" w:cs="Arial" w:eastAsia="Arial" w:hAnsi="Arial"/>
          <w:sz w:val="13"/>
          <w:szCs w:val="13"/>
          <w:color w:val="auto"/>
        </w:rPr>
        <w:t>On January 1, 2019 the Company adopted ASU No. 2014-09, Revenue from Contracts with Customers (“Topic 606”) using the modified retrospective method which did not result in an adjustment upon adoption.</w:t>
      </w:r>
    </w:p>
    <w:p>
      <w:pPr>
        <w:spacing w:after="0" w:line="129" w:lineRule="exact"/>
        <w:rPr>
          <w:sz w:val="20"/>
          <w:szCs w:val="20"/>
          <w:color w:val="auto"/>
        </w:rPr>
      </w:pPr>
    </w:p>
    <w:p>
      <w:pPr>
        <w:ind w:left="20" w:right="179" w:firstLine="231"/>
        <w:spacing w:after="0" w:line="257" w:lineRule="auto"/>
        <w:rPr>
          <w:sz w:val="20"/>
          <w:szCs w:val="20"/>
          <w:color w:val="auto"/>
        </w:rPr>
      </w:pPr>
      <w:r>
        <w:rPr>
          <w:rFonts w:ascii="Arial" w:cs="Arial" w:eastAsia="Arial" w:hAnsi="Arial"/>
          <w:sz w:val="13"/>
          <w:szCs w:val="13"/>
          <w:color w:val="auto"/>
        </w:rPr>
        <w:t>The Company follows a five-step process in which the Company identifies the contract, identifies the related performance obligations, determines the transaction price, allocates the contract transaction price to the identified performance obligations, and recognizes revenue when (or as) the performance obligations are transferred to the customer.</w:t>
      </w:r>
    </w:p>
    <w:p>
      <w:pPr>
        <w:spacing w:after="0" w:line="135" w:lineRule="exact"/>
        <w:rPr>
          <w:sz w:val="20"/>
          <w:szCs w:val="20"/>
          <w:color w:val="auto"/>
        </w:rPr>
      </w:pPr>
    </w:p>
    <w:p>
      <w:pPr>
        <w:ind w:left="20" w:right="99" w:firstLine="231"/>
        <w:spacing w:after="0" w:line="253" w:lineRule="auto"/>
        <w:rPr>
          <w:sz w:val="20"/>
          <w:szCs w:val="20"/>
          <w:color w:val="auto"/>
        </w:rPr>
      </w:pPr>
      <w:r>
        <w:rPr>
          <w:rFonts w:ascii="Arial" w:cs="Arial" w:eastAsia="Arial" w:hAnsi="Arial"/>
          <w:sz w:val="13"/>
          <w:szCs w:val="13"/>
          <w:color w:val="auto"/>
        </w:rPr>
        <w:t>The Company’s revenue consists of the sales of battery pack systems, supplies and related services for vehicles. The Company identifies the sale of battery pack systems and the related supplies as a performance obligation to be recognized at the point in time when control is transferred to the customer. Control transfers to the customer when the product is delivered to the customer as the customer can then direct the use and obtain substantially all of the remaining benefits from the asset at that point in time. Shipping and handling provided by Company is considered a fulfillment activity.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6" w:name="page37"/>
    <w:bookmarkEnd w:id="36"/>
    <w:p>
      <w:pPr>
        <w:ind w:left="20" w:right="119" w:firstLine="231"/>
        <w:spacing w:after="0" w:line="281" w:lineRule="auto"/>
        <w:rPr>
          <w:sz w:val="20"/>
          <w:szCs w:val="20"/>
          <w:color w:val="auto"/>
        </w:rPr>
      </w:pPr>
      <w:r>
        <w:rPr>
          <w:rFonts w:ascii="Arial" w:cs="Arial" w:eastAsia="Arial" w:hAnsi="Arial"/>
          <w:sz w:val="12"/>
          <w:szCs w:val="12"/>
          <w:color w:val="auto"/>
        </w:rPr>
        <w:t>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contracts do not contain significant financing components.</w:t>
      </w:r>
    </w:p>
    <w:p>
      <w:pPr>
        <w:spacing w:after="0" w:line="123" w:lineRule="exact"/>
        <w:rPr>
          <w:sz w:val="20"/>
          <w:szCs w:val="20"/>
          <w:color w:val="auto"/>
        </w:rPr>
      </w:pPr>
    </w:p>
    <w:p>
      <w:pPr>
        <w:ind w:left="20" w:right="139" w:firstLine="231"/>
        <w:spacing w:after="0" w:line="257" w:lineRule="auto"/>
        <w:rPr>
          <w:sz w:val="20"/>
          <w:szCs w:val="20"/>
          <w:color w:val="auto"/>
        </w:rPr>
      </w:pPr>
      <w:r>
        <w:rPr>
          <w:rFonts w:ascii="Arial" w:cs="Arial" w:eastAsia="Arial" w:hAnsi="Arial"/>
          <w:sz w:val="13"/>
          <w:szCs w:val="13"/>
          <w:color w:val="auto"/>
        </w:rPr>
        <w:t>Customer contracts generally do not include more than one performance obligation. If a contract were to contain more than one performance obligation, the Company shall allocate the contract’s transaction price to each performance obligation based on its relative standalone selling price. The standalone selling price for each distinct good is generally determined by directly observable data.</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does not have any remaining performance obligations or contract assets and liabilities as of December 31, 2020 and 2019.</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Cost of Revenue</w:t>
      </w:r>
    </w:p>
    <w:p>
      <w:pPr>
        <w:spacing w:after="0" w:line="162" w:lineRule="exact"/>
        <w:rPr>
          <w:sz w:val="20"/>
          <w:szCs w:val="20"/>
          <w:color w:val="auto"/>
        </w:rPr>
      </w:pPr>
    </w:p>
    <w:p>
      <w:pPr>
        <w:ind w:left="20" w:right="219" w:firstLine="231"/>
        <w:spacing w:after="0" w:line="288" w:lineRule="auto"/>
        <w:rPr>
          <w:sz w:val="20"/>
          <w:szCs w:val="20"/>
          <w:color w:val="auto"/>
        </w:rPr>
      </w:pPr>
      <w:r>
        <w:rPr>
          <w:rFonts w:ascii="Arial" w:cs="Arial" w:eastAsia="Arial" w:hAnsi="Arial"/>
          <w:sz w:val="12"/>
          <w:szCs w:val="12"/>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Warranties</w:t>
      </w:r>
    </w:p>
    <w:p>
      <w:pPr>
        <w:spacing w:after="0" w:line="162" w:lineRule="exact"/>
        <w:rPr>
          <w:sz w:val="20"/>
          <w:szCs w:val="20"/>
          <w:color w:val="auto"/>
        </w:rPr>
      </w:pPr>
    </w:p>
    <w:p>
      <w:pPr>
        <w:ind w:left="20" w:right="99" w:firstLine="231"/>
        <w:spacing w:after="0" w:line="275" w:lineRule="auto"/>
        <w:rPr>
          <w:sz w:val="20"/>
          <w:szCs w:val="20"/>
          <w:color w:val="auto"/>
        </w:rPr>
      </w:pPr>
      <w:r>
        <w:rPr>
          <w:rFonts w:ascii="Arial" w:cs="Arial" w:eastAsia="Arial" w:hAnsi="Arial"/>
          <w:sz w:val="12"/>
          <w:szCs w:val="12"/>
          <w:color w:val="auto"/>
        </w:rPr>
        <w:t>The Company provides a manufacturer’s warranty on all battery packs it sells and accrues a warranty reserve for such battery packs, as applicable. These estimates are based on actual claims incurred to date and an estimate of the nature, frequency and costs of future claims. Current estimates of the warranty reserve are immaterial, but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Company recorded warranty expense of zero and $0.1 million as a component of cost of revenue in the consolidated statements of operations for the years ended December 31, 2020 and 2019, respectively.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Income Taxes</w:t>
      </w:r>
    </w:p>
    <w:p>
      <w:pPr>
        <w:spacing w:after="0" w:line="162" w:lineRule="exact"/>
        <w:rPr>
          <w:sz w:val="20"/>
          <w:szCs w:val="20"/>
          <w:color w:val="auto"/>
        </w:rPr>
      </w:pPr>
    </w:p>
    <w:p>
      <w:pPr>
        <w:jc w:val="both"/>
        <w:ind w:left="20" w:right="59" w:firstLine="231"/>
        <w:spacing w:after="0" w:line="314" w:lineRule="auto"/>
        <w:rPr>
          <w:sz w:val="20"/>
          <w:szCs w:val="20"/>
          <w:color w:val="auto"/>
        </w:rPr>
      </w:pPr>
      <w:r>
        <w:rPr>
          <w:rFonts w:ascii="Arial" w:cs="Arial" w:eastAsia="Arial" w:hAnsi="Arial"/>
          <w:sz w:val="11"/>
          <w:szCs w:val="11"/>
          <w:color w:val="auto"/>
        </w:rPr>
        <w:t>The Company accounts for income taxes in accordance with FASB Accounting Standards Codification (ASC) 740, Accounting for Income Taxes, which requires an asset and liability approach. The Company utilizes the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07" w:lineRule="exact"/>
        <w:rPr>
          <w:sz w:val="20"/>
          <w:szCs w:val="20"/>
          <w:color w:val="auto"/>
        </w:rPr>
      </w:pPr>
    </w:p>
    <w:p>
      <w:pPr>
        <w:ind w:left="20" w:right="39" w:firstLine="231"/>
        <w:spacing w:after="0" w:line="253" w:lineRule="auto"/>
        <w:rPr>
          <w:sz w:val="20"/>
          <w:szCs w:val="20"/>
          <w:color w:val="auto"/>
        </w:rPr>
      </w:pPr>
      <w:r>
        <w:rPr>
          <w:rFonts w:ascii="Arial" w:cs="Arial" w:eastAsia="Arial" w:hAnsi="Arial"/>
          <w:sz w:val="13"/>
          <w:szCs w:val="13"/>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7" w:name="page38"/>
    <w:bookmarkEnd w:id="37"/>
    <w:p>
      <w:pPr>
        <w:ind w:left="20" w:right="259" w:firstLine="229"/>
        <w:spacing w:after="0" w:line="253" w:lineRule="auto"/>
        <w:rPr>
          <w:sz w:val="20"/>
          <w:szCs w:val="20"/>
          <w:color w:val="auto"/>
        </w:rPr>
      </w:pPr>
      <w:r>
        <w:rPr>
          <w:rFonts w:ascii="Arial" w:cs="Arial" w:eastAsia="Arial" w:hAnsi="Arial"/>
          <w:sz w:val="13"/>
          <w:szCs w:val="13"/>
          <w:color w:val="auto"/>
        </w:rPr>
        <w:t>The Company records uncertain tax positions in accordance with ASC 740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139" w:lineRule="exact"/>
        <w:rPr>
          <w:sz w:val="20"/>
          <w:szCs w:val="20"/>
          <w:color w:val="auto"/>
        </w:rPr>
      </w:pPr>
    </w:p>
    <w:p>
      <w:pPr>
        <w:ind w:left="20" w:right="319" w:firstLine="231"/>
        <w:spacing w:after="0" w:line="257" w:lineRule="auto"/>
        <w:rPr>
          <w:sz w:val="20"/>
          <w:szCs w:val="20"/>
          <w:color w:val="auto"/>
        </w:rPr>
      </w:pPr>
      <w:r>
        <w:rPr>
          <w:rFonts w:ascii="Arial" w:cs="Arial" w:eastAsia="Arial" w:hAnsi="Arial"/>
          <w:sz w:val="13"/>
          <w:szCs w:val="13"/>
          <w:color w:val="auto"/>
        </w:rPr>
        <w:t>The Company’s policy is to recognize interest related to unrecognized tax benefits in other income (expense) — net and to recognize penalties in general and administrative expenses in the consolidated statements of operations. Accrued interest and penalties are included within income tax liabilities in the consolidated balance sheets.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Share-Based Compensation</w:t>
      </w:r>
    </w:p>
    <w:p>
      <w:pPr>
        <w:spacing w:after="0" w:line="162" w:lineRule="exact"/>
        <w:rPr>
          <w:sz w:val="20"/>
          <w:szCs w:val="20"/>
          <w:color w:val="auto"/>
        </w:rPr>
      </w:pPr>
    </w:p>
    <w:p>
      <w:pPr>
        <w:ind w:left="20" w:right="119" w:firstLine="231"/>
        <w:spacing w:after="0" w:line="277" w:lineRule="auto"/>
        <w:rPr>
          <w:sz w:val="20"/>
          <w:szCs w:val="20"/>
          <w:color w:val="auto"/>
        </w:rPr>
      </w:pPr>
      <w:r>
        <w:rPr>
          <w:rFonts w:ascii="Arial" w:cs="Arial" w:eastAsia="Arial" w:hAnsi="Arial"/>
          <w:sz w:val="12"/>
          <w:szCs w:val="12"/>
          <w:color w:val="auto"/>
        </w:rPr>
        <w:t>Share-based compensation expense related to share-based awards granted to employees is measured and recognized in the Company’s consolidated financial statements based on fair value. Share-based compensation expense, net of estimated forfeitures, is recognized on a straight-line basis over the requisite service period for each employee share option expected to vest. The fair value of each share option granted to employees and nonemployees is estimated on the grant date using the Black-Scholes option-pricing model. For nonemployee share options, the fair value is remeasured as the share options vest, and the resulting change in fair value, if any, is recognized in the consolidated statements of operations during the period the related services are rendered.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Comprehensive Income (Loss)</w:t>
      </w:r>
    </w:p>
    <w:p>
      <w:pPr>
        <w:spacing w:after="0" w:line="162" w:lineRule="exact"/>
        <w:rPr>
          <w:sz w:val="20"/>
          <w:szCs w:val="20"/>
          <w:color w:val="auto"/>
        </w:rPr>
      </w:pPr>
    </w:p>
    <w:p>
      <w:pPr>
        <w:ind w:left="20" w:right="199" w:firstLine="231"/>
        <w:spacing w:after="0" w:line="253" w:lineRule="auto"/>
        <w:rPr>
          <w:sz w:val="20"/>
          <w:szCs w:val="20"/>
          <w:color w:val="auto"/>
        </w:rPr>
      </w:pPr>
      <w:r>
        <w:rPr>
          <w:rFonts w:ascii="Arial" w:cs="Arial" w:eastAsia="Arial" w:hAnsi="Arial"/>
          <w:sz w:val="13"/>
          <w:szCs w:val="13"/>
          <w:color w:val="auto"/>
        </w:rPr>
        <w:t>Comprehensive loss is composed of two components: net loss and other comprehensive income (loss). Other comprehensive income (loss) refers to revenue, expenses, gains, and losses that under GAAP are recorded as an element of shareholders’ equity (deficit) but are excluded from net loss. For the years ended December 31, 2020 and 2019, as there are no activities that impacted comprehensive income (loss), there are no differences between comprehensive loss and net loss reported in the Company’s consolidated statements of operations.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Research and Development</w:t>
      </w:r>
    </w:p>
    <w:p>
      <w:pPr>
        <w:spacing w:after="0" w:line="162" w:lineRule="exact"/>
        <w:rPr>
          <w:sz w:val="20"/>
          <w:szCs w:val="20"/>
          <w:color w:val="auto"/>
        </w:rPr>
      </w:pPr>
    </w:p>
    <w:p>
      <w:pPr>
        <w:ind w:left="20" w:right="279" w:firstLine="231"/>
        <w:spacing w:after="0" w:line="288" w:lineRule="auto"/>
        <w:rPr>
          <w:sz w:val="20"/>
          <w:szCs w:val="20"/>
          <w:color w:val="auto"/>
        </w:rPr>
      </w:pPr>
      <w:r>
        <w:rPr>
          <w:rFonts w:ascii="Arial" w:cs="Arial" w:eastAsia="Arial" w:hAnsi="Arial"/>
          <w:sz w:val="12"/>
          <w:szCs w:val="12"/>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Selling, General, and Administrative</w:t>
      </w:r>
    </w:p>
    <w:p>
      <w:pPr>
        <w:spacing w:after="0" w:line="162" w:lineRule="exact"/>
        <w:rPr>
          <w:sz w:val="20"/>
          <w:szCs w:val="20"/>
          <w:color w:val="auto"/>
        </w:rPr>
      </w:pPr>
    </w:p>
    <w:p>
      <w:pPr>
        <w:ind w:left="20" w:right="239" w:firstLine="231"/>
        <w:spacing w:after="0" w:line="267" w:lineRule="auto"/>
        <w:rPr>
          <w:sz w:val="20"/>
          <w:szCs w:val="20"/>
          <w:color w:val="auto"/>
        </w:rPr>
      </w:pPr>
      <w:r>
        <w:rPr>
          <w:rFonts w:ascii="Arial" w:cs="Arial" w:eastAsia="Arial" w:hAnsi="Arial"/>
          <w:sz w:val="13"/>
          <w:szCs w:val="13"/>
          <w:color w:val="auto"/>
        </w:rPr>
        <w:t>Selling, general and administrative expense consist of personnel and facilities costs related to marketing, sales, finance, human resources, information technology, and legal departments.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Advertising</w:t>
      </w:r>
    </w:p>
    <w:p>
      <w:pPr>
        <w:spacing w:after="0" w:line="162" w:lineRule="exact"/>
        <w:rPr>
          <w:sz w:val="20"/>
          <w:szCs w:val="20"/>
          <w:color w:val="auto"/>
        </w:rPr>
      </w:pPr>
    </w:p>
    <w:p>
      <w:pPr>
        <w:ind w:left="20" w:right="459" w:firstLine="231"/>
        <w:spacing w:after="0" w:line="267" w:lineRule="auto"/>
        <w:rPr>
          <w:sz w:val="20"/>
          <w:szCs w:val="20"/>
          <w:color w:val="auto"/>
        </w:rPr>
      </w:pPr>
      <w:r>
        <w:rPr>
          <w:rFonts w:ascii="Arial" w:cs="Arial" w:eastAsia="Arial" w:hAnsi="Arial"/>
          <w:sz w:val="13"/>
          <w:szCs w:val="13"/>
          <w:color w:val="auto"/>
        </w:rPr>
        <w:t>Advertising is expensed as incurred and is included in sales and marketing expenses in the consolidated statements of operations. These costs were immaterial for the years ended December 31, 2020 and 2019, respectively.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Leases</w:t>
      </w:r>
    </w:p>
    <w:p>
      <w:pPr>
        <w:spacing w:after="0" w:line="162" w:lineRule="exact"/>
        <w:rPr>
          <w:sz w:val="20"/>
          <w:szCs w:val="20"/>
          <w:color w:val="auto"/>
        </w:rPr>
      </w:pPr>
    </w:p>
    <w:p>
      <w:pPr>
        <w:ind w:left="20" w:right="339" w:firstLine="231"/>
        <w:spacing w:after="0" w:line="288" w:lineRule="auto"/>
        <w:rPr>
          <w:sz w:val="20"/>
          <w:szCs w:val="20"/>
          <w:color w:val="auto"/>
        </w:rPr>
      </w:pPr>
      <w:r>
        <w:rPr>
          <w:rFonts w:ascii="Arial" w:cs="Arial" w:eastAsia="Arial" w:hAnsi="Arial"/>
          <w:sz w:val="12"/>
          <w:szCs w:val="12"/>
          <w:color w:val="auto"/>
        </w:rPr>
        <w:t>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18"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Operating leases are not recognized on the consolidated balance sheets. For capital leases, the Company recognizes capital lease assets and corresponding lease liabilities within the consolidated balance sheets at lease commencement at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8" w:name="page39"/>
    <w:bookmarkEnd w:id="38"/>
    <w:p>
      <w:pPr>
        <w:jc w:val="both"/>
        <w:ind w:left="20" w:right="39"/>
        <w:spacing w:after="0" w:line="288" w:lineRule="auto"/>
        <w:rPr>
          <w:sz w:val="20"/>
          <w:szCs w:val="20"/>
          <w:color w:val="auto"/>
        </w:rPr>
      </w:pPr>
      <w:r>
        <w:rPr>
          <w:rFonts w:ascii="Arial" w:cs="Arial" w:eastAsia="Arial" w:hAnsi="Arial"/>
          <w:sz w:val="12"/>
          <w:szCs w:val="12"/>
          <w:color w:val="auto"/>
        </w:rPr>
        <w:t>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pacing w:after="0" w:line="118" w:lineRule="exact"/>
        <w:rPr>
          <w:sz w:val="20"/>
          <w:szCs w:val="20"/>
          <w:color w:val="auto"/>
        </w:rPr>
      </w:pPr>
    </w:p>
    <w:p>
      <w:pPr>
        <w:ind w:left="20" w:right="79" w:firstLine="231"/>
        <w:spacing w:after="0" w:line="251" w:lineRule="auto"/>
        <w:rPr>
          <w:sz w:val="20"/>
          <w:szCs w:val="20"/>
          <w:color w:val="auto"/>
        </w:rPr>
      </w:pPr>
      <w:r>
        <w:rPr>
          <w:rFonts w:ascii="Arial" w:cs="Arial" w:eastAsia="Arial" w:hAnsi="Arial"/>
          <w:sz w:val="13"/>
          <w:szCs w:val="13"/>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sheets as of December 31, 2020 and 2019.</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If the term of the lease does not exceed 12 months, the Company elects to record the rental expense in the period it is incurred, and no deferred rent will be recorded.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Commitments and Contingencies</w:t>
      </w:r>
    </w:p>
    <w:p>
      <w:pPr>
        <w:spacing w:after="0" w:line="162" w:lineRule="exact"/>
        <w:rPr>
          <w:sz w:val="20"/>
          <w:szCs w:val="20"/>
          <w:color w:val="auto"/>
        </w:rPr>
      </w:pPr>
    </w:p>
    <w:p>
      <w:pPr>
        <w:ind w:left="20" w:right="139" w:firstLine="231"/>
        <w:spacing w:after="0" w:line="288" w:lineRule="auto"/>
        <w:rPr>
          <w:sz w:val="20"/>
          <w:szCs w:val="20"/>
          <w:color w:val="auto"/>
        </w:rPr>
      </w:pPr>
      <w:r>
        <w:rPr>
          <w:rFonts w:ascii="Arial" w:cs="Arial" w:eastAsia="Arial" w:hAnsi="Arial"/>
          <w:sz w:val="12"/>
          <w:szCs w:val="12"/>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Loss Per Share</w:t>
      </w:r>
    </w:p>
    <w:p>
      <w:pPr>
        <w:spacing w:after="0" w:line="162" w:lineRule="exact"/>
        <w:rPr>
          <w:sz w:val="20"/>
          <w:szCs w:val="20"/>
          <w:color w:val="auto"/>
        </w:rPr>
      </w:pPr>
    </w:p>
    <w:p>
      <w:pPr>
        <w:ind w:left="20" w:right="59" w:firstLine="231"/>
        <w:spacing w:after="0" w:line="281" w:lineRule="auto"/>
        <w:rPr>
          <w:sz w:val="20"/>
          <w:szCs w:val="20"/>
          <w:color w:val="auto"/>
        </w:rPr>
      </w:pPr>
      <w:r>
        <w:rPr>
          <w:rFonts w:ascii="Arial" w:cs="Arial" w:eastAsia="Arial" w:hAnsi="Arial"/>
          <w:sz w:val="12"/>
          <w:szCs w:val="12"/>
          <w:color w:val="auto"/>
        </w:rPr>
        <w:t>Basic and diluted net loss per share attributable to common shareholders is computed in conformity with the two-class method required for participating securities. The Company considers all series of its convertible preferred shares to be participating securities as the holders of such shares have the right to receive nonforfeitable dividends on a pari passu basis in the event that a dividend is paid on common shares. Under the two-class method, the net loss attributable to common shareholders is not allocated to the convertible preferred shares as the preferred shareholders do not have a contractual obligation to share in the Company’s losses.</w:t>
      </w:r>
    </w:p>
    <w:p>
      <w:pPr>
        <w:spacing w:after="0" w:line="123" w:lineRule="exact"/>
        <w:rPr>
          <w:sz w:val="20"/>
          <w:szCs w:val="20"/>
          <w:color w:val="auto"/>
        </w:rPr>
      </w:pPr>
    </w:p>
    <w:p>
      <w:pPr>
        <w:ind w:left="20" w:right="159" w:firstLine="231"/>
        <w:spacing w:after="0" w:line="314" w:lineRule="auto"/>
        <w:rPr>
          <w:sz w:val="20"/>
          <w:szCs w:val="20"/>
          <w:color w:val="auto"/>
        </w:rPr>
      </w:pPr>
      <w:r>
        <w:rPr>
          <w:rFonts w:ascii="Arial" w:cs="Arial" w:eastAsia="Arial" w:hAnsi="Arial"/>
          <w:sz w:val="11"/>
          <w:szCs w:val="11"/>
          <w:color w:val="auto"/>
        </w:rPr>
        <w:t>Basic net loss per share is computed by dividing net loss attributable to common shareholders by the weighted-average number of shares of common shares outstanding during the period. Diluted net loss per share is computed by giving effect to all potentially dilutive common share equivalents to the extent they are dilutive. For purposes of this calculation, convertible preferred shares, share options, convertible and convertible preferred share warrants are considered to be common share equivalents but have been excluded from the calculation of diluted net loss per share attributable to common shareholders as their effect is anti-dilutive for all periods presented.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162" w:lineRule="exact"/>
        <w:rPr>
          <w:sz w:val="20"/>
          <w:szCs w:val="20"/>
          <w:color w:val="auto"/>
        </w:rPr>
      </w:pPr>
    </w:p>
    <w:p>
      <w:pPr>
        <w:ind w:left="20" w:right="79" w:firstLine="231"/>
        <w:spacing w:after="0" w:line="250" w:lineRule="auto"/>
        <w:rPr>
          <w:sz w:val="20"/>
          <w:szCs w:val="20"/>
          <w:color w:val="auto"/>
        </w:rPr>
      </w:pPr>
      <w:r>
        <w:rPr>
          <w:rFonts w:ascii="Arial" w:cs="Arial" w:eastAsia="Arial" w:hAnsi="Arial"/>
          <w:sz w:val="13"/>
          <w:szCs w:val="13"/>
          <w:color w:val="auto"/>
        </w:rPr>
        <w:t>In June 2016, the Financial Accounting Standards Board (“FASB”) issued Accounting Standards Update (“ASU”) 2016-13, Financial Instruments — Credit Losses (Topic 326): Measurement of Credit Losses on Financial Instruments, to update the methodology used to measure current expected credit losses (“CECL”). This ASU applies to financial assets measured at amortized cost, including loans, net investments in leases, and trade accounts receivable as well as certain off-balance sheet credit exposures, such as loan commitments and guarantees. The Company adopted this ASU starting on January 1, 2020 using the modified retrospective transition method through a cumulative-effect adjustment to retained earnings in the period of adoption. The adoption of this ASU did not have impact to the consolidated financial statements and related disclosures.</w:t>
      </w:r>
    </w:p>
    <w:p>
      <w:pPr>
        <w:spacing w:after="0" w:line="142"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color w:val="auto"/>
        </w:rPr>
        <w:t>In June 2018, the FASB issued ASU No. 2018-07, Compensation Stock Compensation (Topic 718): Improvements to Non-employee Share-Based Payment Accounting, which expands the scope of Topic 718 to include share-based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9" w:name="page40"/>
    <w:bookmarkEnd w:id="39"/>
    <w:p>
      <w:pPr>
        <w:ind w:left="20" w:right="199"/>
        <w:spacing w:after="0" w:line="281" w:lineRule="auto"/>
        <w:rPr>
          <w:sz w:val="20"/>
          <w:szCs w:val="20"/>
          <w:color w:val="auto"/>
        </w:rPr>
      </w:pPr>
      <w:r>
        <w:rPr>
          <w:rFonts w:ascii="Arial" w:cs="Arial" w:eastAsia="Arial" w:hAnsi="Arial"/>
          <w:sz w:val="12"/>
          <w:szCs w:val="12"/>
          <w:color w:val="auto"/>
        </w:rPr>
        <w:t>payment transactions for acquiring goods and services from nonemployees, with certain exceptions. For nonpublic entities, the amendments are effective for fiscal years beginning after December 15, 2019, and interim periods within fiscal years beginning after December 15, 2020. Early adoption is permitted if financial statements have not yet been issued (for public business entities) or have not yet been made available for issuance (for all other entities). The Company adopted this ASU starting on January 1, 2020. The adoption of this ASU did not have a material impact to the consolidated financial statements and related disclosures.</w:t>
      </w:r>
    </w:p>
    <w:p>
      <w:pPr>
        <w:spacing w:after="0" w:line="123" w:lineRule="exact"/>
        <w:rPr>
          <w:sz w:val="20"/>
          <w:szCs w:val="20"/>
          <w:color w:val="auto"/>
        </w:rPr>
      </w:pPr>
    </w:p>
    <w:p>
      <w:pPr>
        <w:ind w:left="20" w:right="99" w:firstLine="231"/>
        <w:spacing w:after="0" w:line="308" w:lineRule="auto"/>
        <w:rPr>
          <w:sz w:val="20"/>
          <w:szCs w:val="20"/>
          <w:color w:val="auto"/>
        </w:rPr>
      </w:pPr>
      <w:r>
        <w:rPr>
          <w:rFonts w:ascii="Arial" w:cs="Arial" w:eastAsia="Arial" w:hAnsi="Arial"/>
          <w:sz w:val="11"/>
          <w:szCs w:val="11"/>
          <w:color w:val="auto"/>
        </w:rPr>
        <w:t>In August 2018, FASB issued ASU No. 2018-13, Fair Value Measurement (Topic 820): Disclosure Framework—Changes to the Disclosure Requirements for Fair Value Measurement. ASU No. 2018-13 modifies the disclosure requirements for fair value measurements. The new guidance is effective for fiscal years, and interim periods within those fiscal years, beginning after December 15, 2019, and early adoption is permitted. ASU No. 2018-13 requires that certain of the amendments be applied prospectively, while other amendments should be applied retrospectively to all periods presented. ASU No. 2018-13 is effective for the Company in its fiscal year 2021. The Company adopted this ASU starting on January 1, 2020. The adoption of this ASU did not have a material impact to the consolidated financial statements and related disclosures.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Recently Issued Accounting Pronouncements Not Yet Adopted</w:t>
      </w:r>
    </w:p>
    <w:p>
      <w:pPr>
        <w:spacing w:after="0" w:line="162" w:lineRule="exact"/>
        <w:rPr>
          <w:sz w:val="20"/>
          <w:szCs w:val="20"/>
          <w:color w:val="auto"/>
        </w:rPr>
      </w:pPr>
    </w:p>
    <w:p>
      <w:pPr>
        <w:ind w:left="20" w:right="59" w:firstLine="231"/>
        <w:spacing w:after="0" w:line="300" w:lineRule="auto"/>
        <w:rPr>
          <w:sz w:val="20"/>
          <w:szCs w:val="20"/>
          <w:color w:val="auto"/>
        </w:rPr>
      </w:pPr>
      <w:r>
        <w:rPr>
          <w:rFonts w:ascii="Arial" w:cs="Arial" w:eastAsia="Arial" w:hAnsi="Arial"/>
          <w:sz w:val="11"/>
          <w:szCs w:val="11"/>
          <w:color w:val="auto"/>
        </w:rPr>
        <w:t>In February 2016, the FASB issued ASU No. 2016-02, Leases (Topic 842). The guidance outlines a comprehensive model for entities to use in accounting for leases and supersedes most current lease accounting guidance, including industry-specific guidance. The core principle of the new lease accounting model is that lessees are required, among other things, to recognize lease assets and lease liabilities in the consolidated balance sheets for those leases classified as operating leases under previous authoritative guidance. The guidance also introduces new disclosure requirements for leasing arrangements. In July 2018, the FASB issued ASU No. 2018-10, Leases (Topic 842), Codification Improvements to Topic 842, Leases, and ASU No. 2018-11, Leases (Topic 842), Targeted Improvements. ASU No. 2018-11 provides a new transition method in which an entity can initially apply the new lease standards at the adoption date and recognize a cumulative effect adjustment to the opening balance of retained earnings in the period of adoption. These standards will be effective for the Company for fiscal years beginning after December 15, 2021, and interim periods within fiscal years beginning after December 15, 2022 and early adoption is permitted. The Company will apply the new transition method prescribed by ASU No. 2018-11 at the adoption date. The Company is currently evaluating the impact of this standard on its consolidated financial statements and related disclosures.</w:t>
      </w:r>
    </w:p>
    <w:p>
      <w:pPr>
        <w:spacing w:after="0" w:line="115" w:lineRule="exact"/>
        <w:rPr>
          <w:sz w:val="20"/>
          <w:szCs w:val="20"/>
          <w:color w:val="auto"/>
        </w:rPr>
      </w:pPr>
    </w:p>
    <w:p>
      <w:pPr>
        <w:ind w:left="20" w:right="99" w:firstLine="231"/>
        <w:spacing w:after="0" w:line="277" w:lineRule="auto"/>
        <w:rPr>
          <w:sz w:val="20"/>
          <w:szCs w:val="20"/>
          <w:color w:val="auto"/>
        </w:rPr>
      </w:pPr>
      <w:r>
        <w:rPr>
          <w:rFonts w:ascii="Arial" w:cs="Arial" w:eastAsia="Arial" w:hAnsi="Arial"/>
          <w:sz w:val="12"/>
          <w:szCs w:val="12"/>
          <w:color w:val="auto"/>
        </w:rPr>
        <w:t>In December 2019, the FASB issued ASU No. 2019-12, Income Taxes (Topic 740): Simplifying the Accounting for Income Taxes, which removes certain exceptions for recognizing deferred taxes for investments, performing intra period allocation, and calculating income taxes in interim periods. The ASU also adds guidance to reduce complexity in certain areas, including recognizing deferred taxes for tax goodwill and allocating taxes to members of a consolidated group. The guidance is effective for the Company beginning in the first quarter of fiscal year 2022, with early adoption permitted. The Company expects the new guidance will have an immaterial impact on its consolidated financial statements and intends to adopt the guidance when it becomes effective in the first quarter of fiscal year 2022.</w:t>
      </w:r>
    </w:p>
    <w:p>
      <w:pPr>
        <w:spacing w:after="0" w:line="126" w:lineRule="exact"/>
        <w:rPr>
          <w:sz w:val="20"/>
          <w:szCs w:val="20"/>
          <w:color w:val="auto"/>
        </w:rPr>
      </w:pPr>
    </w:p>
    <w:p>
      <w:pPr>
        <w:ind w:left="20" w:right="59" w:firstLine="231"/>
        <w:spacing w:after="0" w:line="250" w:lineRule="auto"/>
        <w:rPr>
          <w:sz w:val="20"/>
          <w:szCs w:val="20"/>
          <w:color w:val="auto"/>
        </w:rPr>
      </w:pPr>
      <w:r>
        <w:rPr>
          <w:rFonts w:ascii="Arial" w:cs="Arial" w:eastAsia="Arial" w:hAnsi="Arial"/>
          <w:sz w:val="13"/>
          <w:szCs w:val="13"/>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amends existing earnings-per-share, or EPS, guidance by requiring that an entity use the if-converted method when calculating diluted EPS for convertible instruments. ASU 2020-06 is effective for fiscal years beginning after December 15, 2021, including interim periods within those fiscal years, with early adoption permitted for fiscal years beginning after December 15, 2020, including interim periods within those fiscal years. We plan to early adopt ASU 2020-06 effective January 1, 2021 and are currently evaluating the effect ASU 2020-06 will have on our consolidated financial statements and related disclosures.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0" w:name="page41"/>
    <w:bookmarkEnd w:id="40"/>
    <w:p>
      <w:pPr>
        <w:ind w:left="20"/>
        <w:spacing w:after="0"/>
        <w:rPr>
          <w:sz w:val="20"/>
          <w:szCs w:val="20"/>
          <w:color w:val="auto"/>
        </w:rPr>
      </w:pPr>
      <w:r>
        <w:rPr>
          <w:rFonts w:ascii="Arial" w:cs="Arial" w:eastAsia="Arial" w:hAnsi="Arial"/>
          <w:sz w:val="13"/>
          <w:szCs w:val="13"/>
          <w:b w:val="1"/>
          <w:bCs w:val="1"/>
          <w:color w:val="auto"/>
        </w:rPr>
        <w:t>NOTE 3 — BALANCE SHEETS COMPONENTS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Prepaid Expenses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Prepaid expenses as of December 31, 2020 and 2019 were as follows (in thousands):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98"/>
              <w:spacing w:after="0" w:line="95" w:lineRule="exact"/>
              <w:rPr>
                <w:sz w:val="20"/>
                <w:szCs w:val="20"/>
                <w:color w:val="auto"/>
              </w:rPr>
            </w:pPr>
            <w:r>
              <w:rPr>
                <w:rFonts w:ascii="Arial" w:cs="Arial" w:eastAsia="Arial" w:hAnsi="Arial"/>
                <w:sz w:val="10"/>
                <w:szCs w:val="10"/>
                <w:b w:val="1"/>
                <w:bCs w:val="1"/>
                <w:color w:val="auto"/>
                <w:w w:val="98"/>
              </w:rPr>
              <w:t>2019</w:t>
            </w: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5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Engineering, design, and testing</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14,871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8,016</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Software subscriptions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1,875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Prepayments for Arizona manufacturing equipment</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Vehicle engineering</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4,855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340" w:type="dxa"/>
            <w:vAlign w:val="bottom"/>
          </w:tcPr>
          <w:p>
            <w:pPr>
              <w:spacing w:after="0"/>
              <w:rPr>
                <w:sz w:val="13"/>
                <w:szCs w:val="13"/>
                <w:color w:val="auto"/>
              </w:rPr>
            </w:pPr>
          </w:p>
        </w:tc>
      </w:tr>
      <w:tr>
        <w:trPr>
          <w:trHeight w:val="143"/>
        </w:trPr>
        <w:tc>
          <w:tcPr>
            <w:tcW w:w="5840" w:type="dxa"/>
            <w:vAlign w:val="bottom"/>
            <w:gridSpan w:val="2"/>
          </w:tcPr>
          <w:p>
            <w:pPr>
              <w:ind w:left="240"/>
              <w:spacing w:after="0" w:line="143" w:lineRule="exact"/>
              <w:rPr>
                <w:sz w:val="20"/>
                <w:szCs w:val="20"/>
                <w:color w:val="auto"/>
              </w:rPr>
            </w:pPr>
            <w:r>
              <w:rPr>
                <w:rFonts w:ascii="Arial" w:cs="Arial" w:eastAsia="Arial" w:hAnsi="Arial"/>
                <w:sz w:val="13"/>
                <w:szCs w:val="13"/>
                <w:color w:val="auto"/>
              </w:rPr>
              <w:t>Total prepaid expenses</w:t>
            </w:r>
          </w:p>
        </w:tc>
        <w:tc>
          <w:tcPr>
            <w:tcW w:w="8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21,840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29,610</w:t>
            </w:r>
          </w:p>
        </w:tc>
        <w:tc>
          <w:tcPr>
            <w:tcW w:w="340" w:type="dxa"/>
            <w:vAlign w:val="bottom"/>
          </w:tcPr>
          <w:p>
            <w:pPr>
              <w:spacing w:after="0"/>
              <w:rPr>
                <w:sz w:val="12"/>
                <w:szCs w:val="12"/>
                <w:color w:val="auto"/>
              </w:rPr>
            </w:pPr>
          </w:p>
        </w:tc>
      </w:tr>
      <w:tr>
        <w:trPr>
          <w:trHeight w:val="297"/>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Other Current Assets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8"/>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current assets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98"/>
              <w:spacing w:after="0" w:line="95" w:lineRule="exact"/>
              <w:rPr>
                <w:sz w:val="20"/>
                <w:szCs w:val="20"/>
                <w:color w:val="auto"/>
              </w:rPr>
            </w:pPr>
            <w:r>
              <w:rPr>
                <w:rFonts w:ascii="Arial" w:cs="Arial" w:eastAsia="Arial" w:hAnsi="Arial"/>
                <w:sz w:val="10"/>
                <w:szCs w:val="10"/>
                <w:b w:val="1"/>
                <w:bCs w:val="1"/>
                <w:color w:val="auto"/>
                <w:w w:val="98"/>
              </w:rPr>
              <w:t>2019</w:t>
            </w: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5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Tenant allowance receivable</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12,905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20,463</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current assets</w:t>
            </w:r>
          </w:p>
        </w:tc>
        <w:tc>
          <w:tcPr>
            <w:tcW w:w="8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340" w:type="dxa"/>
            <w:vAlign w:val="bottom"/>
          </w:tcPr>
          <w:p>
            <w:pPr>
              <w:spacing w:after="0"/>
              <w:rPr>
                <w:sz w:val="13"/>
                <w:szCs w:val="13"/>
                <w:color w:val="auto"/>
              </w:rPr>
            </w:pPr>
          </w:p>
        </w:tc>
      </w:tr>
      <w:tr>
        <w:trPr>
          <w:trHeight w:val="163"/>
        </w:trPr>
        <w:tc>
          <w:tcPr>
            <w:tcW w:w="24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other current assets</w:t>
            </w:r>
          </w:p>
        </w:tc>
        <w:tc>
          <w:tcPr>
            <w:tcW w:w="8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13,218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20,578</w:t>
            </w:r>
          </w:p>
        </w:tc>
        <w:tc>
          <w:tcPr>
            <w:tcW w:w="340" w:type="dxa"/>
            <w:vAlign w:val="bottom"/>
          </w:tcPr>
          <w:p>
            <w:pPr>
              <w:spacing w:after="0"/>
              <w:rPr>
                <w:sz w:val="14"/>
                <w:szCs w:val="14"/>
                <w:color w:val="auto"/>
              </w:rPr>
            </w:pPr>
          </w:p>
        </w:tc>
      </w:tr>
      <w:tr>
        <w:trPr>
          <w:trHeight w:val="296"/>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Other Accrued and Long-term Liabilities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08"/>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accrued liabilities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40"/>
              <w:spacing w:after="0" w:line="95"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38"/>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5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Construction of Arizona plant</w:t>
            </w:r>
          </w:p>
        </w:tc>
        <w:tc>
          <w:tcPr>
            <w:tcW w:w="98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43,115</w:t>
            </w:r>
          </w:p>
        </w:tc>
        <w:tc>
          <w:tcPr>
            <w:tcW w:w="18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27,906</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Engineering, design, and testing</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42,518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11,179</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Tooling</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15,243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Professional services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9,083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1,155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Series B convertible preferred shares repurchase liability</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liabilities</w:t>
            </w:r>
          </w:p>
        </w:tc>
        <w:tc>
          <w:tcPr>
            <w:tcW w:w="8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33,124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5,701</w:t>
            </w:r>
          </w:p>
        </w:tc>
        <w:tc>
          <w:tcPr>
            <w:tcW w:w="340" w:type="dxa"/>
            <w:vAlign w:val="bottom"/>
          </w:tcPr>
          <w:p>
            <w:pPr>
              <w:spacing w:after="0"/>
              <w:rPr>
                <w:sz w:val="13"/>
                <w:szCs w:val="13"/>
                <w:color w:val="auto"/>
              </w:rPr>
            </w:pPr>
          </w:p>
        </w:tc>
      </w:tr>
      <w:tr>
        <w:trPr>
          <w:trHeight w:val="163"/>
        </w:trPr>
        <w:tc>
          <w:tcPr>
            <w:tcW w:w="240" w:type="dxa"/>
            <w:vAlign w:val="bottom"/>
          </w:tcPr>
          <w:p>
            <w:pPr>
              <w:spacing w:after="0"/>
              <w:rPr>
                <w:sz w:val="14"/>
                <w:szCs w:val="14"/>
                <w:color w:val="auto"/>
              </w:rPr>
            </w:pPr>
          </w:p>
        </w:tc>
        <w:tc>
          <w:tcPr>
            <w:tcW w:w="56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other accrued liabilities</w:t>
            </w:r>
          </w:p>
        </w:tc>
        <w:tc>
          <w:tcPr>
            <w:tcW w:w="98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146,083</w:t>
            </w:r>
          </w:p>
        </w:tc>
        <w:tc>
          <w:tcPr>
            <w:tcW w:w="18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46,079</w:t>
            </w:r>
          </w:p>
        </w:tc>
        <w:tc>
          <w:tcPr>
            <w:tcW w:w="340" w:type="dxa"/>
            <w:vAlign w:val="bottom"/>
          </w:tcPr>
          <w:p>
            <w:pPr>
              <w:spacing w:after="0"/>
              <w:rPr>
                <w:sz w:val="14"/>
                <w:szCs w:val="14"/>
                <w:color w:val="auto"/>
              </w:rPr>
            </w:pPr>
          </w:p>
        </w:tc>
      </w:tr>
      <w:tr>
        <w:trPr>
          <w:trHeight w:val="296"/>
        </w:trPr>
        <w:tc>
          <w:tcPr>
            <w:tcW w:w="5840" w:type="dxa"/>
            <w:vAlign w:val="bottom"/>
            <w:gridSpan w:val="2"/>
          </w:tcPr>
          <w:p>
            <w:pPr>
              <w:ind w:left="240"/>
              <w:spacing w:after="0"/>
              <w:rPr>
                <w:sz w:val="20"/>
                <w:szCs w:val="20"/>
                <w:color w:val="auto"/>
              </w:rPr>
            </w:pPr>
            <w:r>
              <w:rPr>
                <w:rFonts w:ascii="Arial" w:cs="Arial" w:eastAsia="Arial" w:hAnsi="Arial"/>
                <w:sz w:val="13"/>
                <w:szCs w:val="13"/>
                <w:color w:val="auto"/>
              </w:rPr>
              <w:t>Other long-term liabilities as of December 31, 2020 and 2019 were as follows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r>
      <w:tr>
        <w:trPr>
          <w:trHeight w:val="95"/>
        </w:trPr>
        <w:tc>
          <w:tcPr>
            <w:tcW w:w="240" w:type="dxa"/>
            <w:vAlign w:val="bottom"/>
          </w:tcPr>
          <w:p>
            <w:pPr>
              <w:spacing w:after="0"/>
              <w:rPr>
                <w:sz w:val="8"/>
                <w:szCs w:val="8"/>
                <w:color w:val="auto"/>
              </w:rPr>
            </w:pPr>
          </w:p>
        </w:tc>
        <w:tc>
          <w:tcPr>
            <w:tcW w:w="5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40"/>
              <w:spacing w:after="0" w:line="95"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58"/>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56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rent</w:t>
            </w:r>
          </w:p>
        </w:tc>
        <w:tc>
          <w:tcPr>
            <w:tcW w:w="980" w:type="dxa"/>
            <w:vAlign w:val="bottom"/>
            <w:gridSpan w:val="2"/>
            <w:shd w:val="clear" w:color="auto" w:fill="CCEEFF"/>
          </w:tcPr>
          <w:p>
            <w:pPr>
              <w:spacing w:after="0"/>
              <w:rPr>
                <w:sz w:val="12"/>
                <w:szCs w:val="12"/>
                <w:color w:val="auto"/>
              </w:rPr>
            </w:pPr>
          </w:p>
        </w:tc>
        <w:tc>
          <w:tcPr>
            <w:tcW w:w="12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3"/>
                <w:szCs w:val="13"/>
                <w:color w:val="auto"/>
              </w:rPr>
              <w:t>28,881</w:t>
            </w:r>
          </w:p>
        </w:tc>
        <w:tc>
          <w:tcPr>
            <w:tcW w:w="180" w:type="dxa"/>
            <w:vAlign w:val="bottom"/>
            <w:gridSpan w:val="2"/>
            <w:shd w:val="clear" w:color="auto" w:fill="CCEEFF"/>
          </w:tcPr>
          <w:p>
            <w:pPr>
              <w:spacing w:after="0"/>
              <w:rPr>
                <w:sz w:val="12"/>
                <w:szCs w:val="12"/>
                <w:color w:val="auto"/>
              </w:rPr>
            </w:pPr>
          </w:p>
        </w:tc>
        <w:tc>
          <w:tcPr>
            <w:tcW w:w="220" w:type="dxa"/>
            <w:vAlign w:val="bottom"/>
            <w:gridSpan w:val="2"/>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26,175</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5600" w:type="dxa"/>
            <w:vAlign w:val="bottom"/>
          </w:tcPr>
          <w:p>
            <w:pPr>
              <w:spacing w:after="0"/>
              <w:rPr>
                <w:sz w:val="20"/>
                <w:szCs w:val="20"/>
                <w:color w:val="auto"/>
              </w:rPr>
            </w:pPr>
            <w:r>
              <w:rPr>
                <w:rFonts w:ascii="Arial" w:cs="Arial" w:eastAsia="Arial" w:hAnsi="Arial"/>
                <w:sz w:val="13"/>
                <w:szCs w:val="13"/>
                <w:color w:val="auto"/>
              </w:rPr>
              <w:t>Customer deposits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8,028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1,374</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w:t>
            </w: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340" w:type="dxa"/>
            <w:vAlign w:val="bottom"/>
          </w:tcPr>
          <w:p>
            <w:pPr>
              <w:spacing w:after="0"/>
              <w:rPr>
                <w:sz w:val="13"/>
                <w:szCs w:val="13"/>
                <w:color w:val="auto"/>
              </w:rPr>
            </w:pPr>
          </w:p>
        </w:tc>
      </w:tr>
      <w:tr>
        <w:trPr>
          <w:trHeight w:val="152"/>
        </w:trPr>
        <w:tc>
          <w:tcPr>
            <w:tcW w:w="5840" w:type="dxa"/>
            <w:vAlign w:val="bottom"/>
            <w:gridSpan w:val="2"/>
          </w:tcPr>
          <w:p>
            <w:pPr>
              <w:ind w:left="240"/>
              <w:spacing w:after="0" w:line="144" w:lineRule="exact"/>
              <w:rPr>
                <w:sz w:val="20"/>
                <w:szCs w:val="20"/>
                <w:color w:val="auto"/>
              </w:rPr>
            </w:pPr>
            <w:r>
              <w:rPr>
                <w:rFonts w:ascii="Arial" w:cs="Arial" w:eastAsia="Arial" w:hAnsi="Arial"/>
                <w:sz w:val="13"/>
                <w:szCs w:val="13"/>
                <w:color w:val="auto"/>
              </w:rPr>
              <w:t>Total other long-term liabilities</w:t>
            </w:r>
          </w:p>
        </w:tc>
        <w:tc>
          <w:tcPr>
            <w:tcW w:w="980" w:type="dxa"/>
            <w:vAlign w:val="bottom"/>
            <w:gridSpan w:val="2"/>
          </w:tcPr>
          <w:p>
            <w:pPr>
              <w:spacing w:after="0"/>
              <w:rPr>
                <w:sz w:val="13"/>
                <w:szCs w:val="13"/>
                <w:color w:val="auto"/>
              </w:rPr>
            </w:pPr>
          </w:p>
        </w:tc>
        <w:tc>
          <w:tcPr>
            <w:tcW w:w="12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color w:val="auto"/>
              </w:rPr>
              <w:t>38,905</w:t>
            </w:r>
          </w:p>
        </w:tc>
        <w:tc>
          <w:tcPr>
            <w:tcW w:w="180" w:type="dxa"/>
            <w:vAlign w:val="bottom"/>
            <w:gridSpan w:val="2"/>
          </w:tcPr>
          <w:p>
            <w:pPr>
              <w:spacing w:after="0"/>
              <w:rPr>
                <w:sz w:val="13"/>
                <w:szCs w:val="13"/>
                <w:color w:val="auto"/>
              </w:rPr>
            </w:pPr>
          </w:p>
        </w:tc>
        <w:tc>
          <w:tcPr>
            <w:tcW w:w="2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27,793</w:t>
            </w:r>
          </w:p>
        </w:tc>
        <w:tc>
          <w:tcPr>
            <w:tcW w:w="340" w:type="dxa"/>
            <w:vAlign w:val="bottom"/>
          </w:tcPr>
          <w:p>
            <w:pPr>
              <w:spacing w:after="0"/>
              <w:rPr>
                <w:sz w:val="13"/>
                <w:szCs w:val="13"/>
                <w:color w:val="auto"/>
              </w:rPr>
            </w:pPr>
          </w:p>
        </w:tc>
      </w:tr>
      <w:tr>
        <w:trPr>
          <w:trHeight w:val="615"/>
        </w:trPr>
        <w:tc>
          <w:tcPr>
            <w:tcW w:w="240" w:type="dxa"/>
            <w:vAlign w:val="bottom"/>
          </w:tcPr>
          <w:p>
            <w:pPr>
              <w:spacing w:after="0"/>
              <w:rPr>
                <w:sz w:val="24"/>
                <w:szCs w:val="24"/>
                <w:color w:val="auto"/>
              </w:rPr>
            </w:pPr>
          </w:p>
        </w:tc>
        <w:tc>
          <w:tcPr>
            <w:tcW w:w="5600" w:type="dxa"/>
            <w:vAlign w:val="bottom"/>
          </w:tcPr>
          <w:p>
            <w:pPr>
              <w:ind w:left="4120"/>
              <w:spacing w:after="0"/>
              <w:rPr>
                <w:sz w:val="20"/>
                <w:szCs w:val="20"/>
                <w:color w:val="auto"/>
              </w:rPr>
            </w:pPr>
            <w:r>
              <w:rPr>
                <w:rFonts w:ascii="Arial" w:cs="Arial" w:eastAsia="Arial" w:hAnsi="Arial"/>
                <w:sz w:val="13"/>
                <w:szCs w:val="13"/>
                <w:color w:val="auto"/>
              </w:rPr>
              <w:t>F-16</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59" w:right="1440" w:bottom="1440" w:gutter="0" w:footer="0" w:header="0"/>
        </w:sectPr>
      </w:pPr>
    </w:p>
    <w:bookmarkStart w:id="41" w:name="page42"/>
    <w:bookmarkEnd w:id="41"/>
    <w:p>
      <w:pPr>
        <w:ind w:left="20"/>
        <w:spacing w:after="0"/>
        <w:rPr>
          <w:sz w:val="20"/>
          <w:szCs w:val="20"/>
          <w:color w:val="auto"/>
        </w:rPr>
      </w:pPr>
      <w:r>
        <w:rPr>
          <w:rFonts w:ascii="Arial" w:cs="Arial" w:eastAsia="Arial" w:hAnsi="Arial"/>
          <w:sz w:val="13"/>
          <w:szCs w:val="13"/>
          <w:b w:val="1"/>
          <w:bCs w:val="1"/>
          <w:color w:val="auto"/>
        </w:rPr>
        <w:t>Property, Plant, and Equipment, net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Property, plant, and equipment as of December 31, 2020 and 2019 were as follows (in thousands):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r>
      <w:tr>
        <w:trPr>
          <w:trHeight w:val="95"/>
        </w:trPr>
        <w:tc>
          <w:tcPr>
            <w:tcW w:w="4280" w:type="dxa"/>
            <w:vAlign w:val="bottom"/>
            <w:tcBorders>
              <w:bottom w:val="single" w:sz="8" w:color="CCEEFF"/>
            </w:tcBorders>
          </w:tcPr>
          <w:p>
            <w:pPr>
              <w:spacing w:after="0"/>
              <w:rPr>
                <w:sz w:val="8"/>
                <w:szCs w:val="8"/>
                <w:color w:val="auto"/>
              </w:rPr>
            </w:pPr>
          </w:p>
        </w:tc>
        <w:tc>
          <w:tcPr>
            <w:tcW w:w="23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49"/>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69"/>
              <w:spacing w:after="0" w:line="95" w:lineRule="exact"/>
              <w:rPr>
                <w:sz w:val="20"/>
                <w:szCs w:val="20"/>
                <w:color w:val="auto"/>
              </w:rPr>
            </w:pPr>
            <w:r>
              <w:rPr>
                <w:rFonts w:ascii="Arial" w:cs="Arial" w:eastAsia="Arial" w:hAnsi="Arial"/>
                <w:sz w:val="10"/>
                <w:szCs w:val="10"/>
                <w:b w:val="1"/>
                <w:bCs w:val="1"/>
                <w:color w:val="auto"/>
              </w:rPr>
              <w:t>2019</w:t>
            </w:r>
          </w:p>
        </w:tc>
      </w:tr>
      <w:tr>
        <w:trPr>
          <w:trHeight w:val="95"/>
        </w:trPr>
        <w:tc>
          <w:tcPr>
            <w:tcW w:w="42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Land and land improvements</w:t>
            </w:r>
          </w:p>
        </w:tc>
        <w:tc>
          <w:tcPr>
            <w:tcW w:w="230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1,050</w:t>
            </w: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r>
      <w:tr>
        <w:trPr>
          <w:trHeight w:val="106"/>
        </w:trPr>
        <w:tc>
          <w:tcPr>
            <w:tcW w:w="4280" w:type="dxa"/>
            <w:vAlign w:val="bottom"/>
          </w:tcPr>
          <w:p>
            <w:pPr>
              <w:spacing w:after="0" w:line="106" w:lineRule="exact"/>
              <w:rPr>
                <w:sz w:val="20"/>
                <w:szCs w:val="20"/>
                <w:color w:val="auto"/>
              </w:rPr>
            </w:pPr>
            <w:r>
              <w:rPr>
                <w:rFonts w:ascii="Arial" w:cs="Arial" w:eastAsia="Arial" w:hAnsi="Arial"/>
                <w:sz w:val="10"/>
                <w:szCs w:val="10"/>
                <w:color w:val="auto"/>
              </w:rPr>
              <w:t>Machinery</w:t>
            </w: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28,830</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13,127</w:t>
            </w:r>
          </w:p>
        </w:tc>
      </w:tr>
      <w:tr>
        <w:trPr>
          <w:trHeight w:val="106"/>
        </w:trPr>
        <w:tc>
          <w:tcPr>
            <w:tcW w:w="42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Computer equipment and software</w:t>
            </w:r>
          </w:p>
        </w:tc>
        <w:tc>
          <w:tcPr>
            <w:tcW w:w="2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15,716</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11,921</w:t>
            </w:r>
          </w:p>
        </w:tc>
      </w:tr>
      <w:tr>
        <w:trPr>
          <w:trHeight w:val="106"/>
        </w:trPr>
        <w:tc>
          <w:tcPr>
            <w:tcW w:w="4280" w:type="dxa"/>
            <w:vAlign w:val="bottom"/>
          </w:tcPr>
          <w:p>
            <w:pPr>
              <w:spacing w:after="0" w:line="106" w:lineRule="exact"/>
              <w:rPr>
                <w:sz w:val="20"/>
                <w:szCs w:val="20"/>
                <w:color w:val="auto"/>
              </w:rPr>
            </w:pPr>
            <w:r>
              <w:rPr>
                <w:rFonts w:ascii="Arial" w:cs="Arial" w:eastAsia="Arial" w:hAnsi="Arial"/>
                <w:sz w:val="10"/>
                <w:szCs w:val="10"/>
                <w:color w:val="auto"/>
              </w:rPr>
              <w:t>Leasehold improvements</w:t>
            </w: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47,187</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10,441</w:t>
            </w:r>
          </w:p>
        </w:tc>
      </w:tr>
      <w:tr>
        <w:trPr>
          <w:trHeight w:val="106"/>
        </w:trPr>
        <w:tc>
          <w:tcPr>
            <w:tcW w:w="42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Furniture and fixtures</w:t>
            </w:r>
          </w:p>
        </w:tc>
        <w:tc>
          <w:tcPr>
            <w:tcW w:w="2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4,503</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1,520</w:t>
            </w:r>
          </w:p>
        </w:tc>
      </w:tr>
      <w:tr>
        <w:trPr>
          <w:trHeight w:val="106"/>
        </w:trPr>
        <w:tc>
          <w:tcPr>
            <w:tcW w:w="4280" w:type="dxa"/>
            <w:vAlign w:val="bottom"/>
          </w:tcPr>
          <w:p>
            <w:pPr>
              <w:spacing w:after="0" w:line="106" w:lineRule="exact"/>
              <w:rPr>
                <w:sz w:val="20"/>
                <w:szCs w:val="20"/>
                <w:color w:val="auto"/>
              </w:rPr>
            </w:pPr>
            <w:r>
              <w:rPr>
                <w:rFonts w:ascii="Arial" w:cs="Arial" w:eastAsia="Arial" w:hAnsi="Arial"/>
                <w:sz w:val="10"/>
                <w:szCs w:val="10"/>
                <w:color w:val="auto"/>
              </w:rPr>
              <w:t>Capital leases</w:t>
            </w:r>
          </w:p>
        </w:tc>
        <w:tc>
          <w:tcPr>
            <w:tcW w:w="2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spacing w:after="0" w:line="106" w:lineRule="exact"/>
              <w:rPr>
                <w:sz w:val="20"/>
                <w:szCs w:val="20"/>
                <w:color w:val="auto"/>
              </w:rPr>
            </w:pPr>
            <w:r>
              <w:rPr>
                <w:rFonts w:ascii="Arial" w:cs="Arial" w:eastAsia="Arial" w:hAnsi="Arial"/>
                <w:sz w:val="10"/>
                <w:szCs w:val="10"/>
                <w:color w:val="auto"/>
              </w:rPr>
              <w:t>3,908</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auto"/>
              </w:rPr>
              <w:t>619</w:t>
            </w:r>
          </w:p>
        </w:tc>
      </w:tr>
      <w:tr>
        <w:trPr>
          <w:trHeight w:val="106"/>
        </w:trPr>
        <w:tc>
          <w:tcPr>
            <w:tcW w:w="42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Construction in progress</w:t>
            </w:r>
          </w:p>
        </w:tc>
        <w:tc>
          <w:tcPr>
            <w:tcW w:w="23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636,851</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119,739</w:t>
            </w:r>
          </w:p>
        </w:tc>
      </w:tr>
      <w:tr>
        <w:trPr>
          <w:trHeight w:val="95"/>
        </w:trPr>
        <w:tc>
          <w:tcPr>
            <w:tcW w:w="4280" w:type="dxa"/>
            <w:vAlign w:val="bottom"/>
          </w:tcPr>
          <w:p>
            <w:pPr>
              <w:spacing w:after="0" w:line="95" w:lineRule="exact"/>
              <w:rPr>
                <w:sz w:val="20"/>
                <w:szCs w:val="20"/>
                <w:color w:val="auto"/>
              </w:rPr>
            </w:pPr>
            <w:r>
              <w:rPr>
                <w:rFonts w:ascii="Arial" w:cs="Arial" w:eastAsia="Arial" w:hAnsi="Arial"/>
                <w:sz w:val="10"/>
                <w:szCs w:val="10"/>
                <w:color w:val="auto"/>
              </w:rPr>
              <w:t>Total property, plant, and equipment</w:t>
            </w: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jc w:val="right"/>
              <w:spacing w:after="0" w:line="95" w:lineRule="exact"/>
              <w:rPr>
                <w:sz w:val="20"/>
                <w:szCs w:val="20"/>
                <w:color w:val="auto"/>
              </w:rPr>
            </w:pPr>
            <w:r>
              <w:rPr>
                <w:rFonts w:ascii="Arial" w:cs="Arial" w:eastAsia="Arial" w:hAnsi="Arial"/>
                <w:sz w:val="10"/>
                <w:szCs w:val="10"/>
                <w:color w:val="auto"/>
              </w:rPr>
              <w:t>738,039</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jc w:val="right"/>
              <w:spacing w:after="0" w:line="95" w:lineRule="exact"/>
              <w:rPr>
                <w:sz w:val="20"/>
                <w:szCs w:val="20"/>
                <w:color w:val="auto"/>
              </w:rPr>
            </w:pPr>
            <w:r>
              <w:rPr>
                <w:rFonts w:ascii="Arial" w:cs="Arial" w:eastAsia="Arial" w:hAnsi="Arial"/>
                <w:sz w:val="10"/>
                <w:szCs w:val="10"/>
                <w:color w:val="auto"/>
              </w:rPr>
              <w:t>157,367</w:t>
            </w:r>
          </w:p>
        </w:tc>
      </w:tr>
      <w:tr>
        <w:trPr>
          <w:trHeight w:val="106"/>
        </w:trPr>
        <w:tc>
          <w:tcPr>
            <w:tcW w:w="428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Less accumulated depreciation and amortization</w:t>
            </w:r>
          </w:p>
        </w:tc>
        <w:tc>
          <w:tcPr>
            <w:tcW w:w="23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(24,771)</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auto"/>
              </w:rPr>
              <w:t>(14,554)</w:t>
            </w:r>
          </w:p>
        </w:tc>
      </w:tr>
      <w:tr>
        <w:trPr>
          <w:trHeight w:val="104"/>
        </w:trPr>
        <w:tc>
          <w:tcPr>
            <w:tcW w:w="4280" w:type="dxa"/>
            <w:vAlign w:val="bottom"/>
          </w:tcPr>
          <w:p>
            <w:pPr>
              <w:spacing w:after="0" w:line="95" w:lineRule="exact"/>
              <w:rPr>
                <w:sz w:val="20"/>
                <w:szCs w:val="20"/>
                <w:color w:val="auto"/>
              </w:rPr>
            </w:pPr>
            <w:r>
              <w:rPr>
                <w:rFonts w:ascii="Arial" w:cs="Arial" w:eastAsia="Arial" w:hAnsi="Arial"/>
                <w:sz w:val="10"/>
                <w:szCs w:val="10"/>
                <w:color w:val="auto"/>
              </w:rPr>
              <w:t>Property, plant, and equipment – net</w:t>
            </w:r>
          </w:p>
        </w:tc>
        <w:tc>
          <w:tcPr>
            <w:tcW w:w="2300" w:type="dxa"/>
            <w:vAlign w:val="bottom"/>
          </w:tcPr>
          <w:p>
            <w:pPr>
              <w:spacing w:after="0"/>
              <w:rPr>
                <w:sz w:val="9"/>
                <w:szCs w:val="9"/>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713,274</w:t>
            </w: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142,813</w:t>
            </w:r>
          </w:p>
        </w:tc>
      </w:tr>
    </w:tbl>
    <w:p>
      <w:pPr>
        <w:spacing w:after="0" w:line="145" w:lineRule="exact"/>
        <w:rPr>
          <w:sz w:val="20"/>
          <w:szCs w:val="20"/>
          <w:color w:val="auto"/>
        </w:rPr>
      </w:pPr>
    </w:p>
    <w:p>
      <w:pPr>
        <w:jc w:val="both"/>
        <w:ind w:left="20" w:right="379" w:firstLine="231"/>
        <w:spacing w:after="0" w:line="253" w:lineRule="auto"/>
        <w:rPr>
          <w:sz w:val="20"/>
          <w:szCs w:val="20"/>
          <w:color w:val="auto"/>
        </w:rPr>
      </w:pPr>
      <w:r>
        <w:rPr>
          <w:rFonts w:ascii="Arial" w:cs="Arial" w:eastAsia="Arial" w:hAnsi="Arial"/>
          <w:sz w:val="13"/>
          <w:szCs w:val="13"/>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5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80" w:type="dxa"/>
            <w:vAlign w:val="bottom"/>
            <w:tcBorders>
              <w:bottom w:val="single" w:sz="8" w:color="auto"/>
            </w:tcBorders>
          </w:tcPr>
          <w:p>
            <w:pPr>
              <w:spacing w:after="0"/>
              <w:rPr>
                <w:sz w:val="10"/>
                <w:szCs w:val="10"/>
                <w:color w:val="auto"/>
              </w:rPr>
            </w:pPr>
          </w:p>
        </w:tc>
      </w:tr>
      <w:tr>
        <w:trPr>
          <w:trHeight w:val="95"/>
        </w:trPr>
        <w:tc>
          <w:tcPr>
            <w:tcW w:w="65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40"/>
              <w:spacing w:after="0" w:line="95"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58"/>
              <w:spacing w:after="0" w:line="95" w:lineRule="exact"/>
              <w:rPr>
                <w:sz w:val="20"/>
                <w:szCs w:val="20"/>
                <w:color w:val="auto"/>
              </w:rPr>
            </w:pPr>
            <w:r>
              <w:rPr>
                <w:rFonts w:ascii="Arial" w:cs="Arial" w:eastAsia="Arial" w:hAnsi="Arial"/>
                <w:sz w:val="10"/>
                <w:szCs w:val="10"/>
                <w:b w:val="1"/>
                <w:bCs w:val="1"/>
                <w:color w:val="auto"/>
              </w:rPr>
              <w:t>2019</w:t>
            </w:r>
          </w:p>
        </w:tc>
      </w:tr>
      <w:tr>
        <w:trPr>
          <w:trHeight w:val="143"/>
        </w:trPr>
        <w:tc>
          <w:tcPr>
            <w:tcW w:w="65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Tooling</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203,241</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27,025</w:t>
            </w:r>
          </w:p>
        </w:tc>
      </w:tr>
      <w:tr>
        <w:trPr>
          <w:trHeight w:val="154"/>
        </w:trPr>
        <w:tc>
          <w:tcPr>
            <w:tcW w:w="6580" w:type="dxa"/>
            <w:vAlign w:val="bottom"/>
          </w:tcPr>
          <w:p>
            <w:pPr>
              <w:spacing w:after="0"/>
              <w:rPr>
                <w:sz w:val="20"/>
                <w:szCs w:val="20"/>
                <w:color w:val="auto"/>
              </w:rPr>
            </w:pPr>
            <w:r>
              <w:rPr>
                <w:rFonts w:ascii="Arial" w:cs="Arial" w:eastAsia="Arial" w:hAnsi="Arial"/>
                <w:sz w:val="13"/>
                <w:szCs w:val="13"/>
                <w:color w:val="auto"/>
              </w:rPr>
              <w:t>Construction of Arizona plant</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171,532</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59,842</w:t>
            </w:r>
          </w:p>
        </w:tc>
      </w:tr>
      <w:tr>
        <w:trPr>
          <w:trHeight w:val="154"/>
        </w:trPr>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50,790</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22,667</w:t>
            </w:r>
          </w:p>
        </w:tc>
      </w:tr>
      <w:tr>
        <w:trPr>
          <w:trHeight w:val="154"/>
        </w:trPr>
        <w:tc>
          <w:tcPr>
            <w:tcW w:w="65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Machinery and equipment</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211,288</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10,205</w:t>
            </w:r>
          </w:p>
        </w:tc>
      </w:tr>
      <w:tr>
        <w:trPr>
          <w:trHeight w:val="152"/>
        </w:trPr>
        <w:tc>
          <w:tcPr>
            <w:tcW w:w="658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construction in progress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636,851</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119,739</w:t>
            </w:r>
          </w:p>
        </w:tc>
      </w:tr>
    </w:tbl>
    <w:p>
      <w:pPr>
        <w:spacing w:after="0" w:line="145" w:lineRule="exact"/>
        <w:rPr>
          <w:sz w:val="20"/>
          <w:szCs w:val="20"/>
          <w:color w:val="auto"/>
        </w:rPr>
      </w:pPr>
    </w:p>
    <w:p>
      <w:pPr>
        <w:ind w:left="20" w:right="359" w:firstLine="231"/>
        <w:spacing w:after="0" w:line="267" w:lineRule="auto"/>
        <w:rPr>
          <w:sz w:val="20"/>
          <w:szCs w:val="20"/>
          <w:color w:val="auto"/>
        </w:rPr>
      </w:pPr>
      <w:r>
        <w:rPr>
          <w:rFonts w:ascii="Arial" w:cs="Arial" w:eastAsia="Arial" w:hAnsi="Arial"/>
          <w:sz w:val="13"/>
          <w:szCs w:val="13"/>
          <w:color w:val="auto"/>
        </w:rPr>
        <w:t>Depreciation and amortization expense for the years ended December 31, 2020 and 2019, was approximately $10.2 million and $3.8 million, respectively, including capital lease depreciation expense of approximately $0.5 million and $0.2 million, respectively.</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4 — FAIR VALUE OF FINANCIAL INSTRUMENTS</w:t>
      </w:r>
    </w:p>
    <w:p>
      <w:pPr>
        <w:spacing w:after="0" w:line="162" w:lineRule="exact"/>
        <w:rPr>
          <w:sz w:val="20"/>
          <w:szCs w:val="20"/>
          <w:color w:val="auto"/>
        </w:rPr>
      </w:pPr>
    </w:p>
    <w:p>
      <w:pPr>
        <w:ind w:left="20" w:right="179" w:firstLine="231"/>
        <w:spacing w:after="0" w:line="274" w:lineRule="auto"/>
        <w:rPr>
          <w:sz w:val="20"/>
          <w:szCs w:val="20"/>
          <w:color w:val="auto"/>
        </w:rPr>
      </w:pPr>
      <w:r>
        <w:rPr>
          <w:rFonts w:ascii="Arial" w:cs="Arial" w:eastAsia="Arial" w:hAnsi="Arial"/>
          <w:sz w:val="12"/>
          <w:szCs w:val="12"/>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28" w:lineRule="exact"/>
        <w:rPr>
          <w:sz w:val="20"/>
          <w:szCs w:val="20"/>
          <w:color w:val="auto"/>
        </w:rPr>
      </w:pPr>
    </w:p>
    <w:p>
      <w:pPr>
        <w:ind w:left="500" w:hanging="224"/>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Level 1 — Quoted prices (unadjusted) in active markets that are accessible at the measurement date for identical assets or liabilities.</w:t>
      </w:r>
    </w:p>
    <w:p>
      <w:pPr>
        <w:spacing w:after="0" w:line="158" w:lineRule="exact"/>
        <w:rPr>
          <w:rFonts w:ascii="Arial" w:cs="Arial" w:eastAsia="Arial" w:hAnsi="Arial"/>
          <w:sz w:val="13"/>
          <w:szCs w:val="13"/>
          <w:color w:val="auto"/>
        </w:rPr>
      </w:pPr>
    </w:p>
    <w:p>
      <w:pPr>
        <w:ind w:left="500" w:right="79" w:hanging="224"/>
        <w:spacing w:after="0" w:line="359" w:lineRule="auto"/>
        <w:tabs>
          <w:tab w:leader="none" w:pos="500" w:val="left"/>
        </w:tabs>
        <w:numPr>
          <w:ilvl w:val="0"/>
          <w:numId w:val="4"/>
        </w:numPr>
        <w:rPr>
          <w:rFonts w:ascii="Arial" w:cs="Arial" w:eastAsia="Arial" w:hAnsi="Arial"/>
          <w:sz w:val="11"/>
          <w:szCs w:val="11"/>
          <w:color w:val="auto"/>
        </w:rPr>
      </w:pPr>
      <w:r>
        <w:rPr>
          <w:rFonts w:ascii="Arial" w:cs="Arial" w:eastAsia="Arial" w:hAnsi="Arial"/>
          <w:sz w:val="11"/>
          <w:szCs w:val="11"/>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2" w:name="page43"/>
    <w:bookmarkEnd w:id="42"/>
    <w:p>
      <w:pPr>
        <w:ind w:left="500" w:right="179" w:hanging="224"/>
        <w:spacing w:after="0" w:line="288" w:lineRule="auto"/>
        <w:tabs>
          <w:tab w:leader="none" w:pos="500" w:val="left"/>
        </w:tabs>
        <w:numPr>
          <w:ilvl w:val="0"/>
          <w:numId w:val="5"/>
        </w:numPr>
        <w:rPr>
          <w:rFonts w:ascii="Arial" w:cs="Arial" w:eastAsia="Arial" w:hAnsi="Arial"/>
          <w:sz w:val="12"/>
          <w:szCs w:val="12"/>
          <w:color w:val="auto"/>
        </w:rPr>
      </w:pPr>
      <w:r>
        <w:rPr>
          <w:rFonts w:ascii="Arial" w:cs="Arial" w:eastAsia="Arial" w:hAnsi="Arial"/>
          <w:sz w:val="12"/>
          <w:szCs w:val="12"/>
          <w:color w:val="auto"/>
        </w:rPr>
        <w:t>Level 3 — 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18" w:lineRule="exact"/>
        <w:rPr>
          <w:sz w:val="20"/>
          <w:szCs w:val="20"/>
          <w:color w:val="auto"/>
        </w:rPr>
      </w:pPr>
    </w:p>
    <w:p>
      <w:pPr>
        <w:ind w:left="20" w:right="79" w:firstLine="231"/>
        <w:spacing w:after="0" w:line="253" w:lineRule="auto"/>
        <w:rPr>
          <w:sz w:val="20"/>
          <w:szCs w:val="20"/>
          <w:color w:val="auto"/>
        </w:rPr>
      </w:pPr>
      <w:r>
        <w:rPr>
          <w:rFonts w:ascii="Arial" w:cs="Arial" w:eastAsia="Arial" w:hAnsi="Arial"/>
          <w:sz w:val="13"/>
          <w:szCs w:val="13"/>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and contingent forward contract liability, in which the fair value was measured upon issuance and is remeasured at each reporting date. The valuation methodology and underlying assumptions are discussed further in Note 6 “Contingent Forward Contracts” and Note 7 “Convertible Preferred Share Warrant Liability”.</w:t>
      </w:r>
    </w:p>
    <w:p>
      <w:pPr>
        <w:spacing w:after="0" w:line="139"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The following table sets forth the Company’s financial assets and liabilities subject to fair value measurements on a recurring basis by level within the fair value hierarchy as of December 31, 2020 (in thousands):</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820" w:type="dxa"/>
            <w:vAlign w:val="bottom"/>
            <w:tcBorders>
              <w:bottom w:val="single" w:sz="8" w:color="CCEEFF"/>
            </w:tcBorders>
          </w:tcPr>
          <w:p>
            <w:pPr>
              <w:spacing w:after="0"/>
              <w:rPr>
                <w:sz w:val="10"/>
                <w:szCs w:val="10"/>
                <w:color w:val="auto"/>
              </w:rPr>
            </w:pPr>
          </w:p>
        </w:tc>
        <w:tc>
          <w:tcPr>
            <w:tcW w:w="14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Level 1</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Level 3</w:t>
            </w: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Total</w:t>
            </w:r>
          </w:p>
        </w:tc>
      </w:tr>
      <w:tr>
        <w:trPr>
          <w:trHeight w:val="143"/>
        </w:trPr>
        <w:tc>
          <w:tcPr>
            <w:tcW w:w="38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Assets:</w:t>
            </w: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54"/>
        </w:trPr>
        <w:tc>
          <w:tcPr>
            <w:tcW w:w="3820" w:type="dxa"/>
            <w:vAlign w:val="bottom"/>
          </w:tcPr>
          <w:p>
            <w:pPr>
              <w:ind w:left="80"/>
              <w:spacing w:after="0"/>
              <w:rPr>
                <w:sz w:val="20"/>
                <w:szCs w:val="20"/>
                <w:color w:val="auto"/>
              </w:rPr>
            </w:pPr>
            <w:r>
              <w:rPr>
                <w:rFonts w:ascii="Arial" w:cs="Arial" w:eastAsia="Arial" w:hAnsi="Arial"/>
                <w:sz w:val="13"/>
                <w:szCs w:val="13"/>
                <w:color w:val="auto"/>
              </w:rPr>
              <w:t>Short-term investment –</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160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r>
      <w:tr>
        <w:trPr>
          <w:trHeight w:val="154"/>
        </w:trPr>
        <w:tc>
          <w:tcPr>
            <w:tcW w:w="3820" w:type="dxa"/>
            <w:vAlign w:val="bottom"/>
          </w:tcPr>
          <w:p>
            <w:pPr>
              <w:ind w:left="180"/>
              <w:spacing w:after="0"/>
              <w:rPr>
                <w:sz w:val="20"/>
                <w:szCs w:val="20"/>
                <w:color w:val="auto"/>
              </w:rPr>
            </w:pPr>
            <w:r>
              <w:rPr>
                <w:rFonts w:ascii="Arial" w:cs="Arial" w:eastAsia="Arial" w:hAnsi="Arial"/>
                <w:sz w:val="13"/>
                <w:szCs w:val="13"/>
                <w:color w:val="auto"/>
              </w:rPr>
              <w:t>Restricted cash – short term</w:t>
            </w: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11,278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11,278</w:t>
            </w:r>
          </w:p>
        </w:tc>
      </w:tr>
      <w:tr>
        <w:trPr>
          <w:trHeight w:val="154"/>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 long term</w:t>
            </w:r>
          </w:p>
        </w:tc>
        <w:tc>
          <w:tcPr>
            <w:tcW w:w="14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14,728</w:t>
            </w:r>
          </w:p>
        </w:tc>
      </w:tr>
      <w:tr>
        <w:trPr>
          <w:trHeight w:val="152"/>
        </w:trPr>
        <w:tc>
          <w:tcPr>
            <w:tcW w:w="3820" w:type="dxa"/>
            <w:vAlign w:val="bottom"/>
            <w:tcBorders>
              <w:bottom w:val="single" w:sz="8" w:color="CCEEFF"/>
            </w:tcBorders>
          </w:tcPr>
          <w:p>
            <w:pPr>
              <w:ind w:left="80"/>
              <w:spacing w:after="0" w:line="144" w:lineRule="exact"/>
              <w:rPr>
                <w:sz w:val="20"/>
                <w:szCs w:val="20"/>
                <w:color w:val="auto"/>
              </w:rPr>
            </w:pPr>
            <w:r>
              <w:rPr>
                <w:rFonts w:ascii="Arial" w:cs="Arial" w:eastAsia="Arial" w:hAnsi="Arial"/>
                <w:sz w:val="13"/>
                <w:szCs w:val="13"/>
                <w:color w:val="auto"/>
              </w:rPr>
              <w:t>Total assets</w:t>
            </w:r>
          </w:p>
        </w:tc>
        <w:tc>
          <w:tcPr>
            <w:tcW w:w="14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26,006</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505</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26,511</w:t>
            </w:r>
          </w:p>
        </w:tc>
      </w:tr>
      <w:tr>
        <w:trPr>
          <w:trHeight w:val="154"/>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54"/>
        </w:trPr>
        <w:tc>
          <w:tcPr>
            <w:tcW w:w="3820" w:type="dxa"/>
            <w:vAlign w:val="bottom"/>
          </w:tcPr>
          <w:p>
            <w:pPr>
              <w:ind w:left="80"/>
              <w:spacing w:after="0"/>
              <w:rPr>
                <w:sz w:val="20"/>
                <w:szCs w:val="20"/>
                <w:color w:val="auto"/>
              </w:rPr>
            </w:pPr>
            <w:r>
              <w:rPr>
                <w:rFonts w:ascii="Arial" w:cs="Arial" w:eastAsia="Arial" w:hAnsi="Arial"/>
                <w:sz w:val="13"/>
                <w:szCs w:val="13"/>
                <w:color w:val="auto"/>
              </w:rPr>
              <w:t>Convertible preferred share warrant liability</w:t>
            </w:r>
          </w:p>
        </w:tc>
        <w:tc>
          <w:tcPr>
            <w:tcW w:w="160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2,960</w:t>
            </w:r>
          </w:p>
        </w:tc>
        <w:tc>
          <w:tcPr>
            <w:tcW w:w="300" w:type="dxa"/>
            <w:vAlign w:val="bottom"/>
            <w:gridSpan w:val="2"/>
          </w:tcPr>
          <w:p>
            <w:pPr>
              <w:jc w:val="right"/>
              <w:ind w:right="32"/>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2,960</w:t>
            </w:r>
          </w:p>
        </w:tc>
      </w:tr>
      <w:tr>
        <w:trPr>
          <w:trHeight w:val="152"/>
        </w:trPr>
        <w:tc>
          <w:tcPr>
            <w:tcW w:w="3820" w:type="dxa"/>
            <w:vAlign w:val="bottom"/>
            <w:tcBorders>
              <w:top w:val="single" w:sz="8" w:color="CCEEFF"/>
              <w:bottom w:val="single" w:sz="8" w:color="CCEEFF"/>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Total liabilities</w:t>
            </w: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2,960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2,960</w:t>
            </w:r>
          </w:p>
        </w:tc>
      </w:tr>
    </w:tbl>
    <w:p>
      <w:pPr>
        <w:spacing w:after="0" w:line="145"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The following table sets forth the Company’s financial assets and liabilities subject to fair value measurements on a recurring basis by level within the fair value hierarchy as of December 31, 2019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18"/>
              <w:spacing w:after="0"/>
              <w:rPr>
                <w:sz w:val="20"/>
                <w:szCs w:val="20"/>
                <w:color w:val="auto"/>
              </w:rPr>
            </w:pPr>
            <w:r>
              <w:rPr>
                <w:rFonts w:ascii="Arial" w:cs="Arial" w:eastAsia="Arial" w:hAnsi="Arial"/>
                <w:sz w:val="10"/>
                <w:szCs w:val="10"/>
                <w:b w:val="1"/>
                <w:bCs w:val="1"/>
                <w:color w:val="auto"/>
              </w:rPr>
              <w:t>Level 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98"/>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18"/>
              <w:spacing w:after="0"/>
              <w:rPr>
                <w:sz w:val="20"/>
                <w:szCs w:val="20"/>
                <w:color w:val="auto"/>
              </w:rPr>
            </w:pPr>
            <w:r>
              <w:rPr>
                <w:rFonts w:ascii="Arial" w:cs="Arial" w:eastAsia="Arial" w:hAnsi="Arial"/>
                <w:sz w:val="10"/>
                <w:szCs w:val="10"/>
                <w:b w:val="1"/>
                <w:bCs w:val="1"/>
                <w:color w:val="auto"/>
              </w:rPr>
              <w:t>Level 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143"/>
        </w:trPr>
        <w:tc>
          <w:tcPr>
            <w:tcW w:w="240" w:type="dxa"/>
            <w:vAlign w:val="bottom"/>
          </w:tcPr>
          <w:p>
            <w:pPr>
              <w:spacing w:after="0"/>
              <w:rPr>
                <w:sz w:val="12"/>
                <w:szCs w:val="12"/>
                <w:color w:val="auto"/>
              </w:rPr>
            </w:pPr>
          </w:p>
        </w:tc>
        <w:tc>
          <w:tcPr>
            <w:tcW w:w="32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Assets:</w:t>
            </w:r>
          </w:p>
        </w:tc>
        <w:tc>
          <w:tcPr>
            <w:tcW w:w="20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Short-term investment −</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 of deposit</w:t>
            </w:r>
          </w:p>
        </w:tc>
        <w:tc>
          <w:tcPr>
            <w:tcW w:w="218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tcPr>
          <w:p>
            <w:pPr>
              <w:ind w:left="180"/>
              <w:spacing w:after="0"/>
              <w:rPr>
                <w:sz w:val="20"/>
                <w:szCs w:val="20"/>
                <w:color w:val="auto"/>
              </w:rPr>
            </w:pPr>
            <w:r>
              <w:rPr>
                <w:rFonts w:ascii="Arial" w:cs="Arial" w:eastAsia="Arial" w:hAnsi="Arial"/>
                <w:sz w:val="13"/>
                <w:szCs w:val="13"/>
                <w:color w:val="auto"/>
              </w:rPr>
              <w:t>Restricted cash – short term</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19,767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19,767</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 long term</w:t>
            </w:r>
          </w:p>
        </w:tc>
        <w:tc>
          <w:tcPr>
            <w:tcW w:w="20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8,200</w:t>
            </w:r>
          </w:p>
        </w:tc>
        <w:tc>
          <w:tcPr>
            <w:tcW w:w="34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3240" w:type="dxa"/>
            <w:vAlign w:val="bottom"/>
            <w:tcBorders>
              <w:bottom w:val="single" w:sz="8" w:color="CCEEFF"/>
            </w:tcBorders>
          </w:tcPr>
          <w:p>
            <w:pPr>
              <w:ind w:left="80"/>
              <w:spacing w:after="0" w:line="144" w:lineRule="exact"/>
              <w:rPr>
                <w:sz w:val="20"/>
                <w:szCs w:val="20"/>
                <w:color w:val="auto"/>
              </w:rPr>
            </w:pPr>
            <w:r>
              <w:rPr>
                <w:rFonts w:ascii="Arial" w:cs="Arial" w:eastAsia="Arial" w:hAnsi="Arial"/>
                <w:sz w:val="13"/>
                <w:szCs w:val="13"/>
                <w:color w:val="auto"/>
              </w:rPr>
              <w:t>Total assets</w:t>
            </w:r>
          </w:p>
        </w:tc>
        <w:tc>
          <w:tcPr>
            <w:tcW w:w="20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27,967</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505</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28,472</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Liabilities: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tcPr>
          <w:p>
            <w:pPr>
              <w:ind w:left="80"/>
              <w:spacing w:after="0"/>
              <w:rPr>
                <w:sz w:val="20"/>
                <w:szCs w:val="20"/>
                <w:color w:val="auto"/>
              </w:rPr>
            </w:pPr>
            <w:r>
              <w:rPr>
                <w:rFonts w:ascii="Arial" w:cs="Arial" w:eastAsia="Arial" w:hAnsi="Arial"/>
                <w:sz w:val="13"/>
                <w:szCs w:val="13"/>
                <w:color w:val="auto"/>
              </w:rPr>
              <w:t>Convertible preferred share warrant liability</w:t>
            </w:r>
          </w:p>
        </w:tc>
        <w:tc>
          <w:tcPr>
            <w:tcW w:w="218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1,755</w:t>
            </w:r>
          </w:p>
        </w:tc>
        <w:tc>
          <w:tcPr>
            <w:tcW w:w="3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1,755</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Contingent forward contracts liability</w:t>
            </w:r>
          </w:p>
        </w:tc>
        <w:tc>
          <w:tcPr>
            <w:tcW w:w="20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30,844</w:t>
            </w: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30,844</w:t>
            </w:r>
          </w:p>
        </w:tc>
        <w:tc>
          <w:tcPr>
            <w:tcW w:w="34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3240" w:type="dxa"/>
            <w:vAlign w:val="bottom"/>
          </w:tcPr>
          <w:p>
            <w:pPr>
              <w:ind w:left="80"/>
              <w:spacing w:after="0" w:line="144" w:lineRule="exact"/>
              <w:rPr>
                <w:sz w:val="20"/>
                <w:szCs w:val="20"/>
                <w:color w:val="auto"/>
              </w:rPr>
            </w:pPr>
            <w:r>
              <w:rPr>
                <w:rFonts w:ascii="Arial" w:cs="Arial" w:eastAsia="Arial" w:hAnsi="Arial"/>
                <w:sz w:val="13"/>
                <w:szCs w:val="13"/>
                <w:color w:val="auto"/>
              </w:rPr>
              <w:t>Total liabilities</w:t>
            </w:r>
          </w:p>
        </w:tc>
        <w:tc>
          <w:tcPr>
            <w:tcW w:w="206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32,599</w:t>
            </w: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line="144"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32,599</w:t>
            </w:r>
          </w:p>
        </w:tc>
        <w:tc>
          <w:tcPr>
            <w:tcW w:w="340" w:type="dxa"/>
            <w:vAlign w:val="bottom"/>
          </w:tcPr>
          <w:p>
            <w:pPr>
              <w:spacing w:after="0"/>
              <w:rPr>
                <w:sz w:val="13"/>
                <w:szCs w:val="13"/>
                <w:color w:val="auto"/>
              </w:rPr>
            </w:pPr>
          </w:p>
        </w:tc>
      </w:tr>
      <w:tr>
        <w:trPr>
          <w:trHeight w:val="615"/>
        </w:trPr>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80" w:type="dxa"/>
            <w:vAlign w:val="bottom"/>
            <w:gridSpan w:val="2"/>
          </w:tcPr>
          <w:p>
            <w:pPr>
              <w:jc w:val="right"/>
              <w:ind w:right="1012"/>
              <w:spacing w:after="0"/>
              <w:rPr>
                <w:sz w:val="20"/>
                <w:szCs w:val="20"/>
                <w:color w:val="auto"/>
              </w:rPr>
            </w:pPr>
            <w:r>
              <w:rPr>
                <w:rFonts w:ascii="Arial" w:cs="Arial" w:eastAsia="Arial" w:hAnsi="Arial"/>
                <w:sz w:val="13"/>
                <w:szCs w:val="13"/>
                <w:color w:val="auto"/>
              </w:rPr>
              <w:t>F-18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43" w:name="page44"/>
    <w:bookmarkEnd w:id="43"/>
    <w:p>
      <w:pPr>
        <w:ind w:left="260"/>
        <w:spacing w:after="0"/>
        <w:rPr>
          <w:sz w:val="20"/>
          <w:szCs w:val="20"/>
          <w:color w:val="auto"/>
        </w:rPr>
      </w:pPr>
      <w:r>
        <w:rPr>
          <w:rFonts w:ascii="Arial" w:cs="Arial" w:eastAsia="Arial" w:hAnsi="Arial"/>
          <w:sz w:val="13"/>
          <w:szCs w:val="13"/>
          <w:color w:val="auto"/>
        </w:rPr>
        <w:t>A reconciliation of the contingent forward contract liability measured and recorded at fair value on a recurring basis is as follows (in thousands):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2018</w:t>
            </w:r>
          </w:p>
        </w:tc>
        <w:tc>
          <w:tcPr>
            <w:tcW w:w="2420" w:type="dxa"/>
            <w:vAlign w:val="bottom"/>
            <w:gridSpan w:val="2"/>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15,791</w:t>
            </w:r>
          </w:p>
        </w:tc>
      </w:tr>
      <w:tr>
        <w:trPr>
          <w:trHeight w:val="154"/>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15,053</w:t>
            </w:r>
          </w:p>
        </w:tc>
      </w:tr>
      <w:tr>
        <w:trPr>
          <w:trHeight w:val="143"/>
        </w:trPr>
        <w:tc>
          <w:tcPr>
            <w:tcW w:w="52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Fair value-December 31, 2019</w:t>
            </w:r>
          </w:p>
        </w:tc>
        <w:tc>
          <w:tcPr>
            <w:tcW w:w="2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30,844</w:t>
            </w:r>
          </w:p>
        </w:tc>
      </w:tr>
      <w:tr>
        <w:trPr>
          <w:trHeight w:val="154"/>
        </w:trPr>
        <w:tc>
          <w:tcPr>
            <w:tcW w:w="5280" w:type="dxa"/>
            <w:vAlign w:val="bottom"/>
          </w:tcPr>
          <w:p>
            <w:pPr>
              <w:spacing w:after="0"/>
              <w:rPr>
                <w:sz w:val="20"/>
                <w:szCs w:val="20"/>
                <w:color w:val="auto"/>
              </w:rPr>
            </w:pPr>
            <w:r>
              <w:rPr>
                <w:rFonts w:ascii="Arial" w:cs="Arial" w:eastAsia="Arial" w:hAnsi="Arial"/>
                <w:sz w:val="13"/>
                <w:szCs w:val="13"/>
                <w:color w:val="auto"/>
              </w:rPr>
              <w:t>Change in fair value of Series D contingent forward contract</w:t>
            </w: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8,720</w:t>
            </w:r>
          </w:p>
        </w:tc>
      </w:tr>
      <w:tr>
        <w:trPr>
          <w:trHeight w:val="154"/>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Settlement of Series D contingent forward contract</w:t>
            </w:r>
          </w:p>
        </w:tc>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(39,563)</w:t>
            </w:r>
          </w:p>
        </w:tc>
      </w:tr>
      <w:tr>
        <w:trPr>
          <w:trHeight w:val="154"/>
        </w:trPr>
        <w:tc>
          <w:tcPr>
            <w:tcW w:w="5280" w:type="dxa"/>
            <w:vAlign w:val="bottom"/>
          </w:tcPr>
          <w:p>
            <w:pPr>
              <w:spacing w:after="0"/>
              <w:rPr>
                <w:sz w:val="20"/>
                <w:szCs w:val="20"/>
                <w:color w:val="auto"/>
              </w:rPr>
            </w:pPr>
            <w:r>
              <w:rPr>
                <w:rFonts w:ascii="Arial" w:cs="Arial" w:eastAsia="Arial" w:hAnsi="Arial"/>
                <w:sz w:val="13"/>
                <w:szCs w:val="13"/>
                <w:color w:val="auto"/>
              </w:rPr>
              <w:t>Issuance of Series E contingent forward contract</w:t>
            </w: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793</w:t>
            </w:r>
          </w:p>
        </w:tc>
      </w:tr>
      <w:tr>
        <w:trPr>
          <w:trHeight w:val="154"/>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Series E contingent forward contract</w:t>
            </w:r>
          </w:p>
        </w:tc>
        <w:tc>
          <w:tcPr>
            <w:tcW w:w="2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109,662</w:t>
            </w:r>
          </w:p>
        </w:tc>
      </w:tr>
      <w:tr>
        <w:trPr>
          <w:trHeight w:val="154"/>
        </w:trPr>
        <w:tc>
          <w:tcPr>
            <w:tcW w:w="52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Settlement of Series E contingent forward contract</w:t>
            </w:r>
          </w:p>
        </w:tc>
        <w:tc>
          <w:tcPr>
            <w:tcW w:w="2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(110,456)</w:t>
            </w:r>
          </w:p>
        </w:tc>
      </w:tr>
      <w:tr>
        <w:trPr>
          <w:trHeight w:val="152"/>
        </w:trPr>
        <w:tc>
          <w:tcPr>
            <w:tcW w:w="528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Fair value-December 31, 2020</w:t>
            </w:r>
          </w:p>
        </w:tc>
        <w:tc>
          <w:tcPr>
            <w:tcW w:w="2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 reconciliation of the convertible preferred share warrant liabilities measured and recorded at fair value on a recurring basis is as follows (in thousands):</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Fair value-December 31, 2018</w:t>
            </w:r>
          </w:p>
        </w:tc>
        <w:tc>
          <w:tcPr>
            <w:tcW w:w="3260" w:type="dxa"/>
            <w:vAlign w:val="bottom"/>
            <w:gridSpan w:val="2"/>
            <w:shd w:val="clear" w:color="auto" w:fill="CCEEFF"/>
          </w:tcPr>
          <w:p>
            <w:pPr>
              <w:jc w:val="right"/>
              <w:ind w:right="212"/>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w:t>
            </w:r>
          </w:p>
        </w:tc>
      </w:tr>
      <w:tr>
        <w:trPr>
          <w:trHeight w:val="154"/>
        </w:trPr>
        <w:tc>
          <w:tcPr>
            <w:tcW w:w="45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9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r>
      <w:tr>
        <w:trPr>
          <w:trHeight w:val="143"/>
        </w:trPr>
        <w:tc>
          <w:tcPr>
            <w:tcW w:w="45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Fair value-December 31, 2019</w:t>
            </w:r>
          </w:p>
        </w:tc>
        <w:tc>
          <w:tcPr>
            <w:tcW w:w="2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1,755</w:t>
            </w:r>
          </w:p>
        </w:tc>
      </w:tr>
      <w:tr>
        <w:trPr>
          <w:trHeight w:val="154"/>
        </w:trPr>
        <w:tc>
          <w:tcPr>
            <w:tcW w:w="45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fair value</w:t>
            </w:r>
          </w:p>
        </w:tc>
        <w:tc>
          <w:tcPr>
            <w:tcW w:w="29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r>
      <w:tr>
        <w:trPr>
          <w:trHeight w:val="152"/>
        </w:trPr>
        <w:tc>
          <w:tcPr>
            <w:tcW w:w="452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Fair value-December 31, 2020</w:t>
            </w:r>
          </w:p>
        </w:tc>
        <w:tc>
          <w:tcPr>
            <w:tcW w:w="29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2,960</w:t>
            </w:r>
          </w:p>
        </w:tc>
      </w:tr>
    </w:tbl>
    <w:p>
      <w:pPr>
        <w:spacing w:after="0" w:line="15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5 — CONVERTIBLE NOTES</w:t>
      </w:r>
    </w:p>
    <w:p>
      <w:pPr>
        <w:spacing w:after="0" w:line="162" w:lineRule="exact"/>
        <w:rPr>
          <w:sz w:val="20"/>
          <w:szCs w:val="20"/>
          <w:color w:val="auto"/>
        </w:rPr>
      </w:pPr>
    </w:p>
    <w:p>
      <w:pPr>
        <w:ind w:left="20" w:right="339" w:firstLine="231"/>
        <w:spacing w:after="0" w:line="295" w:lineRule="auto"/>
        <w:rPr>
          <w:sz w:val="20"/>
          <w:szCs w:val="20"/>
          <w:color w:val="auto"/>
        </w:rPr>
      </w:pPr>
      <w:r>
        <w:rPr>
          <w:rFonts w:ascii="Arial" w:cs="Arial" w:eastAsia="Arial" w:hAnsi="Arial"/>
          <w:sz w:val="11"/>
          <w:szCs w:val="11"/>
          <w:color w:val="auto"/>
        </w:rPr>
        <w:t>In September 2018, the Company entered into a securities purchase agreement (the “Security Purchase Agreement”) of $1.3 billion with the Public Investment Fund (“PIF”) of Saudi Arabia. Among the $1.3 billion investment, $300.0 million of the Security Purchase Agreement was funded by Convertible Notes, and the remaining $1.0 billion will be funded by Series D convertible preferred shares (“Series D”). The initial investment from the investor was in the form of convertible notes (the “Convertible Notes”), representing a total investment amount of $300.0 million, as follows: (i) initial Convertible Notes issued in September 2018 of $119.0 million</w:t>
      </w:r>
    </w:p>
    <w:p>
      <w:pPr>
        <w:spacing w:after="0" w:line="2" w:lineRule="exact"/>
        <w:rPr>
          <w:sz w:val="20"/>
          <w:szCs w:val="20"/>
          <w:color w:val="auto"/>
        </w:rPr>
      </w:pPr>
    </w:p>
    <w:p>
      <w:pPr>
        <w:ind w:left="20" w:right="119"/>
        <w:spacing w:after="0" w:line="272" w:lineRule="auto"/>
        <w:rPr>
          <w:sz w:val="20"/>
          <w:szCs w:val="20"/>
          <w:color w:val="auto"/>
        </w:rPr>
      </w:pPr>
      <w:r>
        <w:rPr>
          <w:rFonts w:ascii="Arial" w:cs="Arial" w:eastAsia="Arial" w:hAnsi="Arial"/>
          <w:sz w:val="12"/>
          <w:szCs w:val="12"/>
          <w:color w:val="auto"/>
        </w:rPr>
        <w:t>($120.0 million net of $1.0 million payment to third parties on behalf of PIF) and (i) follow-on installment Convertible Notes of $30.0 million per month from October 2018 to March 2019. Interest rates for the Convertible Notes is 8% per annum. Convertible Notes outstanding at December 31, 2018 was $209.0 million. The additional follow-on installments came in as scheduled through March 2019 for a total of additional $90.0 million of Convertible Notes. Upon approval by the Committee on Foreign Investment in the United States (CFIUS) of the Series D convertible preferred share financing in March 2019, in April 2019, the Company received the first tranche of Series D convertible preferred shares of $200.0 million, and all the principal and accrued interest of the Convertible Notes converted into Series D convertible preferred shares. Refer to Note 8 “Convertible Preferred Shares and Shareholders’ Deficit” for Series D convertible preferred share issuance details.</w:t>
      </w:r>
    </w:p>
    <w:p>
      <w:pPr>
        <w:spacing w:after="0" w:line="130" w:lineRule="exact"/>
        <w:rPr>
          <w:sz w:val="20"/>
          <w:szCs w:val="20"/>
          <w:color w:val="auto"/>
        </w:rPr>
      </w:pPr>
    </w:p>
    <w:p>
      <w:pPr>
        <w:ind w:left="20" w:right="79" w:firstLine="231"/>
        <w:spacing w:after="0" w:line="277" w:lineRule="auto"/>
        <w:rPr>
          <w:sz w:val="20"/>
          <w:szCs w:val="20"/>
          <w:color w:val="auto"/>
        </w:rPr>
      </w:pPr>
      <w:r>
        <w:rPr>
          <w:rFonts w:ascii="Arial" w:cs="Arial" w:eastAsia="Arial" w:hAnsi="Arial"/>
          <w:sz w:val="12"/>
          <w:szCs w:val="12"/>
          <w:color w:val="auto"/>
        </w:rPr>
        <w:t>Along with the Convertible Notes issuance, the Company granted PIF contingent forward contracts to participate in the future Series D convertible preferred share financing. The contingent forward contracts were determined to be accounted for similar to a derivative and the initial fair value was recorded as a debt discount and contingent forward contracts liability on the Convertible Notes issuance date. The initial contingent forward contract liability fair value of $18.6 million was determined utilizing the market approach, including both the back-solve method and the guideline public company method, and was subsequently remeasured to fair value each reporting period with the changes recorded in the consolidated statements of operations. Refer to Note 6 “Contingent Forward Contracts” for detail.</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4" w:name="page45"/>
    <w:bookmarkEnd w:id="44"/>
    <w:p>
      <w:pPr>
        <w:ind w:left="20" w:right="139" w:firstLine="229"/>
        <w:spacing w:after="0" w:line="297" w:lineRule="auto"/>
        <w:rPr>
          <w:sz w:val="20"/>
          <w:szCs w:val="20"/>
          <w:color w:val="auto"/>
        </w:rPr>
      </w:pPr>
      <w:r>
        <w:rPr>
          <w:rFonts w:ascii="Arial" w:cs="Arial" w:eastAsia="Arial" w:hAnsi="Arial"/>
          <w:sz w:val="11"/>
          <w:szCs w:val="11"/>
          <w:color w:val="auto"/>
        </w:rPr>
        <w:t>Per the Security Purchase Agreement, the Company was required to pay an advisory fee to the advisor who helped the Company secure the transaction with the investor no later than September 2019. The Company incurred approximately $13.7 million in transaction costs in connection with the issuance of the Convertible Notes. In accordance with accounting for debt with conversions and other options, transaction costs were allocated pro rata based on the liability and equity components of</w:t>
      </w:r>
    </w:p>
    <w:p>
      <w:pPr>
        <w:ind w:left="20" w:right="159"/>
        <w:spacing w:after="0" w:line="253" w:lineRule="auto"/>
        <w:rPr>
          <w:sz w:val="20"/>
          <w:szCs w:val="20"/>
          <w:color w:val="auto"/>
        </w:rPr>
      </w:pPr>
      <w:r>
        <w:rPr>
          <w:rFonts w:ascii="Arial" w:cs="Arial" w:eastAsia="Arial" w:hAnsi="Arial"/>
          <w:sz w:val="13"/>
          <w:szCs w:val="13"/>
          <w:color w:val="auto"/>
        </w:rPr>
        <w:t>$300.0 million and $1.0 billion, respectively. As such, $3.2 million of the transaction cost was allocated to debt issuance costs for the Convertible Notes, and $0.3 million of the transaction cost was allocated to share issuance costs for Series D convertible preferred shares in 2019.</w:t>
      </w:r>
    </w:p>
    <w:p>
      <w:pPr>
        <w:spacing w:after="0" w:line="138" w:lineRule="exact"/>
        <w:rPr>
          <w:sz w:val="20"/>
          <w:szCs w:val="20"/>
          <w:color w:val="auto"/>
        </w:rPr>
      </w:pPr>
    </w:p>
    <w:p>
      <w:pPr>
        <w:ind w:left="20" w:right="179" w:firstLine="231"/>
        <w:spacing w:after="0" w:line="281" w:lineRule="auto"/>
        <w:rPr>
          <w:sz w:val="20"/>
          <w:szCs w:val="20"/>
          <w:color w:val="auto"/>
        </w:rPr>
      </w:pPr>
      <w:r>
        <w:rPr>
          <w:rFonts w:ascii="Arial" w:cs="Arial" w:eastAsia="Arial" w:hAnsi="Arial"/>
          <w:sz w:val="12"/>
          <w:szCs w:val="12"/>
          <w:color w:val="auto"/>
        </w:rPr>
        <w:t>The Company amortized the total debt issuance cost of the Convertible Notes in the amount of $21.8 million, consisting of the $18.6 debt discount and the $3.2 million allocated transaction cost over the Convertible Notes term of 18 months starting in September 2018 under the effective interest method. The effective interest rate of the Convertible Notes is 2.47% per annum. The amortization of the debt issuance costs was $3.4 million for the year ended December 31, 2019. The following table sets forth interest expense information related to the Convertible Notes for the year ended December 31, 2019 (in thousands):</w:t>
      </w:r>
    </w:p>
    <w:p>
      <w:pPr>
        <w:spacing w:after="0" w:line="117"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7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2"/>
              <w:spacing w:after="0"/>
              <w:rPr>
                <w:sz w:val="20"/>
                <w:szCs w:val="20"/>
                <w:color w:val="auto"/>
              </w:rPr>
            </w:pPr>
            <w:r>
              <w:rPr>
                <w:rFonts w:ascii="Arial" w:cs="Arial" w:eastAsia="Arial" w:hAnsi="Arial"/>
                <w:sz w:val="10"/>
                <w:szCs w:val="10"/>
                <w:b w:val="1"/>
                <w:bCs w:val="1"/>
                <w:color w:val="auto"/>
                <w:w w:val="94"/>
              </w:rPr>
              <w:t>Year Ended</w:t>
            </w:r>
          </w:p>
        </w:tc>
      </w:tr>
      <w:tr>
        <w:trPr>
          <w:trHeight w:val="106"/>
        </w:trPr>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82"/>
              <w:spacing w:after="0" w:line="106" w:lineRule="exact"/>
              <w:rPr>
                <w:sz w:val="20"/>
                <w:szCs w:val="20"/>
                <w:color w:val="auto"/>
              </w:rPr>
            </w:pPr>
            <w:r>
              <w:rPr>
                <w:rFonts w:ascii="Arial" w:cs="Arial" w:eastAsia="Arial" w:hAnsi="Arial"/>
                <w:sz w:val="10"/>
                <w:szCs w:val="10"/>
                <w:b w:val="1"/>
                <w:bCs w:val="1"/>
                <w:color w:val="auto"/>
                <w:w w:val="92"/>
              </w:rPr>
              <w:t>December 31,</w:t>
            </w:r>
          </w:p>
        </w:tc>
      </w:tr>
      <w:tr>
        <w:trPr>
          <w:trHeight w:val="121"/>
        </w:trPr>
        <w:tc>
          <w:tcPr>
            <w:tcW w:w="74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9"/>
              </w:rPr>
              <w:t>2019</w:t>
            </w:r>
          </w:p>
        </w:tc>
      </w:tr>
      <w:tr>
        <w:trPr>
          <w:trHeight w:val="143"/>
        </w:trPr>
        <w:tc>
          <w:tcPr>
            <w:tcW w:w="74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Amortization of issuance costs allocated to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494</w:t>
            </w:r>
          </w:p>
        </w:tc>
      </w:tr>
      <w:tr>
        <w:trPr>
          <w:trHeight w:val="154"/>
        </w:trPr>
        <w:tc>
          <w:tcPr>
            <w:tcW w:w="7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Amortization of debt discount from contingent forward contracts (Note 6)</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2,900</w:t>
            </w:r>
          </w:p>
        </w:tc>
      </w:tr>
      <w:tr>
        <w:trPr>
          <w:trHeight w:val="152"/>
        </w:trPr>
        <w:tc>
          <w:tcPr>
            <w:tcW w:w="74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3,394</w:t>
            </w:r>
          </w:p>
        </w:tc>
      </w:tr>
    </w:tbl>
    <w:p>
      <w:pPr>
        <w:spacing w:after="0" w:line="145" w:lineRule="exact"/>
        <w:rPr>
          <w:sz w:val="20"/>
          <w:szCs w:val="20"/>
          <w:color w:val="auto"/>
        </w:rPr>
      </w:pPr>
    </w:p>
    <w:p>
      <w:pPr>
        <w:ind w:left="20" w:right="159" w:firstLine="231"/>
        <w:spacing w:after="0" w:line="257" w:lineRule="auto"/>
        <w:rPr>
          <w:sz w:val="20"/>
          <w:szCs w:val="20"/>
          <w:color w:val="auto"/>
        </w:rPr>
      </w:pPr>
      <w:r>
        <w:rPr>
          <w:rFonts w:ascii="Arial" w:cs="Arial" w:eastAsia="Arial" w:hAnsi="Arial"/>
          <w:sz w:val="13"/>
          <w:szCs w:val="13"/>
          <w:color w:val="auto"/>
        </w:rPr>
        <w:t>After CFIUS granted approval of the investment in March 2019, the Company converted all outstanding Convertible Notes into Series D convertible preferred shares in April 2019. The conversion consists of the $263.2 million Convertible Notes net of debt issuance costs and accrued interest of $8.8 million. See below for the conversion details:</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Convertible Notes issued in 2018</w:t>
            </w:r>
          </w:p>
        </w:tc>
        <w:tc>
          <w:tcPr>
            <w:tcW w:w="260" w:type="dxa"/>
            <w:vAlign w:val="bottom"/>
            <w:gridSpan w:val="2"/>
            <w:shd w:val="clear" w:color="auto" w:fill="CCEEFF"/>
          </w:tcPr>
          <w:p>
            <w:pPr>
              <w:jc w:val="right"/>
              <w:ind w:right="17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w:t>
            </w:r>
          </w:p>
        </w:tc>
      </w:tr>
      <w:tr>
        <w:trPr>
          <w:trHeight w:val="154"/>
        </w:trPr>
        <w:tc>
          <w:tcPr>
            <w:tcW w:w="7460" w:type="dxa"/>
            <w:vAlign w:val="bottom"/>
          </w:tcPr>
          <w:p>
            <w:pPr>
              <w:ind w:left="80"/>
              <w:spacing w:after="0"/>
              <w:rPr>
                <w:sz w:val="20"/>
                <w:szCs w:val="20"/>
                <w:color w:val="auto"/>
              </w:rPr>
            </w:pPr>
            <w:r>
              <w:rPr>
                <w:rFonts w:ascii="Arial" w:cs="Arial" w:eastAsia="Arial" w:hAnsi="Arial"/>
                <w:sz w:val="13"/>
                <w:szCs w:val="13"/>
                <w:color w:val="auto"/>
              </w:rPr>
              <w:t>Debt discount and debt issuance cost incurred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(22,763)</w:t>
            </w:r>
          </w:p>
        </w:tc>
      </w:tr>
      <w:tr>
        <w:trPr>
          <w:trHeight w:val="154"/>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debt discount and issuance cost</w:t>
            </w: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w:t>
            </w:r>
          </w:p>
        </w:tc>
      </w:tr>
      <w:tr>
        <w:trPr>
          <w:trHeight w:val="143"/>
        </w:trPr>
        <w:tc>
          <w:tcPr>
            <w:tcW w:w="7460" w:type="dxa"/>
            <w:vAlign w:val="bottom"/>
          </w:tcPr>
          <w:p>
            <w:pPr>
              <w:ind w:left="80"/>
              <w:spacing w:after="0" w:line="143" w:lineRule="exact"/>
              <w:rPr>
                <w:sz w:val="20"/>
                <w:szCs w:val="20"/>
                <w:color w:val="auto"/>
              </w:rPr>
            </w:pPr>
            <w:r>
              <w:rPr>
                <w:rFonts w:ascii="Arial" w:cs="Arial" w:eastAsia="Arial" w:hAnsi="Arial"/>
                <w:sz w:val="13"/>
                <w:szCs w:val="13"/>
                <w:color w:val="auto"/>
              </w:rPr>
              <w:t>Convertible Notes balance as of December 31, 2018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188,860</w:t>
            </w:r>
          </w:p>
        </w:tc>
      </w:tr>
      <w:tr>
        <w:trPr>
          <w:trHeight w:val="154"/>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Convertible Notes issued in 2019</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w:t>
            </w:r>
          </w:p>
        </w:tc>
      </w:tr>
      <w:tr>
        <w:trPr>
          <w:trHeight w:val="154"/>
        </w:trPr>
        <w:tc>
          <w:tcPr>
            <w:tcW w:w="7460" w:type="dxa"/>
            <w:vAlign w:val="bottom"/>
          </w:tcPr>
          <w:p>
            <w:pPr>
              <w:ind w:left="80"/>
              <w:spacing w:after="0"/>
              <w:rPr>
                <w:sz w:val="20"/>
                <w:szCs w:val="20"/>
                <w:color w:val="auto"/>
              </w:rPr>
            </w:pPr>
            <w:r>
              <w:rPr>
                <w:rFonts w:ascii="Arial" w:cs="Arial" w:eastAsia="Arial" w:hAnsi="Arial"/>
                <w:sz w:val="13"/>
                <w:szCs w:val="13"/>
                <w:color w:val="auto"/>
              </w:rPr>
              <w:t>Debt discount and debt issuance cost incurred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(19,051)</w:t>
            </w:r>
          </w:p>
        </w:tc>
      </w:tr>
      <w:tr>
        <w:trPr>
          <w:trHeight w:val="154"/>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debt discount and issuance cost</w:t>
            </w: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3,394</w:t>
            </w:r>
          </w:p>
        </w:tc>
      </w:tr>
      <w:tr>
        <w:trPr>
          <w:trHeight w:val="143"/>
        </w:trPr>
        <w:tc>
          <w:tcPr>
            <w:tcW w:w="7460" w:type="dxa"/>
            <w:vAlign w:val="bottom"/>
          </w:tcPr>
          <w:p>
            <w:pPr>
              <w:ind w:left="80"/>
              <w:spacing w:after="0" w:line="143" w:lineRule="exact"/>
              <w:rPr>
                <w:sz w:val="20"/>
                <w:szCs w:val="20"/>
                <w:color w:val="auto"/>
              </w:rPr>
            </w:pPr>
            <w:r>
              <w:rPr>
                <w:rFonts w:ascii="Arial" w:cs="Arial" w:eastAsia="Arial" w:hAnsi="Arial"/>
                <w:sz w:val="13"/>
                <w:szCs w:val="13"/>
                <w:color w:val="auto"/>
              </w:rPr>
              <w:t>Convertible Notes balance as of April 2, 2019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263,202</w:t>
            </w:r>
          </w:p>
        </w:tc>
      </w:tr>
      <w:tr>
        <w:trPr>
          <w:trHeight w:val="154"/>
        </w:trPr>
        <w:tc>
          <w:tcPr>
            <w:tcW w:w="7460" w:type="dxa"/>
            <w:vAlign w:val="bottom"/>
            <w:shd w:val="clear" w:color="auto" w:fill="CCEEFF"/>
          </w:tcPr>
          <w:p>
            <w:pPr>
              <w:spacing w:after="0"/>
              <w:rPr>
                <w:sz w:val="20"/>
                <w:szCs w:val="20"/>
                <w:color w:val="auto"/>
              </w:rPr>
            </w:pPr>
            <w:r>
              <w:rPr>
                <w:rFonts w:ascii="Arial" w:cs="Arial" w:eastAsia="Arial" w:hAnsi="Arial"/>
                <w:sz w:val="13"/>
                <w:szCs w:val="13"/>
                <w:color w:val="auto"/>
              </w:rPr>
              <w:t>Accrued interest of Convertible Notes</w:t>
            </w:r>
          </w:p>
        </w:tc>
        <w:tc>
          <w:tcPr>
            <w:tcW w:w="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8,782</w:t>
            </w:r>
          </w:p>
        </w:tc>
      </w:tr>
      <w:tr>
        <w:trPr>
          <w:trHeight w:val="152"/>
        </w:trPr>
        <w:tc>
          <w:tcPr>
            <w:tcW w:w="7460" w:type="dxa"/>
            <w:vAlign w:val="bottom"/>
          </w:tcPr>
          <w:p>
            <w:pPr>
              <w:spacing w:after="0" w:line="144" w:lineRule="exact"/>
              <w:rPr>
                <w:sz w:val="20"/>
                <w:szCs w:val="20"/>
                <w:color w:val="auto"/>
              </w:rPr>
            </w:pPr>
            <w:r>
              <w:rPr>
                <w:rFonts w:ascii="Arial" w:cs="Arial" w:eastAsia="Arial" w:hAnsi="Arial"/>
                <w:sz w:val="13"/>
                <w:szCs w:val="13"/>
                <w:color w:val="auto"/>
              </w:rPr>
              <w:t>Convertible Notes converted to Series D convertible preferred shares</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73"/>
              <w:spacing w:after="0"/>
              <w:rPr>
                <w:sz w:val="20"/>
                <w:szCs w:val="20"/>
                <w:color w:val="auto"/>
              </w:rPr>
            </w:pPr>
            <w:r>
              <w:rPr>
                <w:rFonts w:ascii="Arial" w:cs="Arial" w:eastAsia="Arial" w:hAnsi="Arial"/>
                <w:sz w:val="5"/>
                <w:szCs w:val="5"/>
                <w:color w:val="auto"/>
                <w:w w:val="70"/>
              </w:rPr>
              <w:t>$</w:t>
            </w: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271,984</w:t>
            </w:r>
          </w:p>
        </w:tc>
      </w:tr>
    </w:tbl>
    <w:p>
      <w:pPr>
        <w:spacing w:after="0" w:line="145" w:lineRule="exact"/>
        <w:rPr>
          <w:sz w:val="20"/>
          <w:szCs w:val="20"/>
          <w:color w:val="auto"/>
        </w:rPr>
      </w:pPr>
    </w:p>
    <w:p>
      <w:pPr>
        <w:ind w:left="20" w:right="59" w:firstLine="231"/>
        <w:spacing w:after="0" w:line="267" w:lineRule="auto"/>
        <w:rPr>
          <w:sz w:val="20"/>
          <w:szCs w:val="20"/>
          <w:color w:val="auto"/>
        </w:rPr>
      </w:pPr>
      <w:r>
        <w:rPr>
          <w:rFonts w:ascii="Arial" w:cs="Arial" w:eastAsia="Arial" w:hAnsi="Arial"/>
          <w:sz w:val="13"/>
          <w:szCs w:val="13"/>
          <w:color w:val="auto"/>
        </w:rPr>
        <w:t>The Security Purchase Agreement also required the repurchase, redemption, and cancellation of certain amounts of Series C convertible preferred shares. For the detail of the repurchase of Series C convertible preferred shares, refer to Note 8 “Convertible Preferred Shares and Shareholders’ Deficit.”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6 — CONTINGENT FORWARD CONTRACTS</w:t>
      </w:r>
    </w:p>
    <w:p>
      <w:pPr>
        <w:spacing w:after="0" w:line="162"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As discussed in Note 5 “Convertible Notes,” 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 For the detail of the Convertible Notes and interest expense reconciliation, refer to Note 5 “Convertible Notes.”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5" w:name="page46"/>
    <w:bookmarkEnd w:id="45"/>
    <w:p>
      <w:pPr>
        <w:ind w:left="20" w:right="139" w:firstLine="229"/>
        <w:spacing w:after="0" w:line="250" w:lineRule="auto"/>
        <w:rPr>
          <w:sz w:val="20"/>
          <w:szCs w:val="20"/>
          <w:color w:val="auto"/>
        </w:rPr>
      </w:pPr>
      <w:r>
        <w:rPr>
          <w:rFonts w:ascii="Arial" w:cs="Arial" w:eastAsia="Arial" w:hAnsi="Arial"/>
          <w:sz w:val="13"/>
          <w:szCs w:val="13"/>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contracts liability into Series D convertible preferred shares. In June 2020, upon satisfaction of the second set of milestones (refer to Note 8 “Convertible Preferred Shares and Shareholders’ Deficit”), the Company received the remaining $200.0 million in exchange for 82,496,092 shares of Series D as final settlement of the Series D contingent forward contract liability and revalued the contingent forward contracts liability to the then fair value of $21.4 million and reclassified the liability into Series D convertible preferred shares. The Series D contingent forward contract liability incurred a total fair value loss of $8.7 million during the year ended December 31, 2020.</w:t>
      </w:r>
    </w:p>
    <w:p>
      <w:pPr>
        <w:spacing w:after="0" w:line="140" w:lineRule="exact"/>
        <w:rPr>
          <w:sz w:val="20"/>
          <w:szCs w:val="20"/>
          <w:color w:val="auto"/>
        </w:rPr>
      </w:pPr>
    </w:p>
    <w:p>
      <w:pPr>
        <w:ind w:left="20" w:right="59" w:firstLine="231"/>
        <w:spacing w:after="0" w:line="314" w:lineRule="auto"/>
        <w:rPr>
          <w:sz w:val="20"/>
          <w:szCs w:val="20"/>
          <w:color w:val="auto"/>
        </w:rPr>
      </w:pPr>
      <w:r>
        <w:rPr>
          <w:rFonts w:ascii="Arial" w:cs="Arial" w:eastAsia="Arial" w:hAnsi="Arial"/>
          <w:sz w:val="11"/>
          <w:szCs w:val="11"/>
          <w:color w:val="auto"/>
        </w:rPr>
        <w:t>As discussed in Note 8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into contingent forward contract liabilities.</w:t>
      </w:r>
    </w:p>
    <w:p>
      <w:pPr>
        <w:spacing w:after="0" w:line="107" w:lineRule="exact"/>
        <w:rPr>
          <w:sz w:val="20"/>
          <w:szCs w:val="20"/>
          <w:color w:val="auto"/>
        </w:rPr>
      </w:pPr>
    </w:p>
    <w:p>
      <w:pPr>
        <w:jc w:val="both"/>
        <w:ind w:left="20" w:right="599" w:firstLine="231"/>
        <w:spacing w:after="0" w:line="281" w:lineRule="auto"/>
        <w:rPr>
          <w:sz w:val="20"/>
          <w:szCs w:val="20"/>
          <w:color w:val="auto"/>
        </w:rPr>
      </w:pPr>
      <w:r>
        <w:rPr>
          <w:rFonts w:ascii="Arial" w:cs="Arial" w:eastAsia="Arial" w:hAnsi="Arial"/>
          <w:sz w:val="12"/>
          <w:szCs w:val="12"/>
          <w:color w:val="auto"/>
        </w:rPr>
        <w:t>In December 2020, Ayar waived the Company’s remaining outstanding obligations, and the Company received $400.0 million as the final issuance of Series E convertible preferred shares. Upon the final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2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420" w:type="dxa"/>
            <w:vAlign w:val="bottom"/>
            <w:gridSpan w:val="2"/>
          </w:tcPr>
          <w:p>
            <w:pPr>
              <w:spacing w:after="0"/>
              <w:rPr>
                <w:sz w:val="20"/>
                <w:szCs w:val="20"/>
                <w:color w:val="auto"/>
              </w:rPr>
            </w:pPr>
            <w:r>
              <w:rPr>
                <w:rFonts w:ascii="Arial" w:cs="Arial" w:eastAsia="Arial" w:hAnsi="Arial"/>
                <w:sz w:val="13"/>
                <w:szCs w:val="13"/>
                <w:color w:val="auto"/>
                <w:w w:val="90"/>
              </w:rPr>
              <w:t>The Company’s inputs used in determining the fair value of Series D contingent forward contract liability on the issuance date were as follows: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9/20/2018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Coupon payment dates</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w w:val="99"/>
              </w:rPr>
              <w:t>Semi-Annual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Maturity date</w:t>
            </w:r>
          </w:p>
        </w:tc>
        <w:tc>
          <w:tcPr>
            <w:tcW w:w="96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03/20/2020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Initial term</w:t>
            </w:r>
          </w:p>
        </w:tc>
        <w:tc>
          <w:tcPr>
            <w:tcW w:w="960" w:type="dxa"/>
            <w:vAlign w:val="bottom"/>
          </w:tcPr>
          <w:p>
            <w:pPr>
              <w:jc w:val="right"/>
              <w:ind w:right="136"/>
              <w:spacing w:after="0"/>
              <w:rPr>
                <w:sz w:val="20"/>
                <w:szCs w:val="20"/>
                <w:color w:val="auto"/>
              </w:rPr>
            </w:pPr>
            <w:r>
              <w:rPr>
                <w:rFonts w:ascii="Arial" w:cs="Arial" w:eastAsia="Arial" w:hAnsi="Arial"/>
                <w:sz w:val="13"/>
                <w:szCs w:val="13"/>
                <w:color w:val="auto"/>
              </w:rPr>
              <w:t>1.5 Years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(coupon rate)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tcPr>
          <w:p>
            <w:pPr>
              <w:spacing w:after="0"/>
              <w:rPr>
                <w:sz w:val="20"/>
                <w:szCs w:val="20"/>
                <w:color w:val="auto"/>
              </w:rPr>
            </w:pPr>
            <w:r>
              <w:rPr>
                <w:rFonts w:ascii="Arial" w:cs="Arial" w:eastAsia="Arial" w:hAnsi="Arial"/>
                <w:sz w:val="13"/>
                <w:szCs w:val="13"/>
                <w:color w:val="auto"/>
              </w:rPr>
              <w:t>Yield (market rate)</w:t>
            </w:r>
          </w:p>
        </w:tc>
        <w:tc>
          <w:tcPr>
            <w:tcW w:w="960" w:type="dxa"/>
            <w:vAlign w:val="bottom"/>
          </w:tcPr>
          <w:p>
            <w:pPr>
              <w:jc w:val="right"/>
              <w:spacing w:after="0"/>
              <w:rPr>
                <w:sz w:val="20"/>
                <w:szCs w:val="20"/>
                <w:color w:val="auto"/>
              </w:rPr>
            </w:pPr>
            <w:r>
              <w:rPr>
                <w:rFonts w:ascii="Arial" w:cs="Arial" w:eastAsia="Arial" w:hAnsi="Arial"/>
                <w:sz w:val="13"/>
                <w:szCs w:val="13"/>
                <w:color w:val="auto"/>
              </w:rPr>
              <w:t>8.00 %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Effective interest rate</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2.47 %</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The Company’s inputs used in determining the fair value of Series D convertible preferred share contingent forward contract liability on the settlement date, were as follows:</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Settlement date</w:t>
            </w:r>
          </w:p>
        </w:tc>
        <w:tc>
          <w:tcPr>
            <w:tcW w:w="14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3/31/2020</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6/30/2020</w:t>
            </w:r>
          </w:p>
        </w:tc>
      </w:tr>
      <w:tr>
        <w:trPr>
          <w:trHeight w:val="154"/>
        </w:trPr>
        <w:tc>
          <w:tcPr>
            <w:tcW w:w="4840" w:type="dxa"/>
            <w:vAlign w:val="bottom"/>
          </w:tcPr>
          <w:p>
            <w:pPr>
              <w:spacing w:after="0"/>
              <w:rPr>
                <w:sz w:val="20"/>
                <w:szCs w:val="20"/>
                <w:color w:val="auto"/>
              </w:rPr>
            </w:pPr>
            <w:r>
              <w:rPr>
                <w:rFonts w:ascii="Arial" w:cs="Arial" w:eastAsia="Arial" w:hAnsi="Arial"/>
                <w:sz w:val="13"/>
                <w:szCs w:val="13"/>
                <w:color w:val="auto"/>
              </w:rPr>
              <w:t>Expected term</w:t>
            </w:r>
          </w:p>
        </w:tc>
        <w:tc>
          <w:tcPr>
            <w:tcW w:w="1460" w:type="dxa"/>
            <w:vAlign w:val="bottom"/>
          </w:tcPr>
          <w:p>
            <w:pPr>
              <w:spacing w:after="0"/>
              <w:rPr>
                <w:sz w:val="13"/>
                <w:szCs w:val="13"/>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w:t>
            </w:r>
          </w:p>
        </w:tc>
      </w:tr>
      <w:tr>
        <w:trPr>
          <w:trHeight w:val="154"/>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Contingent Series D convertible preferred shares fair value (per share)</w:t>
            </w:r>
          </w:p>
        </w:tc>
        <w:tc>
          <w:tcPr>
            <w:tcW w:w="14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2.64</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2.69</w:t>
            </w:r>
          </w:p>
        </w:tc>
      </w:tr>
      <w:tr>
        <w:trPr>
          <w:trHeight w:val="154"/>
        </w:trPr>
        <w:tc>
          <w:tcPr>
            <w:tcW w:w="4840" w:type="dxa"/>
            <w:vAlign w:val="bottom"/>
          </w:tcPr>
          <w:p>
            <w:pPr>
              <w:spacing w:after="0"/>
              <w:rPr>
                <w:sz w:val="20"/>
                <w:szCs w:val="20"/>
                <w:color w:val="auto"/>
              </w:rPr>
            </w:pPr>
            <w:r>
              <w:rPr>
                <w:rFonts w:ascii="Arial" w:cs="Arial" w:eastAsia="Arial" w:hAnsi="Arial"/>
                <w:sz w:val="13"/>
                <w:szCs w:val="13"/>
                <w:color w:val="auto"/>
              </w:rPr>
              <w:t>Present value factor</w:t>
            </w:r>
          </w:p>
        </w:tc>
        <w:tc>
          <w:tcPr>
            <w:tcW w:w="1460" w:type="dxa"/>
            <w:vAlign w:val="bottom"/>
          </w:tcPr>
          <w:p>
            <w:pPr>
              <w:spacing w:after="0"/>
              <w:rPr>
                <w:sz w:val="13"/>
                <w:szCs w:val="13"/>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1.0000</w:t>
            </w:r>
          </w:p>
        </w:tc>
        <w:tc>
          <w:tcPr>
            <w:tcW w:w="300" w:type="dxa"/>
            <w:vAlign w:val="bottom"/>
          </w:tcPr>
          <w:p>
            <w:pPr>
              <w:spacing w:after="0"/>
              <w:rPr>
                <w:sz w:val="13"/>
                <w:szCs w:val="13"/>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color w:val="auto"/>
              </w:rPr>
              <w:t>1.0000</w:t>
            </w:r>
          </w:p>
        </w:tc>
      </w:tr>
      <w:tr>
        <w:trPr>
          <w:trHeight w:val="154"/>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Estimated probability of satisfying milestones</w:t>
            </w:r>
          </w:p>
        </w:tc>
        <w:tc>
          <w:tcPr>
            <w:tcW w:w="1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bl>
    <w:p>
      <w:pPr>
        <w:spacing w:after="0" w:line="145"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The Company’s inputs used in determining the fair value of Series E convertible preferred share contingent forward contract liability on the issuance date and settlement date, were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24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9/22/2020</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12/31/2020</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Expected term</w:t>
            </w:r>
          </w:p>
        </w:tc>
        <w:tc>
          <w:tcPr>
            <w:tcW w:w="2440" w:type="dxa"/>
            <w:vAlign w:val="bottom"/>
          </w:tcPr>
          <w:p>
            <w:pPr>
              <w:spacing w:after="0"/>
              <w:rPr>
                <w:sz w:val="13"/>
                <w:szCs w:val="13"/>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0.25 Years</w:t>
            </w:r>
          </w:p>
        </w:tc>
        <w:tc>
          <w:tcPr>
            <w:tcW w:w="260" w:type="dxa"/>
            <w:vAlign w:val="bottom"/>
          </w:tcPr>
          <w:p>
            <w:pPr>
              <w:spacing w:after="0"/>
              <w:rPr>
                <w:sz w:val="13"/>
                <w:szCs w:val="13"/>
                <w:color w:val="auto"/>
              </w:rPr>
            </w:pPr>
          </w:p>
        </w:tc>
        <w:tc>
          <w:tcPr>
            <w:tcW w:w="92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w w:val="94"/>
              </w:rPr>
              <w:t>Contingent Series E convertible preferred shares fair value (per share)</w:t>
            </w:r>
          </w:p>
        </w:tc>
        <w:tc>
          <w:tcPr>
            <w:tcW w:w="24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2.99</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3.82</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Present value factor</w:t>
            </w:r>
          </w:p>
        </w:tc>
        <w:tc>
          <w:tcPr>
            <w:tcW w:w="2440" w:type="dxa"/>
            <w:vAlign w:val="bottom"/>
          </w:tcPr>
          <w:p>
            <w:pPr>
              <w:spacing w:after="0"/>
              <w:rPr>
                <w:sz w:val="13"/>
                <w:szCs w:val="13"/>
                <w:color w:val="auto"/>
              </w:rPr>
            </w:pP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0.9999</w:t>
            </w:r>
          </w:p>
        </w:tc>
        <w:tc>
          <w:tcPr>
            <w:tcW w:w="260" w:type="dxa"/>
            <w:vAlign w:val="bottom"/>
          </w:tcPr>
          <w:p>
            <w:pPr>
              <w:spacing w:after="0"/>
              <w:rPr>
                <w:sz w:val="13"/>
                <w:szCs w:val="13"/>
                <w:color w:val="auto"/>
              </w:rPr>
            </w:pPr>
          </w:p>
        </w:tc>
        <w:tc>
          <w:tcPr>
            <w:tcW w:w="920" w:type="dxa"/>
            <w:vAlign w:val="bottom"/>
          </w:tcPr>
          <w:p>
            <w:pPr>
              <w:jc w:val="right"/>
              <w:ind w:right="136"/>
              <w:spacing w:after="0"/>
              <w:rPr>
                <w:sz w:val="20"/>
                <w:szCs w:val="20"/>
                <w:color w:val="auto"/>
              </w:rPr>
            </w:pPr>
            <w:r>
              <w:rPr>
                <w:rFonts w:ascii="Arial" w:cs="Arial" w:eastAsia="Arial" w:hAnsi="Arial"/>
                <w:sz w:val="13"/>
                <w:szCs w:val="13"/>
                <w:color w:val="auto"/>
              </w:rPr>
              <w:t>1.0000</w:t>
            </w:r>
          </w:p>
        </w:tc>
        <w:tc>
          <w:tcPr>
            <w:tcW w:w="340" w:type="dxa"/>
            <w:vAlign w:val="bottom"/>
          </w:tcPr>
          <w:p>
            <w:pPr>
              <w:spacing w:after="0"/>
              <w:rPr>
                <w:sz w:val="13"/>
                <w:szCs w:val="13"/>
                <w:color w:val="auto"/>
              </w:rPr>
            </w:pPr>
          </w:p>
        </w:tc>
      </w:tr>
      <w:tr>
        <w:trPr>
          <w:trHeight w:val="154"/>
        </w:trPr>
        <w:tc>
          <w:tcPr>
            <w:tcW w:w="2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Estimated probability of satisfying milestones</w:t>
            </w:r>
          </w:p>
        </w:tc>
        <w:tc>
          <w:tcPr>
            <w:tcW w:w="2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340" w:type="dxa"/>
            <w:vAlign w:val="bottom"/>
          </w:tcPr>
          <w:p>
            <w:pPr>
              <w:spacing w:after="0"/>
              <w:rPr>
                <w:sz w:val="13"/>
                <w:szCs w:val="13"/>
                <w:color w:val="auto"/>
              </w:rPr>
            </w:pPr>
          </w:p>
        </w:tc>
      </w:tr>
      <w:tr>
        <w:trPr>
          <w:trHeight w:val="615"/>
        </w:trPr>
        <w:tc>
          <w:tcPr>
            <w:tcW w:w="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40" w:type="dxa"/>
            <w:vAlign w:val="bottom"/>
          </w:tcPr>
          <w:p>
            <w:pPr>
              <w:jc w:val="right"/>
              <w:ind w:right="1876"/>
              <w:spacing w:after="0"/>
              <w:rPr>
                <w:sz w:val="20"/>
                <w:szCs w:val="20"/>
                <w:color w:val="auto"/>
              </w:rPr>
            </w:pPr>
            <w:r>
              <w:rPr>
                <w:rFonts w:ascii="Arial" w:cs="Arial" w:eastAsia="Arial" w:hAnsi="Arial"/>
                <w:sz w:val="13"/>
                <w:szCs w:val="13"/>
                <w:color w:val="auto"/>
              </w:rPr>
              <w:t>F-21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46" w:name="page47"/>
    <w:bookmarkEnd w:id="46"/>
    <w:p>
      <w:pPr>
        <w:ind w:left="20" w:right="119" w:firstLine="231"/>
        <w:spacing w:after="0" w:line="257" w:lineRule="auto"/>
        <w:rPr>
          <w:sz w:val="20"/>
          <w:szCs w:val="20"/>
          <w:color w:val="auto"/>
        </w:rPr>
      </w:pPr>
      <w:r>
        <w:rPr>
          <w:rFonts w:ascii="Arial" w:cs="Arial" w:eastAsia="Arial" w:hAnsi="Arial"/>
          <w:sz w:val="13"/>
          <w:szCs w:val="13"/>
          <w:color w:val="auto"/>
        </w:rPr>
        <w:t>Fair value of the Series D and Series E contingent forward contracts on the issuance date are valued by a third-party valuation firm using Probability-Weighted Expected Return Method (“PWERM”) framework, and the Option Pricing Method (“OPM”) to allocate the equity value in the scenarios where the Series D and Series E convertible preferred share additional tranche issuance milestones are satisfied.</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7 — CONVERTIBLE PREFERRED SHARE WARRANT LIABILITY</w:t>
      </w:r>
    </w:p>
    <w:p>
      <w:pPr>
        <w:spacing w:after="0" w:line="162"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In March and September 2017, in connection with the Long-Term Debt to Trinity, the Company issued two convertible preferred share warrants (the “Warrants”) to purchase a total of 1,546,799 shares of Series D convertible preferred shares, with an exercise price of $1.94 per share. The Warrants are exercisable for 10 years from the date of issuance and expire in 2027 or earlier upon the consummation of an initial public offering (“IPO”). The Company determined that these Warrants met the requirements for liability classification under ASC 480, Distinguishing Liabilities from Equity, due to the Warrants holders having a put-right and the Company having an obligation to settle the Warrants by transferring cash.</w:t>
      </w:r>
    </w:p>
    <w:p>
      <w:pPr>
        <w:spacing w:after="0" w:line="141" w:lineRule="exact"/>
        <w:rPr>
          <w:sz w:val="20"/>
          <w:szCs w:val="20"/>
          <w:color w:val="auto"/>
        </w:rPr>
      </w:pPr>
    </w:p>
    <w:p>
      <w:pPr>
        <w:ind w:left="20" w:right="239" w:firstLine="231"/>
        <w:spacing w:after="0" w:line="250" w:lineRule="auto"/>
        <w:rPr>
          <w:sz w:val="20"/>
          <w:szCs w:val="20"/>
          <w:color w:val="auto"/>
        </w:rPr>
      </w:pPr>
      <w:r>
        <w:rPr>
          <w:rFonts w:ascii="Arial" w:cs="Arial" w:eastAsia="Arial" w:hAnsi="Arial"/>
          <w:sz w:val="13"/>
          <w:szCs w:val="13"/>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and 2019, 1,546,799 shares of the Warrants were outstanding with a fair value of $3.85 and $1.13 per share, and aggregate fair value of $3.0 million and $1.8 million, respectively. The Company recorded $1.2 million and $0.4 million as loss related to fair value remeasurements of the warrants in the consolidated statements of operations for the years ended December 31, 2020 and 2019,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assumptions used in determining the fair value of convertible preferred share warrants at December 31, 2020, and 2019 are as follows: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220" w:type="dxa"/>
            <w:vAlign w:val="bottom"/>
          </w:tcPr>
          <w:p>
            <w:pPr>
              <w:spacing w:after="0"/>
              <w:rPr>
                <w:sz w:val="10"/>
                <w:szCs w:val="10"/>
                <w:color w:val="auto"/>
              </w:rPr>
            </w:pPr>
          </w:p>
        </w:tc>
        <w:tc>
          <w:tcPr>
            <w:tcW w:w="1440" w:type="dxa"/>
            <w:vAlign w:val="bottom"/>
            <w:tcBorders>
              <w:bottom w:val="single" w:sz="8" w:color="auto"/>
            </w:tcBorders>
            <w:gridSpan w:val="3"/>
          </w:tcPr>
          <w:p>
            <w:pPr>
              <w:ind w:left="560"/>
              <w:spacing w:after="0"/>
              <w:rPr>
                <w:sz w:val="20"/>
                <w:szCs w:val="20"/>
                <w:color w:val="auto"/>
              </w:rPr>
            </w:pPr>
            <w:r>
              <w:rPr>
                <w:rFonts w:ascii="Arial" w:cs="Arial" w:eastAsia="Arial" w:hAnsi="Arial"/>
                <w:sz w:val="10"/>
                <w:szCs w:val="10"/>
                <w:b w:val="1"/>
                <w:bCs w:val="1"/>
                <w:color w:val="auto"/>
                <w:w w:val="92"/>
              </w:rPr>
              <w:t>As of December 31,</w:t>
            </w: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5"/>
        </w:trPr>
        <w:tc>
          <w:tcPr>
            <w:tcW w:w="6220" w:type="dxa"/>
            <w:vAlign w:val="bottom"/>
            <w:tcBorders>
              <w:bottom w:val="single" w:sz="8" w:color="CCEEFF"/>
            </w:tcBorders>
          </w:tcPr>
          <w:p>
            <w:pPr>
              <w:spacing w:after="0"/>
              <w:rPr>
                <w:sz w:val="8"/>
                <w:szCs w:val="8"/>
                <w:color w:val="auto"/>
              </w:rPr>
            </w:pPr>
          </w:p>
        </w:tc>
        <w:tc>
          <w:tcPr>
            <w:tcW w:w="880" w:type="dxa"/>
            <w:vAlign w:val="bottom"/>
            <w:tcBorders>
              <w:bottom w:val="single" w:sz="8" w:color="auto"/>
            </w:tcBorders>
          </w:tcPr>
          <w:p>
            <w:pPr>
              <w:jc w:val="right"/>
              <w:ind w:right="280"/>
              <w:spacing w:after="0" w:line="95"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w w:val="89"/>
              </w:rPr>
              <w:t>2019</w:t>
            </w:r>
          </w:p>
        </w:tc>
        <w:tc>
          <w:tcPr>
            <w:tcW w:w="160" w:type="dxa"/>
            <w:vAlign w:val="bottom"/>
            <w:tcBorders>
              <w:bottom w:val="single" w:sz="8" w:color="CCEEFF"/>
            </w:tcBorders>
          </w:tcPr>
          <w:p>
            <w:pPr>
              <w:spacing w:after="0"/>
              <w:rPr>
                <w:sz w:val="8"/>
                <w:szCs w:val="8"/>
                <w:color w:val="auto"/>
              </w:rPr>
            </w:pPr>
          </w:p>
        </w:tc>
      </w:tr>
      <w:tr>
        <w:trPr>
          <w:trHeight w:val="143"/>
        </w:trPr>
        <w:tc>
          <w:tcPr>
            <w:tcW w:w="6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Volatility</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50.0</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w w:val="74"/>
              </w:rPr>
              <w:t>%</w:t>
            </w: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55.0</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74"/>
              </w:rPr>
              <w:t>%</w:t>
            </w:r>
          </w:p>
        </w:tc>
      </w:tr>
      <w:tr>
        <w:trPr>
          <w:trHeight w:val="154"/>
        </w:trPr>
        <w:tc>
          <w:tcPr>
            <w:tcW w:w="6220" w:type="dxa"/>
            <w:vAlign w:val="bottom"/>
          </w:tcPr>
          <w:p>
            <w:pPr>
              <w:spacing w:after="0"/>
              <w:rPr>
                <w:sz w:val="20"/>
                <w:szCs w:val="20"/>
                <w:color w:val="auto"/>
              </w:rPr>
            </w:pPr>
            <w:r>
              <w:rPr>
                <w:rFonts w:ascii="Arial" w:cs="Arial" w:eastAsia="Arial" w:hAnsi="Arial"/>
                <w:sz w:val="13"/>
                <w:szCs w:val="13"/>
                <w:color w:val="auto"/>
              </w:rPr>
              <w:t>Expected term (in years)</w:t>
            </w:r>
          </w:p>
        </w:tc>
        <w:tc>
          <w:tcPr>
            <w:tcW w:w="1440" w:type="dxa"/>
            <w:vAlign w:val="bottom"/>
            <w:gridSpan w:val="3"/>
          </w:tcPr>
          <w:p>
            <w:pPr>
              <w:jc w:val="right"/>
              <w:ind w:right="600"/>
              <w:spacing w:after="0"/>
              <w:rPr>
                <w:sz w:val="20"/>
                <w:szCs w:val="20"/>
                <w:color w:val="auto"/>
              </w:rPr>
            </w:pPr>
            <w:r>
              <w:rPr>
                <w:rFonts w:ascii="Arial" w:cs="Arial" w:eastAsia="Arial" w:hAnsi="Arial"/>
                <w:sz w:val="13"/>
                <w:szCs w:val="13"/>
                <w:color w:val="auto"/>
              </w:rPr>
              <w:t>0.5 – 1.5</w:t>
            </w:r>
          </w:p>
        </w:tc>
        <w:tc>
          <w:tcPr>
            <w:tcW w:w="560" w:type="dxa"/>
            <w:vAlign w:val="bottom"/>
          </w:tcPr>
          <w:p>
            <w:pPr>
              <w:jc w:val="right"/>
              <w:spacing w:after="0"/>
              <w:rPr>
                <w:sz w:val="20"/>
                <w:szCs w:val="20"/>
                <w:color w:val="auto"/>
              </w:rPr>
            </w:pPr>
            <w:r>
              <w:rPr>
                <w:rFonts w:ascii="Arial" w:cs="Arial" w:eastAsia="Arial" w:hAnsi="Arial"/>
                <w:sz w:val="13"/>
                <w:szCs w:val="13"/>
                <w:color w:val="auto"/>
              </w:rPr>
              <w:t>2.3</w:t>
            </w:r>
          </w:p>
        </w:tc>
        <w:tc>
          <w:tcPr>
            <w:tcW w:w="160" w:type="dxa"/>
            <w:vAlign w:val="bottom"/>
          </w:tcPr>
          <w:p>
            <w:pPr>
              <w:spacing w:after="0"/>
              <w:rPr>
                <w:sz w:val="13"/>
                <w:szCs w:val="13"/>
                <w:color w:val="auto"/>
              </w:rPr>
            </w:pPr>
          </w:p>
        </w:tc>
      </w:tr>
      <w:tr>
        <w:trPr>
          <w:trHeight w:val="154"/>
        </w:trPr>
        <w:tc>
          <w:tcPr>
            <w:tcW w:w="6220" w:type="dxa"/>
            <w:vAlign w:val="bottom"/>
            <w:shd w:val="clear" w:color="auto" w:fill="CCEEFF"/>
          </w:tcPr>
          <w:p>
            <w:pPr>
              <w:spacing w:after="0"/>
              <w:rPr>
                <w:sz w:val="20"/>
                <w:szCs w:val="20"/>
                <w:color w:val="auto"/>
              </w:rPr>
            </w:pPr>
            <w:r>
              <w:rPr>
                <w:rFonts w:ascii="Arial" w:cs="Arial" w:eastAsia="Arial" w:hAnsi="Arial"/>
                <w:sz w:val="13"/>
                <w:szCs w:val="13"/>
                <w:color w:val="auto"/>
              </w:rPr>
              <w:t>Risk-free rate</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0.09 – 0.12 %</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3"/>
                <w:szCs w:val="13"/>
                <w:color w:val="auto"/>
              </w:rPr>
              <w:t>1.59 %</w:t>
            </w:r>
          </w:p>
        </w:tc>
      </w:tr>
      <w:tr>
        <w:trPr>
          <w:trHeight w:val="162"/>
        </w:trPr>
        <w:tc>
          <w:tcPr>
            <w:tcW w:w="6220" w:type="dxa"/>
            <w:vAlign w:val="bottom"/>
          </w:tcPr>
          <w:p>
            <w:pPr>
              <w:spacing w:after="0"/>
              <w:rPr>
                <w:sz w:val="20"/>
                <w:szCs w:val="20"/>
                <w:color w:val="auto"/>
              </w:rPr>
            </w:pPr>
            <w:r>
              <w:rPr>
                <w:rFonts w:ascii="Arial" w:cs="Arial" w:eastAsia="Arial" w:hAnsi="Arial"/>
                <w:sz w:val="13"/>
                <w:szCs w:val="13"/>
                <w:color w:val="auto"/>
              </w:rPr>
              <w:t>Expected dividend rate</w:t>
            </w:r>
          </w:p>
        </w:tc>
        <w:tc>
          <w:tcPr>
            <w:tcW w:w="1120" w:type="dxa"/>
            <w:vAlign w:val="bottom"/>
            <w:gridSpan w:val="2"/>
          </w:tcPr>
          <w:p>
            <w:pPr>
              <w:jc w:val="right"/>
              <w:ind w:right="81"/>
              <w:spacing w:after="0"/>
              <w:rPr>
                <w:sz w:val="20"/>
                <w:szCs w:val="20"/>
                <w:color w:val="auto"/>
              </w:rPr>
            </w:pPr>
            <w:r>
              <w:rPr>
                <w:rFonts w:ascii="Arial" w:cs="Arial" w:eastAsia="Arial" w:hAnsi="Arial"/>
                <w:sz w:val="13"/>
                <w:szCs w:val="13"/>
                <w:color w:val="auto"/>
              </w:rPr>
              <w:t>0.0 %</w:t>
            </w:r>
          </w:p>
        </w:tc>
        <w:tc>
          <w:tcPr>
            <w:tcW w:w="320" w:type="dxa"/>
            <w:vAlign w:val="bottom"/>
          </w:tcPr>
          <w:p>
            <w:pPr>
              <w:spacing w:after="0"/>
              <w:rPr>
                <w:sz w:val="14"/>
                <w:szCs w:val="14"/>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3"/>
                <w:szCs w:val="13"/>
                <w:color w:val="auto"/>
              </w:rPr>
              <w:t>0.0 %</w:t>
            </w:r>
          </w:p>
        </w:tc>
      </w:tr>
    </w:tbl>
    <w:p>
      <w:pPr>
        <w:spacing w:after="0" w:line="15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8 — CONVERTIBLE PREFERRED SHARES AND SHAREHOLDERS’ DEFICIT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Convertible Preferred Shares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Convertible preferred shares are carried at its issuance price, net of issuance costs.</w:t>
      </w:r>
    </w:p>
    <w:p>
      <w:pPr>
        <w:spacing w:after="0" w:line="158" w:lineRule="exact"/>
        <w:rPr>
          <w:sz w:val="20"/>
          <w:szCs w:val="20"/>
          <w:color w:val="auto"/>
        </w:rPr>
      </w:pPr>
    </w:p>
    <w:p>
      <w:pPr>
        <w:jc w:val="both"/>
        <w:ind w:left="20" w:right="379" w:firstLine="231"/>
        <w:spacing w:after="0" w:line="267" w:lineRule="auto"/>
        <w:rPr>
          <w:sz w:val="20"/>
          <w:szCs w:val="20"/>
          <w:color w:val="auto"/>
        </w:rPr>
      </w:pPr>
      <w:r>
        <w:rPr>
          <w:rFonts w:ascii="Arial" w:cs="Arial" w:eastAsia="Arial" w:hAnsi="Arial"/>
          <w:sz w:val="13"/>
          <w:szCs w:val="13"/>
          <w:color w:val="auto"/>
        </w:rPr>
        <w:t>In 2014 through 2020, the Company issued Series A, Series B, Series C, and Series D and Series E convertible preferred shares (“Series A,” “Series B,” “Series C,” “Series D,” “Series E,” respectively) (collectively, the “Convertible Preferred Shares”).</w:t>
      </w:r>
    </w:p>
    <w:p>
      <w:pPr>
        <w:spacing w:after="0" w:line="129"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as follows: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b w:val="1"/>
          <w:bCs w:val="1"/>
          <w:color w:val="auto"/>
        </w:rPr>
        <w:t>First Company Repurchase</w:t>
      </w:r>
    </w:p>
    <w:p>
      <w:pPr>
        <w:spacing w:after="0" w:line="162" w:lineRule="exact"/>
        <w:rPr>
          <w:sz w:val="20"/>
          <w:szCs w:val="20"/>
          <w:color w:val="auto"/>
        </w:rPr>
      </w:pPr>
    </w:p>
    <w:p>
      <w:pPr>
        <w:ind w:left="20" w:right="59" w:firstLine="229"/>
        <w:spacing w:after="0" w:line="253" w:lineRule="auto"/>
        <w:rPr>
          <w:sz w:val="20"/>
          <w:szCs w:val="20"/>
          <w:color w:val="auto"/>
        </w:rPr>
      </w:pPr>
      <w:r>
        <w:rPr>
          <w:rFonts w:ascii="Arial" w:cs="Arial" w:eastAsia="Arial" w:hAnsi="Arial"/>
          <w:sz w:val="13"/>
          <w:szCs w:val="13"/>
          <w:color w:val="auto"/>
        </w:rPr>
        <w:t>Concurrent with the execution of the Security Purchase Agreement with PIF, $10.0 million of the proceeds from the issuance of the Convertible Notes were utilized to repurchase from the Sellers 1,888,572 shares of Series C at $5.30 per share. As the carrying amount of each share of Series C was $2.42 with an aggregate carrying amount of Series C repurchased at $4.6 million, the Company recognized $5.4 million as a reduction of additional paid-in capital under shareholders’ equity in the consolidated balance sheet as of December 31, 2018, related to the excess fair value paid over carrying amount.</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Second Company Repurchase</w:t>
      </w:r>
    </w:p>
    <w:p>
      <w:pPr>
        <w:spacing w:after="0" w:line="162" w:lineRule="exact"/>
        <w:rPr>
          <w:sz w:val="20"/>
          <w:szCs w:val="20"/>
          <w:color w:val="auto"/>
        </w:rPr>
      </w:pPr>
    </w:p>
    <w:p>
      <w:pPr>
        <w:ind w:left="20" w:right="39" w:firstLine="231"/>
        <w:spacing w:after="0" w:line="288" w:lineRule="auto"/>
        <w:rPr>
          <w:sz w:val="20"/>
          <w:szCs w:val="20"/>
          <w:color w:val="auto"/>
        </w:rPr>
      </w:pPr>
      <w:r>
        <w:rPr>
          <w:rFonts w:ascii="Arial" w:cs="Arial" w:eastAsia="Arial" w:hAnsi="Arial"/>
          <w:sz w:val="12"/>
          <w:szCs w:val="12"/>
          <w:color w:val="auto"/>
        </w:rPr>
        <w:t>The Company agreed to repurchase 12,275,714 shares of Series C from the Sellers at a price equal to $5.30 per share, aggregating to $65.0 million on a date that is no later than 6 months from April 2019 (subject to contingencies defined within the Security Purchase Agreement with PIF) of the Series D Preferred Financing. The Repurchase Agreement substantially modified the terms of the Series C shares subject to repurchase and constitutes an extinguishment.</w:t>
      </w:r>
    </w:p>
    <w:p>
      <w:pPr>
        <w:spacing w:after="0" w:line="118" w:lineRule="exact"/>
        <w:rPr>
          <w:sz w:val="20"/>
          <w:szCs w:val="20"/>
          <w:color w:val="auto"/>
        </w:rPr>
      </w:pPr>
    </w:p>
    <w:p>
      <w:pPr>
        <w:ind w:left="20" w:right="59" w:firstLine="231"/>
        <w:spacing w:after="0" w:line="309" w:lineRule="auto"/>
        <w:rPr>
          <w:sz w:val="20"/>
          <w:szCs w:val="20"/>
          <w:color w:val="auto"/>
        </w:rPr>
      </w:pPr>
      <w:r>
        <w:rPr>
          <w:rFonts w:ascii="Arial" w:cs="Arial" w:eastAsia="Arial" w:hAnsi="Arial"/>
          <w:sz w:val="12"/>
          <w:szCs w:val="12"/>
          <w:color w:val="auto"/>
        </w:rPr>
        <w:t>The Company used the put option pricing model to compute the fair value of the contingent ‘Second Company Repurchase’ feature (“contingent repurchase feature”) and applied a 95% probability of successfully achieving the contingencies. Fair value of the contingent repurchase feature was $3.79 per share.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key inputs used in determining the fair value of the contingent repurchase feature as of the extinguishment date in September 2018, are as follows:</w:t>
      </w:r>
    </w:p>
    <w:p>
      <w:pPr>
        <w:spacing w:after="0" w:line="17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Effective date</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9/30/2018</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Current price</w:t>
            </w:r>
          </w:p>
        </w:tc>
        <w:tc>
          <w:tcPr>
            <w:tcW w:w="350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6"/>
              <w:spacing w:after="0"/>
              <w:rPr>
                <w:sz w:val="20"/>
                <w:szCs w:val="20"/>
                <w:color w:val="auto"/>
              </w:rPr>
            </w:pPr>
            <w:r>
              <w:rPr>
                <w:rFonts w:ascii="Arial" w:cs="Arial" w:eastAsia="Arial" w:hAnsi="Arial"/>
                <w:sz w:val="13"/>
                <w:szCs w:val="13"/>
                <w:color w:val="auto"/>
              </w:rPr>
              <w:t>1.24</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35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5.30</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Initial term</w:t>
            </w:r>
          </w:p>
        </w:tc>
        <w:tc>
          <w:tcPr>
            <w:tcW w:w="3500" w:type="dxa"/>
            <w:vAlign w:val="bottom"/>
          </w:tcPr>
          <w:p>
            <w:pPr>
              <w:spacing w:after="0"/>
              <w:rPr>
                <w:sz w:val="13"/>
                <w:szCs w:val="13"/>
                <w:color w:val="auto"/>
              </w:rPr>
            </w:pPr>
          </w:p>
        </w:tc>
        <w:tc>
          <w:tcPr>
            <w:tcW w:w="940" w:type="dxa"/>
            <w:vAlign w:val="bottom"/>
          </w:tcPr>
          <w:p>
            <w:pPr>
              <w:ind w:left="260"/>
              <w:spacing w:after="0"/>
              <w:rPr>
                <w:sz w:val="20"/>
                <w:szCs w:val="20"/>
                <w:color w:val="auto"/>
              </w:rPr>
            </w:pPr>
            <w:r>
              <w:rPr>
                <w:rFonts w:ascii="Arial" w:cs="Arial" w:eastAsia="Arial" w:hAnsi="Arial"/>
                <w:sz w:val="13"/>
                <w:szCs w:val="13"/>
                <w:color w:val="auto"/>
              </w:rPr>
              <w:t>0.5 Years</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54"/>
        </w:trPr>
        <w:tc>
          <w:tcPr>
            <w:tcW w:w="3940" w:type="dxa"/>
            <w:vAlign w:val="bottom"/>
          </w:tcPr>
          <w:p>
            <w:pPr>
              <w:spacing w:after="0"/>
              <w:rPr>
                <w:sz w:val="20"/>
                <w:szCs w:val="20"/>
                <w:color w:val="auto"/>
              </w:rPr>
            </w:pPr>
            <w:r>
              <w:rPr>
                <w:rFonts w:ascii="Arial" w:cs="Arial" w:eastAsia="Arial" w:hAnsi="Arial"/>
                <w:sz w:val="13"/>
                <w:szCs w:val="13"/>
                <w:color w:val="auto"/>
              </w:rPr>
              <w:t>Risk free rate</w:t>
            </w:r>
          </w:p>
        </w:tc>
        <w:tc>
          <w:tcPr>
            <w:tcW w:w="3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2.36 %</w:t>
            </w:r>
          </w:p>
        </w:tc>
      </w:tr>
      <w:tr>
        <w:trPr>
          <w:trHeight w:val="154"/>
        </w:trPr>
        <w:tc>
          <w:tcPr>
            <w:tcW w:w="394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35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0.00 %</w:t>
            </w:r>
          </w:p>
        </w:tc>
      </w:tr>
    </w:tbl>
    <w:p>
      <w:pPr>
        <w:spacing w:after="0" w:line="145" w:lineRule="exact"/>
        <w:rPr>
          <w:sz w:val="20"/>
          <w:szCs w:val="20"/>
          <w:color w:val="auto"/>
        </w:rPr>
      </w:pPr>
    </w:p>
    <w:p>
      <w:pPr>
        <w:ind w:left="20" w:right="159" w:firstLine="231"/>
        <w:spacing w:after="0" w:line="253" w:lineRule="auto"/>
        <w:rPr>
          <w:sz w:val="20"/>
          <w:szCs w:val="20"/>
          <w:color w:val="auto"/>
        </w:rPr>
      </w:pPr>
      <w:r>
        <w:rPr>
          <w:rFonts w:ascii="Arial" w:cs="Arial" w:eastAsia="Arial" w:hAnsi="Arial"/>
          <w:sz w:val="13"/>
          <w:szCs w:val="13"/>
          <w:color w:val="auto"/>
        </w:rPr>
        <w:t>The fair value of the Series C preferred shares prior to extinguishment was $1.24 per share and was computed based on the Probability-Weighted Expected Return Method (PWERM) framework, using the Option Pricing Method (OPM) to allocate the equity value in the scenarios where CFIUS approval is received. The range of inputs for the various scenarios used in determining the fair value of the Series C convertible preferred shares using OPM as of the extinguishment date in September 2018, is as follows:</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Price per share</w:t>
            </w:r>
          </w:p>
        </w:tc>
        <w:tc>
          <w:tcPr>
            <w:tcW w:w="3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2.06 – 2.42</w:t>
            </w:r>
          </w:p>
        </w:tc>
      </w:tr>
      <w:tr>
        <w:trPr>
          <w:trHeight w:val="154"/>
        </w:trPr>
        <w:tc>
          <w:tcPr>
            <w:tcW w:w="3880" w:type="dxa"/>
            <w:vAlign w:val="bottom"/>
          </w:tcPr>
          <w:p>
            <w:pPr>
              <w:spacing w:after="0"/>
              <w:rPr>
                <w:sz w:val="20"/>
                <w:szCs w:val="20"/>
                <w:color w:val="auto"/>
              </w:rPr>
            </w:pPr>
            <w:r>
              <w:rPr>
                <w:rFonts w:ascii="Arial" w:cs="Arial" w:eastAsia="Arial" w:hAnsi="Arial"/>
                <w:sz w:val="13"/>
                <w:szCs w:val="13"/>
                <w:color w:val="auto"/>
              </w:rPr>
              <w:t>Term</w:t>
            </w:r>
          </w:p>
        </w:tc>
        <w:tc>
          <w:tcPr>
            <w:tcW w:w="3360" w:type="dxa"/>
            <w:vAlign w:val="bottom"/>
          </w:tcPr>
          <w:p>
            <w:pPr>
              <w:spacing w:after="0"/>
              <w:rPr>
                <w:sz w:val="13"/>
                <w:szCs w:val="13"/>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1.7 – 2.4 Years</w:t>
            </w:r>
          </w:p>
        </w:tc>
      </w:tr>
      <w:tr>
        <w:trPr>
          <w:trHeight w:val="154"/>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62"/>
        </w:trPr>
        <w:tc>
          <w:tcPr>
            <w:tcW w:w="3880" w:type="dxa"/>
            <w:vAlign w:val="bottom"/>
          </w:tcPr>
          <w:p>
            <w:pPr>
              <w:spacing w:after="0"/>
              <w:rPr>
                <w:sz w:val="20"/>
                <w:szCs w:val="20"/>
                <w:color w:val="auto"/>
              </w:rPr>
            </w:pPr>
            <w:r>
              <w:rPr>
                <w:rFonts w:ascii="Arial" w:cs="Arial" w:eastAsia="Arial" w:hAnsi="Arial"/>
                <w:sz w:val="13"/>
                <w:szCs w:val="13"/>
                <w:color w:val="auto"/>
              </w:rPr>
              <w:t>Risk free rate</w:t>
            </w:r>
          </w:p>
        </w:tc>
        <w:tc>
          <w:tcPr>
            <w:tcW w:w="336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2.71% – 2.81%</w:t>
            </w:r>
          </w:p>
        </w:tc>
      </w:tr>
    </w:tbl>
    <w:p>
      <w:pPr>
        <w:spacing w:after="0" w:line="137" w:lineRule="exact"/>
        <w:rPr>
          <w:sz w:val="20"/>
          <w:szCs w:val="20"/>
          <w:color w:val="auto"/>
        </w:rPr>
      </w:pPr>
    </w:p>
    <w:p>
      <w:pPr>
        <w:ind w:left="20" w:right="179" w:firstLine="231"/>
        <w:spacing w:after="0" w:line="267" w:lineRule="auto"/>
        <w:rPr>
          <w:sz w:val="20"/>
          <w:szCs w:val="20"/>
          <w:color w:val="auto"/>
        </w:rPr>
      </w:pPr>
      <w:r>
        <w:rPr>
          <w:rFonts w:ascii="Arial" w:cs="Arial" w:eastAsia="Arial" w:hAnsi="Arial"/>
          <w:sz w:val="13"/>
          <w:szCs w:val="13"/>
          <w:color w:val="auto"/>
        </w:rPr>
        <w:t>The fair value of the Series C preferred shares after the extinguishment was determined as $5.03 per share and was computed as the sum of the fair value of Series C of $1.24 per share as of the extinguishment date and the fair value of the contingent repurchase feature of $3.79 per share.</w:t>
      </w:r>
    </w:p>
    <w:p>
      <w:pPr>
        <w:spacing w:after="0" w:line="129" w:lineRule="exact"/>
        <w:rPr>
          <w:sz w:val="20"/>
          <w:szCs w:val="20"/>
          <w:color w:val="auto"/>
        </w:rPr>
      </w:pPr>
    </w:p>
    <w:p>
      <w:pPr>
        <w:ind w:left="20" w:right="59" w:firstLine="229"/>
        <w:spacing w:after="0" w:line="253" w:lineRule="auto"/>
        <w:rPr>
          <w:sz w:val="20"/>
          <w:szCs w:val="20"/>
          <w:color w:val="auto"/>
        </w:rPr>
      </w:pPr>
      <w:r>
        <w:rPr>
          <w:rFonts w:ascii="Arial" w:cs="Arial" w:eastAsia="Arial" w:hAnsi="Arial"/>
          <w:sz w:val="13"/>
          <w:szCs w:val="13"/>
          <w:color w:val="auto"/>
        </w:rPr>
        <w:t>As the carrying amount of each share of Series C was $2.42 in September 2018 with an aggregate carrying amount of Series C shares extinguished at $32.0 million, the Company recognized $9.4 million as a reduction of additional paid-in capital and the remaining $22.6 million as an increase to accumulated deficit under shareholders’ equity in the consolidated balance sheet as of December 31, 2018 as the Company did not have sufficient additional paid-in capital as of the extinguishment date to offset the excess of the fair value over the carrying amount.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48" w:name="page49"/>
    <w:bookmarkEnd w:id="48"/>
    <w:p>
      <w:pPr>
        <w:jc w:val="both"/>
        <w:ind w:left="20" w:right="219" w:firstLine="231"/>
        <w:spacing w:after="0" w:line="325" w:lineRule="auto"/>
        <w:rPr>
          <w:sz w:val="20"/>
          <w:szCs w:val="20"/>
          <w:color w:val="auto"/>
        </w:rPr>
      </w:pPr>
      <w:r>
        <w:rPr>
          <w:rFonts w:ascii="Arial" w:cs="Arial" w:eastAsia="Arial" w:hAnsi="Arial"/>
          <w:sz w:val="11"/>
          <w:szCs w:val="11"/>
          <w:color w:val="auto"/>
        </w:rPr>
        <w:t>In June 2019, the Company and the Sellers amended and restated the September 2018 Repurchase Agreement related to the Second Company Repurchase. Pursuant to the terms, the Company repurchased 9,442,858 shares of Series C at $5.30 per share and the remaining 2,832,856 shares subject to the Second Company Repurchase were extinguished and the Company was released of any and all obligation to purchase any shares in excess of the 9,442,858 subject to redemption.</w:t>
      </w:r>
    </w:p>
    <w:p>
      <w:pPr>
        <w:spacing w:after="0" w:line="101" w:lineRule="exact"/>
        <w:rPr>
          <w:sz w:val="20"/>
          <w:szCs w:val="20"/>
          <w:color w:val="auto"/>
        </w:rPr>
      </w:pPr>
    </w:p>
    <w:p>
      <w:pPr>
        <w:ind w:left="20" w:right="139" w:firstLine="231"/>
        <w:spacing w:after="0" w:line="251" w:lineRule="auto"/>
        <w:rPr>
          <w:sz w:val="20"/>
          <w:szCs w:val="20"/>
          <w:color w:val="auto"/>
        </w:rPr>
      </w:pPr>
      <w:r>
        <w:rPr>
          <w:rFonts w:ascii="Arial" w:cs="Arial" w:eastAsia="Arial" w:hAnsi="Arial"/>
          <w:sz w:val="13"/>
          <w:szCs w:val="13"/>
          <w:color w:val="auto"/>
        </w:rPr>
        <w:t>As the carrying amount of each share of Series C was $5.03 in June 2019 and the total carrying amount of Series C repurchased was $47.5 million, the Company recognized $2.5 million as additional paid-in capital under shareholders’ equity in the consolidated balance sheet as of December 31, 2019, related to the excess of fair value paid over carrying amount. The carrying amount of 2,832,856 shares extinguished in June 2019 was $14.3 million and the fair value was $1.36 per share, the Company recognized $10.4 million as an increase to additional paid in capital under shareholders’ equity in the consolidated balance sheet as of December 31, 2019, related to the difference between fair value after extinguishment and carrying amount.</w:t>
      </w:r>
    </w:p>
    <w:p>
      <w:pPr>
        <w:spacing w:after="0" w:line="141" w:lineRule="exact"/>
        <w:rPr>
          <w:sz w:val="20"/>
          <w:szCs w:val="20"/>
          <w:color w:val="auto"/>
        </w:rPr>
      </w:pPr>
    </w:p>
    <w:p>
      <w:pPr>
        <w:ind w:left="20" w:right="79" w:firstLine="231"/>
        <w:spacing w:after="0" w:line="257" w:lineRule="auto"/>
        <w:rPr>
          <w:sz w:val="20"/>
          <w:szCs w:val="20"/>
          <w:color w:val="auto"/>
        </w:rPr>
      </w:pPr>
      <w:r>
        <w:rPr>
          <w:rFonts w:ascii="Arial" w:cs="Arial" w:eastAsia="Arial" w:hAnsi="Arial"/>
          <w:sz w:val="13"/>
          <w:szCs w:val="13"/>
          <w:color w:val="auto"/>
        </w:rPr>
        <w:t>The fair value of the Series C preferred shares after extinguishment in June 2019 was $1.36 per share and was computed based on the PWERM framework, using the OPM to allocate the equity value in the scenarios where CFIUS approval is received and the Current Value Method or CVM to allocate the equity value in the scenario where CFIUS approval is not received.</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range of inputs for the various scenarios used in determining the fair value of the Series C convertible preferred shares using OPM as of the extinguishment date, in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June 2019, was as follows:</w:t>
      </w:r>
    </w:p>
    <w:p>
      <w:pPr>
        <w:spacing w:after="0" w:line="168" w:lineRule="exact"/>
        <w:rPr>
          <w:sz w:val="20"/>
          <w:szCs w:val="20"/>
          <w:color w:val="auto"/>
        </w:rPr>
      </w:pPr>
    </w:p>
    <w:tbl>
      <w:tblPr>
        <w:tblLayout w:type="fixed"/>
        <w:tblInd w:w="260" w:type="dxa"/>
        <w:tblCellMar>
          <w:top w:w="0" w:type="dxa"/>
          <w:left w:w="0" w:type="dxa"/>
          <w:bottom w:w="0" w:type="dxa"/>
          <w:right w:w="0" w:type="dxa"/>
        </w:tblCellMar>
      </w:tblPr>
      <w:tr>
        <w:trPr>
          <w:trHeight w:val="154"/>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Price per share</w:t>
            </w:r>
          </w:p>
        </w:tc>
        <w:tc>
          <w:tcPr>
            <w:tcW w:w="33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2.42</w:t>
            </w:r>
          </w:p>
        </w:tc>
      </w:tr>
      <w:tr>
        <w:trPr>
          <w:trHeight w:val="154"/>
        </w:trPr>
        <w:tc>
          <w:tcPr>
            <w:tcW w:w="3880" w:type="dxa"/>
            <w:vAlign w:val="bottom"/>
          </w:tcPr>
          <w:p>
            <w:pPr>
              <w:spacing w:after="0"/>
              <w:rPr>
                <w:sz w:val="20"/>
                <w:szCs w:val="20"/>
                <w:color w:val="auto"/>
              </w:rPr>
            </w:pPr>
            <w:r>
              <w:rPr>
                <w:rFonts w:ascii="Arial" w:cs="Arial" w:eastAsia="Arial" w:hAnsi="Arial"/>
                <w:sz w:val="13"/>
                <w:szCs w:val="13"/>
                <w:color w:val="auto"/>
              </w:rPr>
              <w:t>Term</w:t>
            </w:r>
          </w:p>
        </w:tc>
        <w:tc>
          <w:tcPr>
            <w:tcW w:w="3360" w:type="dxa"/>
            <w:vAlign w:val="bottom"/>
          </w:tcPr>
          <w:p>
            <w:pPr>
              <w:spacing w:after="0"/>
              <w:rPr>
                <w:sz w:val="13"/>
                <w:szCs w:val="13"/>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1.7 – 2.3 Years</w:t>
            </w:r>
          </w:p>
        </w:tc>
      </w:tr>
      <w:tr>
        <w:trPr>
          <w:trHeight w:val="154"/>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3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55.00 %</w:t>
            </w:r>
          </w:p>
        </w:tc>
      </w:tr>
      <w:tr>
        <w:trPr>
          <w:trHeight w:val="162"/>
        </w:trPr>
        <w:tc>
          <w:tcPr>
            <w:tcW w:w="3880" w:type="dxa"/>
            <w:vAlign w:val="bottom"/>
          </w:tcPr>
          <w:p>
            <w:pPr>
              <w:spacing w:after="0"/>
              <w:rPr>
                <w:sz w:val="20"/>
                <w:szCs w:val="20"/>
                <w:color w:val="auto"/>
              </w:rPr>
            </w:pPr>
            <w:r>
              <w:rPr>
                <w:rFonts w:ascii="Arial" w:cs="Arial" w:eastAsia="Arial" w:hAnsi="Arial"/>
                <w:sz w:val="13"/>
                <w:szCs w:val="13"/>
                <w:color w:val="auto"/>
              </w:rPr>
              <w:t>Risk free rate</w:t>
            </w:r>
          </w:p>
        </w:tc>
        <w:tc>
          <w:tcPr>
            <w:tcW w:w="336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3"/>
                <w:szCs w:val="13"/>
                <w:color w:val="auto"/>
              </w:rPr>
              <w:t>1.59% – 2.71%</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Third Company Repurchase (Series C — August 2020)</w:t>
      </w:r>
    </w:p>
    <w:p>
      <w:pPr>
        <w:spacing w:after="0" w:line="162" w:lineRule="exact"/>
        <w:rPr>
          <w:sz w:val="20"/>
          <w:szCs w:val="20"/>
          <w:color w:val="auto"/>
        </w:rPr>
      </w:pPr>
    </w:p>
    <w:p>
      <w:pPr>
        <w:ind w:left="20" w:right="139" w:firstLine="231"/>
        <w:spacing w:after="0" w:line="314" w:lineRule="auto"/>
        <w:rPr>
          <w:sz w:val="20"/>
          <w:szCs w:val="20"/>
          <w:color w:val="auto"/>
        </w:rPr>
      </w:pPr>
      <w:r>
        <w:rPr>
          <w:rFonts w:ascii="Arial" w:cs="Arial" w:eastAsia="Arial" w:hAnsi="Arial"/>
          <w:sz w:val="11"/>
          <w:szCs w:val="11"/>
          <w:color w:val="auto"/>
        </w:rPr>
        <w:t>In August 2020, the Company entered into a Share Repurchase Agreement with the Sellers. Pursuant to the Share Repurchase Agreement, the Company agreed to repurchase 9,656,589 shares of Series C convertible preferred shares owned by the Sellers in August 2020 at a price of $1.02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Fourth Company Repurchase (Series C — December 2020)</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December 2020, the Company entered into a Share Repurchase Agreement with Blitz Technology Hong Kong Co. Limited (“Blitz”).</w:t>
      </w:r>
    </w:p>
    <w:p>
      <w:pPr>
        <w:spacing w:after="0" w:line="158" w:lineRule="exact"/>
        <w:rPr>
          <w:sz w:val="20"/>
          <w:szCs w:val="20"/>
          <w:color w:val="auto"/>
        </w:rPr>
      </w:pPr>
    </w:p>
    <w:p>
      <w:pPr>
        <w:ind w:left="20" w:right="139" w:firstLine="231"/>
        <w:spacing w:after="0" w:line="325" w:lineRule="auto"/>
        <w:rPr>
          <w:sz w:val="20"/>
          <w:szCs w:val="20"/>
          <w:color w:val="auto"/>
        </w:rPr>
      </w:pPr>
      <w:r>
        <w:rPr>
          <w:rFonts w:ascii="Arial" w:cs="Arial" w:eastAsia="Arial" w:hAnsi="Arial"/>
          <w:sz w:val="11"/>
          <w:szCs w:val="11"/>
          <w:color w:val="auto"/>
        </w:rPr>
        <w:t>The Company agreed to repurchase 1,850,800 Series C convertible preferred shares from Blitz at a price of $1.21 per share, aggregating to $2.2 million. As the carrying amount of each share of Series C was $2.42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Fifth Company Repurchase (Series B — December 2020)</w:t>
      </w:r>
    </w:p>
    <w:p>
      <w:pPr>
        <w:spacing w:after="0" w:line="162" w:lineRule="exact"/>
        <w:rPr>
          <w:sz w:val="20"/>
          <w:szCs w:val="20"/>
          <w:color w:val="auto"/>
        </w:rPr>
      </w:pPr>
    </w:p>
    <w:p>
      <w:pPr>
        <w:ind w:left="20" w:right="179" w:firstLine="231"/>
        <w:spacing w:after="0" w:line="253" w:lineRule="auto"/>
        <w:rPr>
          <w:sz w:val="20"/>
          <w:szCs w:val="20"/>
          <w:color w:val="auto"/>
        </w:rPr>
      </w:pPr>
      <w:r>
        <w:rPr>
          <w:rFonts w:ascii="Arial" w:cs="Arial" w:eastAsia="Arial" w:hAnsi="Arial"/>
          <w:sz w:val="13"/>
          <w:szCs w:val="13"/>
          <w:color w:val="auto"/>
        </w:rPr>
        <w:t>On December 22, 2020, the Company entered into an agreement with JAFCO Asia Technology Fund V (“JAFCO”) whereby the Company agreed to repurchase 3,525,332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9" w:name="page50"/>
    <w:bookmarkEnd w:id="49"/>
    <w:p>
      <w:pPr>
        <w:ind w:left="20" w:right="179"/>
        <w:spacing w:after="0" w:line="267" w:lineRule="auto"/>
        <w:rPr>
          <w:sz w:val="20"/>
          <w:szCs w:val="20"/>
          <w:color w:val="auto"/>
        </w:rPr>
      </w:pPr>
      <w:r>
        <w:rPr>
          <w:rFonts w:ascii="Arial" w:cs="Arial" w:eastAsia="Arial" w:hAnsi="Arial"/>
          <w:sz w:val="13"/>
          <w:szCs w:val="13"/>
          <w:color w:val="auto"/>
        </w:rPr>
        <w:t>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Series D Preferred Share Issuance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 2018, the Security Purchase Agreement with PIF granted PIF rights to purchase the Company’s Series D convertible shares at various tranches. The first tranche of</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1"/>
          <w:szCs w:val="11"/>
          <w:color w:val="auto"/>
        </w:rPr>
        <w:t>$200.0 million is issuable upon the approval of the PIF’s equity investment into the Company by CFIUS (refer to Note 5 — Convertible Notes). The second and third tranches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 $400.0 million each are issuable upon the Company’s satisfaction of certain milestones related to further development and enhancement in marketing, product, and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administrative activities.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 April 2019, upon CFIUS’s approval of PIF’s equity investment into the Company, the Company received the first $200.0 million proceeds from PIF. In October 2019,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Company received additional $400.0 million upon achieving the first set of milestones. Together with the conversion of $272.0 million Convertible Notes and accrued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interest, the Company issued 374,777,281 shares of Series D at a price of $2.33 per share, for net proceeds of approximately $872.0 million during the year ended</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December 31, 2019. The Company recorded $10.2 million of share issuance costs for Series D as noncurrent assets in the consolidated balance sheet as of December 31, 2018</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1"/>
          <w:szCs w:val="11"/>
          <w:color w:val="auto"/>
        </w:rPr>
        <w:t>and subsequently reclassified this amount to contra convertible preferred shares when Series D was funded in 2019. An additional $0.3 million of Series D share issuance cost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was incurred in 2019 and was recorded as an issuance cost in additional paid in capital to offset the proceeds from Series D.</w:t>
      </w:r>
    </w:p>
    <w:p>
      <w:pPr>
        <w:spacing w:after="0" w:line="150" w:lineRule="exact"/>
        <w:rPr>
          <w:sz w:val="20"/>
          <w:szCs w:val="20"/>
          <w:color w:val="auto"/>
        </w:rPr>
      </w:pPr>
    </w:p>
    <w:p>
      <w:pPr>
        <w:ind w:left="20" w:right="259" w:firstLine="231"/>
        <w:spacing w:after="0" w:line="253" w:lineRule="auto"/>
        <w:rPr>
          <w:sz w:val="20"/>
          <w:szCs w:val="20"/>
          <w:color w:val="auto"/>
        </w:rPr>
      </w:pPr>
      <w:r>
        <w:rPr>
          <w:rFonts w:ascii="Arial" w:cs="Arial" w:eastAsia="Arial" w:hAnsi="Arial"/>
          <w:sz w:val="13"/>
          <w:szCs w:val="13"/>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82,496,092 shares of Series D.</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780" w:type="dxa"/>
            <w:vAlign w:val="bottom"/>
            <w:gridSpan w:val="2"/>
          </w:tcPr>
          <w:p>
            <w:pPr>
              <w:spacing w:after="0"/>
              <w:rPr>
                <w:sz w:val="20"/>
                <w:szCs w:val="20"/>
                <w:color w:val="auto"/>
              </w:rPr>
            </w:pPr>
            <w:r>
              <w:rPr>
                <w:rFonts w:ascii="Arial" w:cs="Arial" w:eastAsia="Arial" w:hAnsi="Arial"/>
                <w:sz w:val="13"/>
                <w:szCs w:val="13"/>
                <w:color w:val="auto"/>
                <w:w w:val="94"/>
              </w:rPr>
              <w:t>See activities related to the PIF Convertible Notes and Series D convertible preferred share funding as below (in thousands):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6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Conversion of Convertible Notes (Note 5)</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271,985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Series D received in April 2019</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Series D received in October 2019</w:t>
            </w: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60" w:type="dxa"/>
            <w:vAlign w:val="bottom"/>
          </w:tcPr>
          <w:p>
            <w:pPr>
              <w:spacing w:after="0"/>
              <w:rPr>
                <w:sz w:val="20"/>
                <w:szCs w:val="20"/>
                <w:color w:val="auto"/>
              </w:rPr>
            </w:pPr>
            <w:r>
              <w:rPr>
                <w:rFonts w:ascii="Arial" w:cs="Arial" w:eastAsia="Arial" w:hAnsi="Arial"/>
                <w:sz w:val="13"/>
                <w:szCs w:val="13"/>
                <w:color w:val="auto"/>
              </w:rPr>
              <w:t>Series D received in March 2020</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Series received in June 2020</w:t>
            </w:r>
          </w:p>
        </w:tc>
        <w:tc>
          <w:tcPr>
            <w:tcW w:w="4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Contingent forward contract liability reclassified to Series D</w:t>
            </w:r>
          </w:p>
        </w:tc>
        <w:tc>
          <w:tcPr>
            <w:tcW w:w="4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39,563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proceeds of Series D</w:t>
            </w:r>
          </w:p>
        </w:tc>
        <w:tc>
          <w:tcPr>
            <w:tcW w:w="4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1,311,548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-121285</wp:posOffset>
            </wp:positionV>
            <wp:extent cx="444373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43730" cy="6350"/>
                    </a:xfrm>
                    <a:prstGeom prst="rect">
                      <a:avLst/>
                    </a:prstGeom>
                    <a:noFill/>
                  </pic:spPr>
                </pic:pic>
              </a:graphicData>
            </a:graphic>
          </wp:anchor>
        </w:drawing>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Series E Convertible Preferred Share Issuance</w:t>
      </w:r>
    </w:p>
    <w:p>
      <w:pPr>
        <w:spacing w:after="0" w:line="162" w:lineRule="exact"/>
        <w:rPr>
          <w:sz w:val="20"/>
          <w:szCs w:val="20"/>
          <w:color w:val="auto"/>
        </w:rPr>
      </w:pPr>
    </w:p>
    <w:p>
      <w:pPr>
        <w:ind w:left="20" w:right="99" w:firstLine="231"/>
        <w:spacing w:after="0" w:line="250" w:lineRule="auto"/>
        <w:rPr>
          <w:sz w:val="20"/>
          <w:szCs w:val="20"/>
          <w:color w:val="auto"/>
        </w:rPr>
      </w:pPr>
      <w:r>
        <w:rPr>
          <w:rFonts w:ascii="Arial" w:cs="Arial" w:eastAsia="Arial" w:hAnsi="Arial"/>
          <w:sz w:val="13"/>
          <w:szCs w:val="13"/>
          <w:color w:val="auto"/>
        </w:rPr>
        <w:t>On September 21,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The Company needed to satisfy two sets of milestone conditions relating to further development and enhancement in marketing, product, and administrative activities for Ayar to provide funding under the SPAE.</w:t>
      </w:r>
    </w:p>
    <w:p>
      <w:pPr>
        <w:spacing w:after="0" w:line="140"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Immediately upon closing of the SPAE, the Company received the full first tranche of $500.0 million in funding in exchange for 167,273,525 Series E convertible preferred shares as the requirement for the first milestones were met prior to execution of the purchase agreement. Subsequently, the Company successfully satisfied certain of the second set of</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0" w:name="page51"/>
    <w:bookmarkEnd w:id="50"/>
    <w:p>
      <w:pPr>
        <w:ind w:left="20" w:right="59"/>
        <w:spacing w:after="0" w:line="277" w:lineRule="auto"/>
        <w:rPr>
          <w:sz w:val="20"/>
          <w:szCs w:val="20"/>
          <w:color w:val="auto"/>
        </w:rPr>
      </w:pPr>
      <w:r>
        <w:rPr>
          <w:rFonts w:ascii="Arial" w:cs="Arial" w:eastAsia="Arial" w:hAnsi="Arial"/>
          <w:sz w:val="12"/>
          <w:szCs w:val="12"/>
          <w:color w:val="auto"/>
        </w:rPr>
        <w:t>milestones and received a waiver from PIF for the remaining milestones; and on December 24, 2020, the investor provided $400.0 million of funding in exchange for 133,818,821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26" w:lineRule="exact"/>
        <w:rPr>
          <w:sz w:val="20"/>
          <w:szCs w:val="20"/>
          <w:color w:val="auto"/>
        </w:rPr>
      </w:pPr>
    </w:p>
    <w:p>
      <w:pPr>
        <w:ind w:left="20" w:right="479" w:firstLine="231"/>
        <w:spacing w:after="0" w:line="267" w:lineRule="auto"/>
        <w:rPr>
          <w:sz w:val="20"/>
          <w:szCs w:val="20"/>
          <w:color w:val="auto"/>
        </w:rPr>
      </w:pPr>
      <w:r>
        <w:rPr>
          <w:rFonts w:ascii="Arial" w:cs="Arial" w:eastAsia="Arial" w:hAnsi="Arial"/>
          <w:sz w:val="13"/>
          <w:szCs w:val="13"/>
          <w:color w:val="auto"/>
        </w:rPr>
        <w:t>As of December 31, 2020, and 2019, the Company had the following convertible preferred shares, par value of $0.0001 per share, authorized, and outstanding (in thousands, except share and per share amounts):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As of December 31, 2020</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2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0"/>
                <w:szCs w:val="10"/>
                <w:b w:val="1"/>
                <w:bCs w:val="1"/>
                <w:color w:val="auto"/>
                <w:w w:val="90"/>
              </w:rPr>
              <w:t>Conversion</w:t>
            </w: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r>
      <w:tr>
        <w:trPr>
          <w:trHeight w:val="115"/>
        </w:trPr>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2"/>
              <w:spacing w:after="0"/>
              <w:rPr>
                <w:sz w:val="20"/>
                <w:szCs w:val="20"/>
                <w:color w:val="auto"/>
              </w:rPr>
            </w:pPr>
            <w:r>
              <w:rPr>
                <w:rFonts w:ascii="Arial" w:cs="Arial" w:eastAsia="Arial" w:hAnsi="Arial"/>
                <w:sz w:val="10"/>
                <w:szCs w:val="10"/>
                <w:b w:val="1"/>
                <w:bCs w:val="1"/>
                <w:color w:val="auto"/>
                <w:w w:val="92"/>
              </w:rPr>
              <w:t>Price Per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06"/>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2"/>
              <w:spacing w:after="0" w:line="106" w:lineRule="exact"/>
              <w:rPr>
                <w:sz w:val="20"/>
                <w:szCs w:val="20"/>
                <w:color w:val="auto"/>
              </w:rPr>
            </w:pPr>
            <w:r>
              <w:rPr>
                <w:rFonts w:ascii="Arial" w:cs="Arial" w:eastAsia="Arial" w:hAnsi="Arial"/>
                <w:sz w:val="10"/>
                <w:szCs w:val="10"/>
                <w:b w:val="1"/>
                <w:bCs w:val="1"/>
                <w:color w:val="auto"/>
                <w:w w:val="89"/>
              </w:rPr>
              <w:t>Share to</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40"/>
              <w:spacing w:after="0" w:line="106" w:lineRule="exact"/>
              <w:rPr>
                <w:sz w:val="20"/>
                <w:szCs w:val="20"/>
                <w:color w:val="auto"/>
              </w:rPr>
            </w:pPr>
            <w:r>
              <w:rPr>
                <w:rFonts w:ascii="Arial" w:cs="Arial" w:eastAsia="Arial" w:hAnsi="Arial"/>
                <w:sz w:val="10"/>
                <w:szCs w:val="10"/>
                <w:b w:val="1"/>
                <w:bCs w:val="1"/>
                <w:color w:val="auto"/>
                <w:w w:val="96"/>
              </w:rPr>
              <w:t>Liquidation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06"/>
        </w:trPr>
        <w:tc>
          <w:tcPr>
            <w:tcW w:w="2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89"/>
              </w:rPr>
              <w:t>Shares</w:t>
            </w:r>
          </w:p>
        </w:tc>
        <w:tc>
          <w:tcPr>
            <w:tcW w:w="1020" w:type="dxa"/>
            <w:vAlign w:val="bottom"/>
          </w:tcPr>
          <w:p>
            <w:pPr>
              <w:jc w:val="right"/>
              <w:ind w:right="299"/>
              <w:spacing w:after="0" w:line="106" w:lineRule="exact"/>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119"/>
              <w:spacing w:after="0" w:line="106" w:lineRule="exact"/>
              <w:rPr>
                <w:sz w:val="20"/>
                <w:szCs w:val="20"/>
                <w:color w:val="auto"/>
              </w:rPr>
            </w:pPr>
            <w:r>
              <w:rPr>
                <w:rFonts w:ascii="Arial" w:cs="Arial" w:eastAsia="Arial" w:hAnsi="Arial"/>
                <w:sz w:val="10"/>
                <w:szCs w:val="10"/>
                <w:b w:val="1"/>
                <w:bCs w:val="1"/>
                <w:color w:val="auto"/>
              </w:rPr>
              <w:t>Net Carrying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2"/>
              <w:spacing w:after="0" w:line="106" w:lineRule="exact"/>
              <w:rPr>
                <w:sz w:val="20"/>
                <w:szCs w:val="20"/>
                <w:color w:val="auto"/>
              </w:rPr>
            </w:pPr>
            <w:r>
              <w:rPr>
                <w:rFonts w:ascii="Arial" w:cs="Arial" w:eastAsia="Arial" w:hAnsi="Arial"/>
                <w:sz w:val="10"/>
                <w:szCs w:val="10"/>
                <w:b w:val="1"/>
                <w:bCs w:val="1"/>
                <w:color w:val="auto"/>
                <w:w w:val="92"/>
              </w:rPr>
              <w:t>Common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20"/>
              <w:spacing w:after="0" w:line="106" w:lineRule="exact"/>
              <w:rPr>
                <w:sz w:val="20"/>
                <w:szCs w:val="20"/>
                <w:color w:val="auto"/>
              </w:rPr>
            </w:pPr>
            <w:r>
              <w:rPr>
                <w:rFonts w:ascii="Arial" w:cs="Arial" w:eastAsia="Arial" w:hAnsi="Arial"/>
                <w:sz w:val="10"/>
                <w:szCs w:val="10"/>
                <w:b w:val="1"/>
                <w:bCs w:val="1"/>
                <w:color w:val="auto"/>
                <w:w w:val="89"/>
              </w:rPr>
              <w:t>Per Share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right"/>
              <w:ind w:right="159"/>
              <w:spacing w:after="0" w:line="106" w:lineRule="exact"/>
              <w:rPr>
                <w:sz w:val="20"/>
                <w:szCs w:val="20"/>
                <w:color w:val="auto"/>
              </w:rPr>
            </w:pPr>
            <w:r>
              <w:rPr>
                <w:rFonts w:ascii="Arial" w:cs="Arial" w:eastAsia="Arial" w:hAnsi="Arial"/>
                <w:sz w:val="10"/>
                <w:szCs w:val="10"/>
                <w:b w:val="1"/>
                <w:bCs w:val="1"/>
                <w:color w:val="auto"/>
              </w:rPr>
              <w:t>Liquidation</w:t>
            </w:r>
          </w:p>
        </w:tc>
      </w:tr>
      <w:tr>
        <w:trPr>
          <w:trHeight w:val="121"/>
        </w:trPr>
        <w:tc>
          <w:tcPr>
            <w:tcW w:w="2720" w:type="dxa"/>
            <w:vAlign w:val="bottom"/>
            <w:gridSpan w:val="3"/>
          </w:tcPr>
          <w:p>
            <w:pPr>
              <w:spacing w:after="0"/>
              <w:rPr>
                <w:sz w:val="20"/>
                <w:szCs w:val="20"/>
                <w:color w:val="auto"/>
              </w:rPr>
            </w:pPr>
            <w:r>
              <w:rPr>
                <w:rFonts w:ascii="Arial" w:cs="Arial" w:eastAsia="Arial" w:hAnsi="Arial"/>
                <w:sz w:val="10"/>
                <w:szCs w:val="10"/>
                <w:b w:val="1"/>
                <w:bCs w:val="1"/>
                <w:color w:val="auto"/>
              </w:rPr>
              <w:t>Convertible Preferred Shares</w:t>
            </w:r>
          </w:p>
        </w:tc>
        <w:tc>
          <w:tcPr>
            <w:tcW w:w="13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Authorized</w:t>
            </w:r>
          </w:p>
        </w:tc>
        <w:tc>
          <w:tcPr>
            <w:tcW w:w="1020" w:type="dxa"/>
            <w:vAlign w:val="bottom"/>
          </w:tcPr>
          <w:p>
            <w:pPr>
              <w:jc w:val="right"/>
              <w:ind w:right="179"/>
              <w:spacing w:after="0"/>
              <w:rPr>
                <w:sz w:val="20"/>
                <w:szCs w:val="20"/>
                <w:color w:val="auto"/>
              </w:rPr>
            </w:pPr>
            <w:r>
              <w:rPr>
                <w:rFonts w:ascii="Arial" w:cs="Arial" w:eastAsia="Arial" w:hAnsi="Arial"/>
                <w:sz w:val="10"/>
                <w:szCs w:val="10"/>
                <w:b w:val="1"/>
                <w:bCs w:val="1"/>
                <w:color w:val="auto"/>
              </w:rPr>
              <w:t>Outstanding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279"/>
              <w:spacing w:after="0"/>
              <w:rPr>
                <w:sz w:val="20"/>
                <w:szCs w:val="20"/>
                <w:color w:val="auto"/>
              </w:rPr>
            </w:pPr>
            <w:r>
              <w:rPr>
                <w:rFonts w:ascii="Arial" w:cs="Arial" w:eastAsia="Arial" w:hAnsi="Arial"/>
                <w:sz w:val="10"/>
                <w:szCs w:val="10"/>
                <w:b w:val="1"/>
                <w:bCs w:val="1"/>
                <w:color w:val="auto"/>
              </w:rPr>
              <w:t>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22"/>
              <w:spacing w:after="0"/>
              <w:rPr>
                <w:sz w:val="20"/>
                <w:szCs w:val="20"/>
                <w:color w:val="auto"/>
              </w:rPr>
            </w:pPr>
            <w:r>
              <w:rPr>
                <w:rFonts w:ascii="Arial" w:cs="Arial" w:eastAsia="Arial" w:hAnsi="Arial"/>
                <w:sz w:val="10"/>
                <w:szCs w:val="10"/>
                <w:b w:val="1"/>
                <w:bCs w:val="1"/>
                <w:color w:val="auto"/>
                <w:w w:val="83"/>
              </w:rPr>
              <w:t>Shares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Amount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39"/>
              <w:spacing w:after="0"/>
              <w:rPr>
                <w:sz w:val="20"/>
                <w:szCs w:val="20"/>
                <w:color w:val="auto"/>
              </w:rPr>
            </w:pPr>
            <w:r>
              <w:rPr>
                <w:rFonts w:ascii="Arial" w:cs="Arial" w:eastAsia="Arial" w:hAnsi="Arial"/>
                <w:sz w:val="10"/>
                <w:szCs w:val="10"/>
                <w:b w:val="1"/>
                <w:bCs w:val="1"/>
                <w:color w:val="auto"/>
              </w:rPr>
              <w:t>Amount</w:t>
            </w:r>
          </w:p>
        </w:tc>
      </w:tr>
      <w:tr>
        <w:trPr>
          <w:trHeight w:val="143"/>
        </w:trPr>
        <w:tc>
          <w:tcPr>
            <w:tcW w:w="2560" w:type="dxa"/>
            <w:vAlign w:val="bottom"/>
            <w:tcBorders>
              <w:top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Series A</w:t>
            </w:r>
          </w:p>
        </w:tc>
        <w:tc>
          <w:tcPr>
            <w:tcW w:w="1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32,045,280</w:t>
            </w: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32,045,280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11,925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ind w:right="162"/>
              <w:spacing w:after="0" w:line="144" w:lineRule="exact"/>
              <w:rPr>
                <w:sz w:val="20"/>
                <w:szCs w:val="20"/>
                <w:color w:val="auto"/>
              </w:rPr>
            </w:pPr>
            <w:r>
              <w:rPr>
                <w:rFonts w:ascii="Arial" w:cs="Arial" w:eastAsia="Arial" w:hAnsi="Arial"/>
                <w:sz w:val="13"/>
                <w:szCs w:val="13"/>
                <w:color w:val="auto"/>
              </w:rPr>
              <w:t>0.38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181"/>
              <w:spacing w:after="0" w:line="144" w:lineRule="exact"/>
              <w:rPr>
                <w:sz w:val="20"/>
                <w:szCs w:val="20"/>
                <w:color w:val="auto"/>
              </w:rPr>
            </w:pPr>
            <w:r>
              <w:rPr>
                <w:rFonts w:ascii="Arial" w:cs="Arial" w:eastAsia="Arial" w:hAnsi="Arial"/>
                <w:sz w:val="13"/>
                <w:szCs w:val="13"/>
                <w:color w:val="auto"/>
              </w:rPr>
              <w:t>0.38</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12,120</w:t>
            </w:r>
          </w:p>
        </w:tc>
      </w:tr>
      <w:tr>
        <w:trPr>
          <w:trHeight w:val="154"/>
        </w:trPr>
        <w:tc>
          <w:tcPr>
            <w:tcW w:w="2720" w:type="dxa"/>
            <w:vAlign w:val="bottom"/>
            <w:gridSpan w:val="3"/>
          </w:tcPr>
          <w:p>
            <w:pPr>
              <w:spacing w:after="0"/>
              <w:rPr>
                <w:sz w:val="20"/>
                <w:szCs w:val="20"/>
                <w:color w:val="auto"/>
              </w:rPr>
            </w:pPr>
            <w:r>
              <w:rPr>
                <w:rFonts w:ascii="Arial" w:cs="Arial" w:eastAsia="Arial" w:hAnsi="Arial"/>
                <w:sz w:val="13"/>
                <w:szCs w:val="13"/>
                <w:color w:val="auto"/>
              </w:rPr>
              <w:t>Series B*</w:t>
            </w:r>
          </w:p>
        </w:tc>
        <w:tc>
          <w:tcPr>
            <w:tcW w:w="116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23,740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2"/>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28,000</w:t>
            </w:r>
          </w:p>
        </w:tc>
      </w:tr>
      <w:tr>
        <w:trPr>
          <w:trHeight w:val="154"/>
        </w:trPr>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C</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82,414,075</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59,575,253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137,475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144,432</w:t>
            </w:r>
          </w:p>
        </w:tc>
      </w:tr>
      <w:tr>
        <w:trPr>
          <w:trHeight w:val="154"/>
        </w:trPr>
        <w:tc>
          <w:tcPr>
            <w:tcW w:w="2720" w:type="dxa"/>
            <w:vAlign w:val="bottom"/>
            <w:gridSpan w:val="3"/>
          </w:tcPr>
          <w:p>
            <w:pPr>
              <w:spacing w:after="0"/>
              <w:rPr>
                <w:sz w:val="20"/>
                <w:szCs w:val="20"/>
                <w:color w:val="auto"/>
              </w:rPr>
            </w:pPr>
            <w:r>
              <w:rPr>
                <w:rFonts w:ascii="Arial" w:cs="Arial" w:eastAsia="Arial" w:hAnsi="Arial"/>
                <w:sz w:val="13"/>
                <w:szCs w:val="13"/>
                <w:color w:val="auto"/>
              </w:rPr>
              <w:t>Series D</w:t>
            </w:r>
          </w:p>
        </w:tc>
        <w:tc>
          <w:tcPr>
            <w:tcW w:w="1160" w:type="dxa"/>
            <w:vAlign w:val="bottom"/>
          </w:tcPr>
          <w:p>
            <w:pPr>
              <w:jc w:val="right"/>
              <w:spacing w:after="0"/>
              <w:rPr>
                <w:sz w:val="20"/>
                <w:szCs w:val="20"/>
                <w:color w:val="auto"/>
              </w:rPr>
            </w:pPr>
            <w:r>
              <w:rPr>
                <w:rFonts w:ascii="Arial" w:cs="Arial" w:eastAsia="Arial" w:hAnsi="Arial"/>
                <w:sz w:val="13"/>
                <w:szCs w:val="13"/>
                <w:color w:val="auto"/>
              </w:rPr>
              <w:t>618,720,748</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539,769,493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1,311,548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162"/>
              <w:spacing w:after="0"/>
              <w:rPr>
                <w:sz w:val="20"/>
                <w:szCs w:val="20"/>
                <w:color w:val="auto"/>
              </w:rPr>
            </w:pPr>
            <w:r>
              <w:rPr>
                <w:rFonts w:ascii="Arial" w:cs="Arial" w:eastAsia="Arial" w:hAnsi="Arial"/>
                <w:sz w:val="13"/>
                <w:szCs w:val="13"/>
                <w:color w:val="auto"/>
              </w:rPr>
              <w:t>2.33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3.64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1,963,912</w:t>
            </w:r>
          </w:p>
        </w:tc>
      </w:tr>
      <w:tr>
        <w:trPr>
          <w:trHeight w:val="154"/>
        </w:trPr>
        <w:tc>
          <w:tcPr>
            <w:tcW w:w="27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301,092,346</w:t>
            </w:r>
          </w:p>
        </w:tc>
        <w:tc>
          <w:tcPr>
            <w:tcW w:w="14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301,092,346</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1,009,388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2"/>
              <w:spacing w:after="0"/>
              <w:rPr>
                <w:sz w:val="20"/>
                <w:szCs w:val="20"/>
                <w:color w:val="auto"/>
              </w:rPr>
            </w:pPr>
            <w:r>
              <w:rPr>
                <w:rFonts w:ascii="Arial" w:cs="Arial" w:eastAsia="Arial" w:hAnsi="Arial"/>
                <w:sz w:val="13"/>
                <w:szCs w:val="13"/>
                <w:color w:val="auto"/>
              </w:rPr>
              <w:t>2.99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4.48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1,349,449</w:t>
            </w:r>
          </w:p>
        </w:tc>
      </w:tr>
      <w:tr>
        <w:trPr>
          <w:trHeight w:val="152"/>
        </w:trPr>
        <w:tc>
          <w:tcPr>
            <w:tcW w:w="2720" w:type="dxa"/>
            <w:vAlign w:val="bottom"/>
            <w:gridSpan w:val="3"/>
          </w:tcPr>
          <w:p>
            <w:pPr>
              <w:spacing w:after="0" w:line="144" w:lineRule="exact"/>
              <w:rPr>
                <w:sz w:val="20"/>
                <w:szCs w:val="20"/>
                <w:color w:val="auto"/>
              </w:rPr>
            </w:pPr>
            <w:r>
              <w:rPr>
                <w:rFonts w:ascii="Arial" w:cs="Arial" w:eastAsia="Arial" w:hAnsi="Arial"/>
                <w:sz w:val="13"/>
                <w:szCs w:val="13"/>
                <w:color w:val="auto"/>
              </w:rPr>
              <w:t>Total</w:t>
            </w:r>
          </w:p>
        </w:tc>
        <w:tc>
          <w:tcPr>
            <w:tcW w:w="11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1,058,949,781</w:t>
            </w: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957,159,704</w:t>
            </w: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2,494,076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3,497,913</w:t>
            </w:r>
          </w:p>
        </w:tc>
      </w:tr>
      <w:tr>
        <w:trPr>
          <w:trHeight w:val="77"/>
        </w:trPr>
        <w:tc>
          <w:tcPr>
            <w:tcW w:w="22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r>
    </w:tbl>
    <w:p>
      <w:pPr>
        <w:spacing w:after="0" w:line="58" w:lineRule="exact"/>
        <w:rPr>
          <w:sz w:val="20"/>
          <w:szCs w:val="20"/>
          <w:color w:val="auto"/>
        </w:rPr>
      </w:pPr>
    </w:p>
    <w:p>
      <w:pPr>
        <w:ind w:left="260" w:right="319" w:hanging="234"/>
        <w:spacing w:after="0" w:line="267"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of December 31, 2020, 3,525,332 Series B convertible preferred shares at aggregate fair value of $3.0 million were extinguished and reclassified to other accrued liabilities, with cash settlement occurring in January 2021.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As of December 31, 2019</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8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23"/>
              <w:spacing w:after="0" w:line="100" w:lineRule="exact"/>
              <w:rPr>
                <w:sz w:val="20"/>
                <w:szCs w:val="20"/>
                <w:color w:val="auto"/>
              </w:rPr>
            </w:pPr>
            <w:r>
              <w:rPr>
                <w:rFonts w:ascii="Arial" w:cs="Arial" w:eastAsia="Arial" w:hAnsi="Arial"/>
                <w:sz w:val="10"/>
                <w:szCs w:val="10"/>
                <w:b w:val="1"/>
                <w:bCs w:val="1"/>
                <w:color w:val="auto"/>
                <w:w w:val="90"/>
              </w:rPr>
              <w:t>Conversion</w:t>
            </w: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r>
      <w:tr>
        <w:trPr>
          <w:trHeight w:val="115"/>
        </w:trPr>
        <w:tc>
          <w:tcPr>
            <w:tcW w:w="2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3"/>
              <w:spacing w:after="0"/>
              <w:rPr>
                <w:sz w:val="20"/>
                <w:szCs w:val="20"/>
                <w:color w:val="auto"/>
              </w:rPr>
            </w:pPr>
            <w:r>
              <w:rPr>
                <w:rFonts w:ascii="Arial" w:cs="Arial" w:eastAsia="Arial" w:hAnsi="Arial"/>
                <w:sz w:val="10"/>
                <w:szCs w:val="10"/>
                <w:b w:val="1"/>
                <w:bCs w:val="1"/>
                <w:color w:val="auto"/>
                <w:w w:val="96"/>
              </w:rPr>
              <w:t>Price Per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06"/>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3"/>
              <w:spacing w:after="0" w:line="106" w:lineRule="exact"/>
              <w:rPr>
                <w:sz w:val="20"/>
                <w:szCs w:val="20"/>
                <w:color w:val="auto"/>
              </w:rPr>
            </w:pPr>
            <w:r>
              <w:rPr>
                <w:rFonts w:ascii="Arial" w:cs="Arial" w:eastAsia="Arial" w:hAnsi="Arial"/>
                <w:sz w:val="10"/>
                <w:szCs w:val="10"/>
                <w:b w:val="1"/>
                <w:bCs w:val="1"/>
                <w:color w:val="auto"/>
                <w:w w:val="89"/>
              </w:rPr>
              <w:t>Share to</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1"/>
              <w:spacing w:after="0" w:line="106" w:lineRule="exact"/>
              <w:rPr>
                <w:sz w:val="20"/>
                <w:szCs w:val="20"/>
                <w:color w:val="auto"/>
              </w:rPr>
            </w:pPr>
            <w:r>
              <w:rPr>
                <w:rFonts w:ascii="Arial" w:cs="Arial" w:eastAsia="Arial" w:hAnsi="Arial"/>
                <w:sz w:val="10"/>
                <w:szCs w:val="10"/>
                <w:b w:val="1"/>
                <w:bCs w:val="1"/>
                <w:color w:val="auto"/>
                <w:w w:val="96"/>
              </w:rPr>
              <w:t>Liquidation</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06"/>
        </w:trPr>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83"/>
              </w:rPr>
              <w:t>Shares</w:t>
            </w:r>
          </w:p>
        </w:tc>
        <w:tc>
          <w:tcPr>
            <w:tcW w:w="1040" w:type="dxa"/>
            <w:vAlign w:val="bottom"/>
          </w:tcPr>
          <w:p>
            <w:pPr>
              <w:jc w:val="right"/>
              <w:ind w:right="320"/>
              <w:spacing w:after="0" w:line="106" w:lineRule="exact"/>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100"/>
              <w:spacing w:after="0" w:line="106" w:lineRule="exact"/>
              <w:rPr>
                <w:sz w:val="20"/>
                <w:szCs w:val="20"/>
                <w:color w:val="auto"/>
              </w:rPr>
            </w:pPr>
            <w:r>
              <w:rPr>
                <w:rFonts w:ascii="Arial" w:cs="Arial" w:eastAsia="Arial" w:hAnsi="Arial"/>
                <w:sz w:val="10"/>
                <w:szCs w:val="10"/>
                <w:b w:val="1"/>
                <w:bCs w:val="1"/>
                <w:color w:val="auto"/>
                <w:w w:val="99"/>
              </w:rPr>
              <w:t>Net Carrying</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43"/>
              <w:spacing w:after="0" w:line="106" w:lineRule="exact"/>
              <w:rPr>
                <w:sz w:val="20"/>
                <w:szCs w:val="20"/>
                <w:color w:val="auto"/>
              </w:rPr>
            </w:pPr>
            <w:r>
              <w:rPr>
                <w:rFonts w:ascii="Arial" w:cs="Arial" w:eastAsia="Arial" w:hAnsi="Arial"/>
                <w:sz w:val="10"/>
                <w:szCs w:val="10"/>
                <w:b w:val="1"/>
                <w:bCs w:val="1"/>
                <w:color w:val="auto"/>
                <w:w w:val="92"/>
              </w:rPr>
              <w:t>Common</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1"/>
              <w:spacing w:after="0" w:line="106" w:lineRule="exact"/>
              <w:rPr>
                <w:sz w:val="20"/>
                <w:szCs w:val="20"/>
                <w:color w:val="auto"/>
              </w:rPr>
            </w:pPr>
            <w:r>
              <w:rPr>
                <w:rFonts w:ascii="Arial" w:cs="Arial" w:eastAsia="Arial" w:hAnsi="Arial"/>
                <w:sz w:val="10"/>
                <w:szCs w:val="10"/>
                <w:b w:val="1"/>
                <w:bCs w:val="1"/>
                <w:color w:val="auto"/>
                <w:w w:val="94"/>
              </w:rPr>
              <w:t>Per Share</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ind w:right="140"/>
              <w:spacing w:after="0" w:line="106" w:lineRule="exact"/>
              <w:rPr>
                <w:sz w:val="20"/>
                <w:szCs w:val="20"/>
                <w:color w:val="auto"/>
              </w:rPr>
            </w:pPr>
            <w:r>
              <w:rPr>
                <w:rFonts w:ascii="Arial" w:cs="Arial" w:eastAsia="Arial" w:hAnsi="Arial"/>
                <w:sz w:val="10"/>
                <w:szCs w:val="10"/>
                <w:b w:val="1"/>
                <w:bCs w:val="1"/>
                <w:color w:val="auto"/>
              </w:rPr>
              <w:t>Liquidation</w:t>
            </w:r>
          </w:p>
        </w:tc>
      </w:tr>
      <w:tr>
        <w:trPr>
          <w:trHeight w:val="121"/>
        </w:trPr>
        <w:tc>
          <w:tcPr>
            <w:tcW w:w="2960" w:type="dxa"/>
            <w:vAlign w:val="bottom"/>
            <w:gridSpan w:val="2"/>
          </w:tcPr>
          <w:p>
            <w:pPr>
              <w:spacing w:after="0"/>
              <w:rPr>
                <w:sz w:val="20"/>
                <w:szCs w:val="20"/>
                <w:color w:val="auto"/>
              </w:rPr>
            </w:pPr>
            <w:r>
              <w:rPr>
                <w:rFonts w:ascii="Arial" w:cs="Arial" w:eastAsia="Arial" w:hAnsi="Arial"/>
                <w:sz w:val="10"/>
                <w:szCs w:val="10"/>
                <w:b w:val="1"/>
                <w:bCs w:val="1"/>
                <w:color w:val="auto"/>
              </w:rPr>
              <w:t>Convertible Preferred Shares</w:t>
            </w:r>
          </w:p>
        </w:tc>
        <w:tc>
          <w:tcPr>
            <w:tcW w:w="11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Authorized</w:t>
            </w:r>
          </w:p>
        </w:tc>
        <w:tc>
          <w:tcPr>
            <w:tcW w:w="1040" w:type="dxa"/>
            <w:vAlign w:val="bottom"/>
          </w:tcPr>
          <w:p>
            <w:pPr>
              <w:jc w:val="right"/>
              <w:ind w:right="200"/>
              <w:spacing w:after="0"/>
              <w:rPr>
                <w:sz w:val="20"/>
                <w:szCs w:val="20"/>
                <w:color w:val="auto"/>
              </w:rPr>
            </w:pPr>
            <w:r>
              <w:rPr>
                <w:rFonts w:ascii="Arial" w:cs="Arial" w:eastAsia="Arial" w:hAnsi="Arial"/>
                <w:sz w:val="10"/>
                <w:szCs w:val="10"/>
                <w:b w:val="1"/>
                <w:bCs w:val="1"/>
                <w:color w:val="auto"/>
              </w:rPr>
              <w:t>Outstanding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260"/>
              <w:spacing w:after="0"/>
              <w:rPr>
                <w:sz w:val="20"/>
                <w:szCs w:val="20"/>
                <w:color w:val="auto"/>
              </w:rPr>
            </w:pPr>
            <w:r>
              <w:rPr>
                <w:rFonts w:ascii="Arial" w:cs="Arial" w:eastAsia="Arial" w:hAnsi="Arial"/>
                <w:sz w:val="10"/>
                <w:szCs w:val="10"/>
                <w:b w:val="1"/>
                <w:bCs w:val="1"/>
                <w:color w:val="auto"/>
              </w:rPr>
              <w:t>Value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23"/>
              <w:spacing w:after="0"/>
              <w:rPr>
                <w:sz w:val="20"/>
                <w:szCs w:val="20"/>
                <w:color w:val="auto"/>
              </w:rPr>
            </w:pPr>
            <w:r>
              <w:rPr>
                <w:rFonts w:ascii="Arial" w:cs="Arial" w:eastAsia="Arial" w:hAnsi="Arial"/>
                <w:sz w:val="10"/>
                <w:szCs w:val="10"/>
                <w:b w:val="1"/>
                <w:bCs w:val="1"/>
                <w:color w:val="auto"/>
                <w:w w:val="89"/>
              </w:rPr>
              <w:t>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1"/>
              <w:spacing w:after="0"/>
              <w:rPr>
                <w:sz w:val="20"/>
                <w:szCs w:val="20"/>
                <w:color w:val="auto"/>
              </w:rPr>
            </w:pPr>
            <w:r>
              <w:rPr>
                <w:rFonts w:ascii="Arial" w:cs="Arial" w:eastAsia="Arial" w:hAnsi="Arial"/>
                <w:sz w:val="10"/>
                <w:szCs w:val="10"/>
                <w:b w:val="1"/>
                <w:bCs w:val="1"/>
                <w:color w:val="auto"/>
                <w:w w:val="95"/>
              </w:rPr>
              <w:t>Amount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220"/>
              <w:spacing w:after="0"/>
              <w:rPr>
                <w:sz w:val="20"/>
                <w:szCs w:val="20"/>
                <w:color w:val="auto"/>
              </w:rPr>
            </w:pPr>
            <w:r>
              <w:rPr>
                <w:rFonts w:ascii="Arial" w:cs="Arial" w:eastAsia="Arial" w:hAnsi="Arial"/>
                <w:sz w:val="10"/>
                <w:szCs w:val="10"/>
                <w:b w:val="1"/>
                <w:bCs w:val="1"/>
                <w:color w:val="auto"/>
              </w:rPr>
              <w:t>Amount</w:t>
            </w:r>
          </w:p>
        </w:tc>
      </w:tr>
      <w:tr>
        <w:trPr>
          <w:trHeight w:val="143"/>
        </w:trPr>
        <w:tc>
          <w:tcPr>
            <w:tcW w:w="28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Series A</w:t>
            </w: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32,045,280</w:t>
            </w: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32,045,280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11,925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ind w:right="143"/>
              <w:spacing w:after="0" w:line="144" w:lineRule="exact"/>
              <w:rPr>
                <w:sz w:val="20"/>
                <w:szCs w:val="20"/>
                <w:color w:val="auto"/>
              </w:rPr>
            </w:pPr>
            <w:r>
              <w:rPr>
                <w:rFonts w:ascii="Arial" w:cs="Arial" w:eastAsia="Arial" w:hAnsi="Arial"/>
                <w:sz w:val="13"/>
                <w:szCs w:val="13"/>
                <w:color w:val="auto"/>
              </w:rPr>
              <w:t>0.38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181"/>
              <w:spacing w:after="0" w:line="144" w:lineRule="exact"/>
              <w:rPr>
                <w:sz w:val="20"/>
                <w:szCs w:val="20"/>
                <w:color w:val="auto"/>
              </w:rPr>
            </w:pPr>
            <w:r>
              <w:rPr>
                <w:rFonts w:ascii="Arial" w:cs="Arial" w:eastAsia="Arial" w:hAnsi="Arial"/>
                <w:sz w:val="13"/>
                <w:szCs w:val="13"/>
                <w:color w:val="auto"/>
              </w:rPr>
              <w:t>0.38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12,120</w:t>
            </w:r>
          </w:p>
        </w:tc>
      </w:tr>
      <w:tr>
        <w:trPr>
          <w:trHeight w:val="154"/>
        </w:trPr>
        <w:tc>
          <w:tcPr>
            <w:tcW w:w="2960" w:type="dxa"/>
            <w:vAlign w:val="bottom"/>
            <w:gridSpan w:val="2"/>
          </w:tcPr>
          <w:p>
            <w:pPr>
              <w:spacing w:after="0"/>
              <w:rPr>
                <w:sz w:val="20"/>
                <w:szCs w:val="20"/>
                <w:color w:val="auto"/>
              </w:rPr>
            </w:pPr>
            <w:r>
              <w:rPr>
                <w:rFonts w:ascii="Arial" w:cs="Arial" w:eastAsia="Arial" w:hAnsi="Arial"/>
                <w:sz w:val="13"/>
                <w:szCs w:val="13"/>
                <w:color w:val="auto"/>
              </w:rPr>
              <w:t>Series B</w:t>
            </w:r>
          </w:p>
        </w:tc>
        <w:tc>
          <w:tcPr>
            <w:tcW w:w="102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24,677,332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3"/>
              <w:spacing w:after="0"/>
              <w:rPr>
                <w:sz w:val="20"/>
                <w:szCs w:val="20"/>
                <w:color w:val="auto"/>
              </w:rPr>
            </w:pPr>
            <w:r>
              <w:rPr>
                <w:rFonts w:ascii="Arial" w:cs="Arial" w:eastAsia="Arial" w:hAnsi="Arial"/>
                <w:sz w:val="13"/>
                <w:szCs w:val="13"/>
                <w:color w:val="auto"/>
              </w:rPr>
              <w:t>1.13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81"/>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28,000</w:t>
            </w:r>
          </w:p>
        </w:tc>
      </w:tr>
      <w:tr>
        <w:trPr>
          <w:trHeight w:val="154"/>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82,414,075</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71,082,642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162,360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3"/>
                <w:szCs w:val="13"/>
                <w:color w:val="auto"/>
              </w:rPr>
              <w:t>2.42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81"/>
              <w:spacing w:after="0"/>
              <w:rPr>
                <w:sz w:val="20"/>
                <w:szCs w:val="20"/>
                <w:color w:val="auto"/>
              </w:rPr>
            </w:pPr>
            <w:r>
              <w:rPr>
                <w:rFonts w:ascii="Arial" w:cs="Arial" w:eastAsia="Arial" w:hAnsi="Arial"/>
                <w:sz w:val="13"/>
                <w:szCs w:val="13"/>
                <w:color w:val="auto"/>
              </w:rPr>
              <w:t>2.42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172,331</w:t>
            </w:r>
          </w:p>
        </w:tc>
      </w:tr>
      <w:tr>
        <w:trPr>
          <w:trHeight w:val="154"/>
        </w:trPr>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618,720,748</w:t>
            </w:r>
          </w:p>
        </w:tc>
        <w:tc>
          <w:tcPr>
            <w:tcW w:w="1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374,777,281</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871,985</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jc w:val="right"/>
              <w:ind w:right="143"/>
              <w:spacing w:after="0"/>
              <w:rPr>
                <w:sz w:val="20"/>
                <w:szCs w:val="20"/>
                <w:color w:val="auto"/>
              </w:rPr>
            </w:pPr>
            <w:r>
              <w:rPr>
                <w:rFonts w:ascii="Arial" w:cs="Arial" w:eastAsia="Arial" w:hAnsi="Arial"/>
                <w:sz w:val="13"/>
                <w:szCs w:val="13"/>
                <w:color w:val="auto"/>
              </w:rPr>
              <w:t>2.33</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jc w:val="right"/>
              <w:ind w:right="181"/>
              <w:spacing w:after="0"/>
              <w:rPr>
                <w:sz w:val="20"/>
                <w:szCs w:val="20"/>
                <w:color w:val="auto"/>
              </w:rPr>
            </w:pPr>
            <w:r>
              <w:rPr>
                <w:rFonts w:ascii="Arial" w:cs="Arial" w:eastAsia="Arial" w:hAnsi="Arial"/>
                <w:sz w:val="13"/>
                <w:szCs w:val="13"/>
                <w:color w:val="auto"/>
              </w:rPr>
              <w:t>3.64</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1,362,891</w:t>
            </w:r>
          </w:p>
        </w:tc>
      </w:tr>
      <w:tr>
        <w:trPr>
          <w:trHeight w:val="152"/>
        </w:trPr>
        <w:tc>
          <w:tcPr>
            <w:tcW w:w="2960" w:type="dxa"/>
            <w:vAlign w:val="bottom"/>
            <w:tcBorders>
              <w:bottom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10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757,857,435</w:t>
            </w:r>
          </w:p>
        </w:tc>
        <w:tc>
          <w:tcPr>
            <w:tcW w:w="1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502,582,535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1,074,010</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1,575,342</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significant rights and preferences of the outstanding convertible preferred shares are as follows:</w:t>
      </w:r>
    </w:p>
    <w:p>
      <w:pPr>
        <w:spacing w:after="0" w:line="158" w:lineRule="exact"/>
        <w:rPr>
          <w:sz w:val="20"/>
          <w:szCs w:val="20"/>
          <w:color w:val="auto"/>
        </w:rPr>
      </w:pPr>
    </w:p>
    <w:p>
      <w:pPr>
        <w:ind w:left="20" w:right="79" w:firstLine="231"/>
        <w:spacing w:after="0" w:line="308" w:lineRule="auto"/>
        <w:rPr>
          <w:sz w:val="20"/>
          <w:szCs w:val="20"/>
          <w:color w:val="auto"/>
        </w:rPr>
      </w:pPr>
      <w:r>
        <w:rPr>
          <w:rFonts w:ascii="Arial" w:cs="Arial" w:eastAsia="Arial" w:hAnsi="Arial"/>
          <w:sz w:val="11"/>
          <w:szCs w:val="11"/>
          <w:b w:val="1"/>
          <w:bCs w:val="1"/>
          <w:i w:val="1"/>
          <w:iCs w:val="1"/>
          <w:color w:val="auto"/>
        </w:rPr>
        <w:t xml:space="preserve">Dividends — </w:t>
      </w:r>
      <w:r>
        <w:rPr>
          <w:rFonts w:ascii="Arial" w:cs="Arial" w:eastAsia="Arial" w:hAnsi="Arial"/>
          <w:sz w:val="11"/>
          <w:szCs w:val="11"/>
          <w:color w:val="auto"/>
        </w:rPr>
        <w:t>Holders of Series A, Series B, and Series C are entitled to receive noncumulative dividends an annual rate of $0.03, $0.09, $0.19 per share, respectively.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Holders 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December 31, 2020, and 2019, no dividends have been declared.</w:t>
      </w:r>
    </w:p>
    <w:p>
      <w:pPr>
        <w:spacing w:after="0" w:line="111"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b w:val="1"/>
          <w:bCs w:val="1"/>
          <w:i w:val="1"/>
          <w:iCs w:val="1"/>
          <w:color w:val="auto"/>
        </w:rPr>
        <w:t xml:space="preserve">Liquidation Preference — </w:t>
      </w:r>
      <w:r>
        <w:rPr>
          <w:rFonts w:ascii="Arial" w:cs="Arial" w:eastAsia="Arial" w:hAnsi="Arial"/>
          <w:sz w:val="13"/>
          <w:szCs w:val="13"/>
          <w:color w:val="auto"/>
        </w:rPr>
        <w:t>In the event of any liquidation, dissolution, or winding-up of the Company, whether voluntary or involuntary (a Liquidation Event), before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D, Series C, Series B, and Series A original issue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1" w:name="page52"/>
    <w:bookmarkEnd w:id="51"/>
    <w:p>
      <w:pPr>
        <w:ind w:left="20" w:right="119"/>
        <w:spacing w:after="0" w:line="314" w:lineRule="auto"/>
        <w:rPr>
          <w:sz w:val="20"/>
          <w:szCs w:val="20"/>
          <w:color w:val="auto"/>
        </w:rPr>
      </w:pPr>
      <w:r>
        <w:rPr>
          <w:rFonts w:ascii="Arial" w:cs="Arial" w:eastAsia="Arial" w:hAnsi="Arial"/>
          <w:sz w:val="11"/>
          <w:szCs w:val="11"/>
          <w:color w:val="auto"/>
        </w:rPr>
        <w:t>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07"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129" w:lineRule="exact"/>
        <w:rPr>
          <w:sz w:val="20"/>
          <w:szCs w:val="20"/>
          <w:color w:val="auto"/>
        </w:rPr>
      </w:pPr>
    </w:p>
    <w:p>
      <w:pPr>
        <w:ind w:left="20" w:right="39" w:firstLine="231"/>
        <w:spacing w:after="0" w:line="281" w:lineRule="auto"/>
        <w:rPr>
          <w:sz w:val="20"/>
          <w:szCs w:val="20"/>
          <w:color w:val="auto"/>
        </w:rPr>
      </w:pPr>
      <w:r>
        <w:rPr>
          <w:rFonts w:ascii="Arial" w:cs="Arial" w:eastAsia="Arial" w:hAnsi="Arial"/>
          <w:sz w:val="12"/>
          <w:szCs w:val="12"/>
          <w:b w:val="1"/>
          <w:bCs w:val="1"/>
          <w:i w:val="1"/>
          <w:iCs w:val="1"/>
          <w:color w:val="auto"/>
        </w:rPr>
        <w:t xml:space="preserve">Voting Rights — </w:t>
      </w:r>
      <w:r>
        <w:rPr>
          <w:rFonts w:ascii="Arial" w:cs="Arial" w:eastAsia="Arial" w:hAnsi="Arial"/>
          <w:sz w:val="12"/>
          <w:szCs w:val="12"/>
          <w:color w:val="auto"/>
        </w:rPr>
        <w:t>The holders of Series A, Series B, Series C, Series D and Series E convertible preferred shares are entitled to the number of votes equal to the number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Common 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23" w:lineRule="exact"/>
        <w:rPr>
          <w:sz w:val="20"/>
          <w:szCs w:val="20"/>
          <w:color w:val="auto"/>
        </w:rPr>
      </w:pPr>
    </w:p>
    <w:p>
      <w:pPr>
        <w:ind w:left="20" w:right="39" w:firstLine="231"/>
        <w:spacing w:after="0" w:line="273" w:lineRule="auto"/>
        <w:rPr>
          <w:sz w:val="20"/>
          <w:szCs w:val="20"/>
          <w:color w:val="auto"/>
        </w:rPr>
      </w:pPr>
      <w:r>
        <w:rPr>
          <w:rFonts w:ascii="Arial" w:cs="Arial" w:eastAsia="Arial" w:hAnsi="Arial"/>
          <w:sz w:val="12"/>
          <w:szCs w:val="12"/>
          <w:b w:val="1"/>
          <w:bCs w:val="1"/>
          <w:i w:val="1"/>
          <w:iCs w:val="1"/>
          <w:color w:val="auto"/>
        </w:rPr>
        <w:t xml:space="preserve">Conversion — </w:t>
      </w:r>
      <w:r>
        <w:rPr>
          <w:rFonts w:ascii="Arial" w:cs="Arial" w:eastAsia="Arial" w:hAnsi="Arial"/>
          <w:sz w:val="12"/>
          <w:szCs w:val="12"/>
          <w:color w:val="auto"/>
        </w:rPr>
        <w:t>Each Series A, Series B, Series C, Series D and Series E convertible preferred share is convertible, at the option of the holder, into one fully paid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nonassessable 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128" w:lineRule="exact"/>
        <w:rPr>
          <w:sz w:val="20"/>
          <w:szCs w:val="20"/>
          <w:color w:val="auto"/>
        </w:rPr>
      </w:pPr>
    </w:p>
    <w:p>
      <w:pPr>
        <w:ind w:left="20" w:right="119" w:firstLine="231"/>
        <w:spacing w:after="0" w:line="274" w:lineRule="auto"/>
        <w:rPr>
          <w:sz w:val="20"/>
          <w:szCs w:val="20"/>
          <w:color w:val="auto"/>
        </w:rPr>
      </w:pPr>
      <w:r>
        <w:rPr>
          <w:rFonts w:ascii="Arial" w:cs="Arial" w:eastAsia="Arial" w:hAnsi="Arial"/>
          <w:sz w:val="12"/>
          <w:szCs w:val="12"/>
          <w:b w:val="1"/>
          <w:bCs w:val="1"/>
          <w:i w:val="1"/>
          <w:iCs w:val="1"/>
          <w:color w:val="auto"/>
        </w:rPr>
        <w:t xml:space="preserve">Antidilution Adjustment — </w:t>
      </w:r>
      <w:r>
        <w:rPr>
          <w:rFonts w:ascii="Arial" w:cs="Arial" w:eastAsia="Arial" w:hAnsi="Arial"/>
          <w:sz w:val="12"/>
          <w:szCs w:val="12"/>
          <w:color w:val="auto"/>
        </w:rPr>
        <w:t>Subject to certain exceptions, if the Company issues additional common shares without consideration or for a consideration per share, less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than the 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Common Shares</w:t>
      </w:r>
    </w:p>
    <w:p>
      <w:pPr>
        <w:spacing w:after="0" w:line="162"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2" w:name="page53"/>
    <w:bookmarkEnd w:id="52"/>
    <w:p>
      <w:pPr>
        <w:ind w:left="20"/>
        <w:spacing w:after="0"/>
        <w:rPr>
          <w:sz w:val="20"/>
          <w:szCs w:val="20"/>
          <w:color w:val="auto"/>
        </w:rPr>
      </w:pPr>
      <w:r>
        <w:rPr>
          <w:rFonts w:ascii="Arial" w:cs="Arial" w:eastAsia="Arial" w:hAnsi="Arial"/>
          <w:sz w:val="13"/>
          <w:szCs w:val="13"/>
          <w:b w:val="1"/>
          <w:bCs w:val="1"/>
          <w:color w:val="auto"/>
        </w:rPr>
        <w:t>Common Shares Reserved for Issuance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common shares reserved for future issuances as of December 31, 2020 and 2019, are as follows: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100" w:type="dxa"/>
            <w:vAlign w:val="bottom"/>
          </w:tcPr>
          <w:p>
            <w:pPr>
              <w:spacing w:after="0"/>
              <w:rPr>
                <w:sz w:val="10"/>
                <w:szCs w:val="10"/>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w w:val="90"/>
              </w:rPr>
              <w:t>As of December 31,</w:t>
            </w:r>
          </w:p>
        </w:tc>
        <w:tc>
          <w:tcPr>
            <w:tcW w:w="720" w:type="dxa"/>
            <w:vAlign w:val="bottom"/>
            <w:tcBorders>
              <w:bottom w:val="single" w:sz="8" w:color="auto"/>
            </w:tcBorders>
          </w:tcPr>
          <w:p>
            <w:pPr>
              <w:spacing w:after="0"/>
              <w:rPr>
                <w:sz w:val="10"/>
                <w:szCs w:val="10"/>
                <w:color w:val="auto"/>
              </w:rPr>
            </w:pPr>
          </w:p>
        </w:tc>
      </w:tr>
      <w:tr>
        <w:trPr>
          <w:trHeight w:val="95"/>
        </w:trPr>
        <w:tc>
          <w:tcPr>
            <w:tcW w:w="6100" w:type="dxa"/>
            <w:vAlign w:val="bottom"/>
            <w:tcBorders>
              <w:bottom w:val="single" w:sz="8" w:color="CCEEFF"/>
            </w:tcBorders>
          </w:tcPr>
          <w:p>
            <w:pPr>
              <w:spacing w:after="0"/>
              <w:rPr>
                <w:sz w:val="8"/>
                <w:szCs w:val="8"/>
                <w:color w:val="auto"/>
              </w:rPr>
            </w:pPr>
          </w:p>
        </w:tc>
        <w:tc>
          <w:tcPr>
            <w:tcW w:w="1120" w:type="dxa"/>
            <w:vAlign w:val="bottom"/>
            <w:tcBorders>
              <w:bottom w:val="single" w:sz="8" w:color="auto"/>
            </w:tcBorders>
          </w:tcPr>
          <w:p>
            <w:pPr>
              <w:jc w:val="right"/>
              <w:ind w:right="400"/>
              <w:spacing w:after="0" w:line="95"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58"/>
              <w:spacing w:after="0" w:line="95" w:lineRule="exact"/>
              <w:rPr>
                <w:sz w:val="20"/>
                <w:szCs w:val="20"/>
                <w:color w:val="auto"/>
              </w:rPr>
            </w:pPr>
            <w:r>
              <w:rPr>
                <w:rFonts w:ascii="Arial" w:cs="Arial" w:eastAsia="Arial" w:hAnsi="Arial"/>
                <w:sz w:val="10"/>
                <w:szCs w:val="10"/>
                <w:b w:val="1"/>
                <w:bCs w:val="1"/>
                <w:color w:val="auto"/>
              </w:rPr>
              <w:t>2019</w:t>
            </w:r>
          </w:p>
        </w:tc>
      </w:tr>
      <w:tr>
        <w:trPr>
          <w:trHeight w:val="143"/>
        </w:trPr>
        <w:tc>
          <w:tcPr>
            <w:tcW w:w="61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Convertible preferred shares outstanding</w:t>
            </w:r>
          </w:p>
        </w:tc>
        <w:tc>
          <w:tcPr>
            <w:tcW w:w="1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957,159,704</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1"/>
              </w:rPr>
              <w:t>502,582,535</w:t>
            </w:r>
          </w:p>
        </w:tc>
      </w:tr>
      <w:tr>
        <w:trPr>
          <w:trHeight w:val="154"/>
        </w:trPr>
        <w:tc>
          <w:tcPr>
            <w:tcW w:w="6100" w:type="dxa"/>
            <w:vAlign w:val="bottom"/>
          </w:tcPr>
          <w:p>
            <w:pPr>
              <w:spacing w:after="0"/>
              <w:rPr>
                <w:sz w:val="20"/>
                <w:szCs w:val="20"/>
                <w:color w:val="auto"/>
              </w:rPr>
            </w:pPr>
            <w:r>
              <w:rPr>
                <w:rFonts w:ascii="Arial" w:cs="Arial" w:eastAsia="Arial" w:hAnsi="Arial"/>
                <w:sz w:val="13"/>
                <w:szCs w:val="13"/>
                <w:color w:val="auto"/>
              </w:rPr>
              <w:t>Share options outstanding</w:t>
            </w:r>
          </w:p>
        </w:tc>
        <w:tc>
          <w:tcPr>
            <w:tcW w:w="1120" w:type="dxa"/>
            <w:vAlign w:val="bottom"/>
          </w:tcPr>
          <w:p>
            <w:pPr>
              <w:jc w:val="right"/>
              <w:spacing w:after="0"/>
              <w:rPr>
                <w:sz w:val="20"/>
                <w:szCs w:val="20"/>
                <w:color w:val="auto"/>
              </w:rPr>
            </w:pPr>
            <w:r>
              <w:rPr>
                <w:rFonts w:ascii="Arial" w:cs="Arial" w:eastAsia="Arial" w:hAnsi="Arial"/>
                <w:sz w:val="13"/>
                <w:szCs w:val="13"/>
                <w:color w:val="auto"/>
              </w:rPr>
              <w:t>70,675,318</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69,305,845</w:t>
            </w:r>
          </w:p>
        </w:tc>
      </w:tr>
      <w:tr>
        <w:trPr>
          <w:trHeight w:val="154"/>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 warrant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1,546,799</w:t>
            </w: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1,546,799</w:t>
            </w:r>
          </w:p>
        </w:tc>
      </w:tr>
      <w:tr>
        <w:trPr>
          <w:trHeight w:val="154"/>
        </w:trPr>
        <w:tc>
          <w:tcPr>
            <w:tcW w:w="61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Shares available for future grants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10,526,235</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19,398,663</w:t>
            </w:r>
          </w:p>
        </w:tc>
      </w:tr>
      <w:tr>
        <w:trPr>
          <w:trHeight w:val="152"/>
        </w:trPr>
        <w:tc>
          <w:tcPr>
            <w:tcW w:w="61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common shares reserved</w:t>
            </w:r>
          </w:p>
        </w:tc>
        <w:tc>
          <w:tcPr>
            <w:tcW w:w="1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1,039,908,056</w:t>
            </w:r>
          </w:p>
        </w:tc>
        <w:tc>
          <w:tcPr>
            <w:tcW w:w="1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91"/>
              </w:rPr>
              <w:t>529,833,842</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9 — SHARES-BASED AWARDS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Share Incentive Plans and Share Option Grants to Employees and Directors</w:t>
      </w:r>
    </w:p>
    <w:p>
      <w:pPr>
        <w:spacing w:after="0" w:line="162" w:lineRule="exact"/>
        <w:rPr>
          <w:sz w:val="20"/>
          <w:szCs w:val="20"/>
          <w:color w:val="auto"/>
        </w:rPr>
      </w:pPr>
    </w:p>
    <w:p>
      <w:pPr>
        <w:ind w:left="20" w:right="119" w:firstLine="231"/>
        <w:spacing w:after="0" w:line="275" w:lineRule="auto"/>
        <w:rPr>
          <w:sz w:val="20"/>
          <w:szCs w:val="20"/>
          <w:color w:val="auto"/>
        </w:rPr>
      </w:pPr>
      <w:r>
        <w:rPr>
          <w:rFonts w:ascii="Arial" w:cs="Arial" w:eastAsia="Arial" w:hAnsi="Arial"/>
          <w:sz w:val="12"/>
          <w:szCs w:val="12"/>
          <w:color w:val="auto"/>
        </w:rPr>
        <w:t>In 2009, the Company adopted the 2009 Share Plan (the “2009 Plan”). In 2014, in connection with the Series C convertible preferred share financing, the Company adopted the 2014 Share Plan (the “2014 Plan”). Both the 2009 Plan and the 2014 Plan provide for the granting of incentive and non-statutory share options to directors, officers, employees, and consultants. Under the 2009 Plan and the 2014 Plan, the Company may grant options to purchase up to 13,220,000 and 84,301,798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128"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As of December 31, 2020, nil and 10,526,235 shares were remaining under the 2009 Plan and the 2014 Plan, respectively, for future grant. As of December 31, 2019, nil and 19,398,663 shares were remaining under the 2009 Plan and the 2014 Plan, respectively, for future grant.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summary of share option activity under the 2009 Plan and the 2014 Plan is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344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0"/>
                <w:szCs w:val="10"/>
                <w:b w:val="1"/>
                <w:bCs w:val="1"/>
                <w:color w:val="auto"/>
              </w:rPr>
              <w:t>Outstanding Options</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r>
        <w:trPr>
          <w:trHeight w:val="81"/>
        </w:trPr>
        <w:tc>
          <w:tcPr>
            <w:tcW w:w="34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Weighted-</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06"/>
        </w:trPr>
        <w:tc>
          <w:tcPr>
            <w:tcW w:w="3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center"/>
              <w:ind w:right="140"/>
              <w:spacing w:after="0" w:line="106" w:lineRule="exact"/>
              <w:rPr>
                <w:sz w:val="20"/>
                <w:szCs w:val="20"/>
                <w:color w:val="auto"/>
              </w:rPr>
            </w:pPr>
            <w:r>
              <w:rPr>
                <w:rFonts w:ascii="Arial" w:cs="Arial" w:eastAsia="Arial" w:hAnsi="Arial"/>
                <w:sz w:val="10"/>
                <w:szCs w:val="10"/>
                <w:b w:val="1"/>
                <w:bCs w:val="1"/>
                <w:color w:val="auto"/>
                <w:w w:val="88"/>
              </w:rPr>
              <w:t>Weighted</w:t>
            </w:r>
          </w:p>
        </w:tc>
        <w:tc>
          <w:tcPr>
            <w:tcW w:w="92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6"/>
        </w:trPr>
        <w:tc>
          <w:tcPr>
            <w:tcW w:w="3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left="174"/>
              <w:spacing w:after="0" w:line="106" w:lineRule="exact"/>
              <w:rPr>
                <w:sz w:val="20"/>
                <w:szCs w:val="20"/>
                <w:color w:val="auto"/>
              </w:rPr>
            </w:pPr>
            <w:r>
              <w:rPr>
                <w:rFonts w:ascii="Arial" w:cs="Arial" w:eastAsia="Arial" w:hAnsi="Arial"/>
                <w:sz w:val="10"/>
                <w:szCs w:val="10"/>
                <w:b w:val="1"/>
                <w:bCs w:val="1"/>
                <w:color w:val="auto"/>
                <w:w w:val="91"/>
              </w:rPr>
              <w:t>Average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120"/>
              <w:spacing w:after="0" w:line="106" w:lineRule="exact"/>
              <w:rPr>
                <w:sz w:val="20"/>
                <w:szCs w:val="20"/>
                <w:color w:val="auto"/>
              </w:rPr>
            </w:pPr>
            <w:r>
              <w:rPr>
                <w:rFonts w:ascii="Arial" w:cs="Arial" w:eastAsia="Arial" w:hAnsi="Arial"/>
                <w:sz w:val="10"/>
                <w:szCs w:val="10"/>
                <w:b w:val="1"/>
                <w:bCs w:val="1"/>
                <w:color w:val="auto"/>
                <w:w w:val="93"/>
              </w:rPr>
              <w:t>Remaining</w:t>
            </w:r>
          </w:p>
        </w:tc>
        <w:tc>
          <w:tcPr>
            <w:tcW w:w="120" w:type="dxa"/>
            <w:vAlign w:val="bottom"/>
          </w:tcPr>
          <w:p>
            <w:pPr>
              <w:spacing w:after="0"/>
              <w:rPr>
                <w:sz w:val="9"/>
                <w:szCs w:val="9"/>
                <w:color w:val="auto"/>
              </w:rPr>
            </w:pPr>
          </w:p>
        </w:tc>
        <w:tc>
          <w:tcPr>
            <w:tcW w:w="700" w:type="dxa"/>
            <w:vAlign w:val="bottom"/>
          </w:tcPr>
          <w:p>
            <w:pPr>
              <w:jc w:val="center"/>
              <w:ind w:right="69"/>
              <w:spacing w:after="0" w:line="106" w:lineRule="exact"/>
              <w:rPr>
                <w:sz w:val="20"/>
                <w:szCs w:val="20"/>
                <w:color w:val="auto"/>
              </w:rPr>
            </w:pPr>
            <w:r>
              <w:rPr>
                <w:rFonts w:ascii="Arial" w:cs="Arial" w:eastAsia="Arial" w:hAnsi="Arial"/>
                <w:sz w:val="10"/>
                <w:szCs w:val="10"/>
                <w:b w:val="1"/>
                <w:bCs w:val="1"/>
                <w:color w:val="auto"/>
                <w:w w:val="97"/>
              </w:rPr>
              <w:t>Intrinsic</w:t>
            </w:r>
          </w:p>
        </w:tc>
      </w:tr>
      <w:tr>
        <w:trPr>
          <w:trHeight w:val="106"/>
        </w:trPr>
        <w:tc>
          <w:tcPr>
            <w:tcW w:w="3440" w:type="dxa"/>
            <w:vAlign w:val="bottom"/>
          </w:tcPr>
          <w:p>
            <w:pPr>
              <w:spacing w:after="0"/>
              <w:rPr>
                <w:sz w:val="9"/>
                <w:szCs w:val="9"/>
                <w:color w:val="auto"/>
              </w:rPr>
            </w:pPr>
          </w:p>
        </w:tc>
        <w:tc>
          <w:tcPr>
            <w:tcW w:w="142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1"/>
              </w:rPr>
              <w:t>Shares Available for</w:t>
            </w:r>
          </w:p>
        </w:tc>
        <w:tc>
          <w:tcPr>
            <w:tcW w:w="1340" w:type="dxa"/>
            <w:vAlign w:val="bottom"/>
            <w:gridSpan w:val="2"/>
          </w:tcPr>
          <w:p>
            <w:pPr>
              <w:jc w:val="right"/>
              <w:ind w:right="460"/>
              <w:spacing w:after="0" w:line="106" w:lineRule="exact"/>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9"/>
                <w:szCs w:val="9"/>
                <w:color w:val="auto"/>
              </w:rPr>
            </w:pPr>
          </w:p>
        </w:tc>
        <w:tc>
          <w:tcPr>
            <w:tcW w:w="580" w:type="dxa"/>
            <w:vAlign w:val="bottom"/>
          </w:tcPr>
          <w:p>
            <w:pPr>
              <w:jc w:val="center"/>
              <w:ind w:left="174"/>
              <w:spacing w:after="0" w:line="106" w:lineRule="exact"/>
              <w:rPr>
                <w:sz w:val="20"/>
                <w:szCs w:val="20"/>
                <w:color w:val="auto"/>
              </w:rPr>
            </w:pPr>
            <w:r>
              <w:rPr>
                <w:rFonts w:ascii="Arial" w:cs="Arial" w:eastAsia="Arial" w:hAnsi="Arial"/>
                <w:sz w:val="10"/>
                <w:szCs w:val="10"/>
                <w:b w:val="1"/>
                <w:bCs w:val="1"/>
                <w:color w:val="auto"/>
                <w:w w:val="87"/>
              </w:rPr>
              <w:t>Exercise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9"/>
                <w:szCs w:val="9"/>
                <w:color w:val="auto"/>
              </w:rPr>
            </w:pPr>
          </w:p>
        </w:tc>
        <w:tc>
          <w:tcPr>
            <w:tcW w:w="700" w:type="dxa"/>
            <w:vAlign w:val="bottom"/>
          </w:tcPr>
          <w:p>
            <w:pPr>
              <w:jc w:val="center"/>
              <w:ind w:right="69"/>
              <w:spacing w:after="0" w:line="106" w:lineRule="exact"/>
              <w:rPr>
                <w:sz w:val="20"/>
                <w:szCs w:val="20"/>
                <w:color w:val="auto"/>
              </w:rPr>
            </w:pPr>
            <w:r>
              <w:rPr>
                <w:rFonts w:ascii="Arial" w:cs="Arial" w:eastAsia="Arial" w:hAnsi="Arial"/>
                <w:sz w:val="10"/>
                <w:szCs w:val="10"/>
                <w:b w:val="1"/>
                <w:bCs w:val="1"/>
                <w:color w:val="auto"/>
                <w:w w:val="91"/>
              </w:rPr>
              <w:t>Value (in</w:t>
            </w:r>
          </w:p>
        </w:tc>
      </w:tr>
      <w:tr>
        <w:trPr>
          <w:trHeight w:val="121"/>
        </w:trPr>
        <w:tc>
          <w:tcPr>
            <w:tcW w:w="3440" w:type="dxa"/>
            <w:vAlign w:val="bottom"/>
          </w:tcPr>
          <w:p>
            <w:pPr>
              <w:spacing w:after="0"/>
              <w:rPr>
                <w:sz w:val="10"/>
                <w:szCs w:val="1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Grant</w:t>
            </w:r>
          </w:p>
        </w:tc>
        <w:tc>
          <w:tcPr>
            <w:tcW w:w="13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Options</w:t>
            </w:r>
          </w:p>
        </w:tc>
        <w:tc>
          <w:tcPr>
            <w:tcW w:w="80" w:type="dxa"/>
            <w:vAlign w:val="bottom"/>
          </w:tcPr>
          <w:p>
            <w:pPr>
              <w:spacing w:after="0"/>
              <w:rPr>
                <w:sz w:val="10"/>
                <w:szCs w:val="10"/>
                <w:color w:val="auto"/>
              </w:rPr>
            </w:pPr>
          </w:p>
        </w:tc>
        <w:tc>
          <w:tcPr>
            <w:tcW w:w="580" w:type="dxa"/>
            <w:vAlign w:val="bottom"/>
          </w:tcPr>
          <w:p>
            <w:pPr>
              <w:jc w:val="center"/>
              <w:ind w:left="174"/>
              <w:spacing w:after="0"/>
              <w:rPr>
                <w:sz w:val="20"/>
                <w:szCs w:val="20"/>
                <w:color w:val="auto"/>
              </w:rPr>
            </w:pPr>
            <w:r>
              <w:rPr>
                <w:rFonts w:ascii="Arial" w:cs="Arial" w:eastAsia="Arial" w:hAnsi="Arial"/>
                <w:sz w:val="10"/>
                <w:szCs w:val="10"/>
                <w:b w:val="1"/>
                <w:bCs w:val="1"/>
                <w:color w:val="auto"/>
                <w:w w:val="97"/>
              </w:rPr>
              <w:t>Price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Term</w:t>
            </w:r>
          </w:p>
        </w:tc>
        <w:tc>
          <w:tcPr>
            <w:tcW w:w="120" w:type="dxa"/>
            <w:vAlign w:val="bottom"/>
          </w:tcPr>
          <w:p>
            <w:pPr>
              <w:spacing w:after="0"/>
              <w:rPr>
                <w:sz w:val="10"/>
                <w:szCs w:val="10"/>
                <w:color w:val="auto"/>
              </w:rPr>
            </w:pPr>
          </w:p>
        </w:tc>
        <w:tc>
          <w:tcPr>
            <w:tcW w:w="700" w:type="dxa"/>
            <w:vAlign w:val="bottom"/>
          </w:tcPr>
          <w:p>
            <w:pPr>
              <w:jc w:val="center"/>
              <w:ind w:right="69"/>
              <w:spacing w:after="0"/>
              <w:rPr>
                <w:sz w:val="20"/>
                <w:szCs w:val="20"/>
                <w:color w:val="auto"/>
              </w:rPr>
            </w:pPr>
            <w:r>
              <w:rPr>
                <w:rFonts w:ascii="Arial" w:cs="Arial" w:eastAsia="Arial" w:hAnsi="Arial"/>
                <w:sz w:val="10"/>
                <w:szCs w:val="10"/>
                <w:b w:val="1"/>
                <w:bCs w:val="1"/>
                <w:color w:val="auto"/>
                <w:w w:val="85"/>
              </w:rPr>
              <w:t>thousands)</w:t>
            </w:r>
          </w:p>
        </w:tc>
      </w:tr>
      <w:tr>
        <w:trPr>
          <w:trHeight w:val="95"/>
        </w:trPr>
        <w:tc>
          <w:tcPr>
            <w:tcW w:w="344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r>
      <w:tr>
        <w:trPr>
          <w:trHeight w:val="106"/>
        </w:trPr>
        <w:tc>
          <w:tcPr>
            <w:tcW w:w="344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 January 1, 2019</w:t>
            </w:r>
          </w:p>
        </w:tc>
        <w:tc>
          <w:tcPr>
            <w:tcW w:w="12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50,917,795</w:t>
            </w: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38,909,781</w:t>
            </w:r>
          </w:p>
        </w:tc>
        <w:tc>
          <w:tcPr>
            <w:tcW w:w="8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494"/>
              <w:spacing w:after="0" w:line="106"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1"/>
              </w:rPr>
              <w:t>0.40</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6.37</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9"/>
              <w:spacing w:after="0" w:line="106" w:lineRule="exact"/>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12,341</w:t>
            </w:r>
          </w:p>
        </w:tc>
      </w:tr>
      <w:tr>
        <w:trPr>
          <w:trHeight w:val="106"/>
        </w:trPr>
        <w:tc>
          <w:tcPr>
            <w:tcW w:w="3440" w:type="dxa"/>
            <w:vAlign w:val="bottom"/>
          </w:tcPr>
          <w:p>
            <w:pPr>
              <w:ind w:left="100"/>
              <w:spacing w:after="0" w:line="106" w:lineRule="exact"/>
              <w:rPr>
                <w:sz w:val="20"/>
                <w:szCs w:val="20"/>
                <w:color w:val="auto"/>
              </w:rPr>
            </w:pPr>
            <w:r>
              <w:rPr>
                <w:rFonts w:ascii="Arial" w:cs="Arial" w:eastAsia="Arial" w:hAnsi="Arial"/>
                <w:sz w:val="10"/>
                <w:szCs w:val="10"/>
                <w:color w:val="auto"/>
              </w:rPr>
              <w:t>Options granted</w:t>
            </w:r>
          </w:p>
        </w:tc>
        <w:tc>
          <w:tcPr>
            <w:tcW w:w="142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(34,221,332)</w:t>
            </w:r>
          </w:p>
        </w:tc>
        <w:tc>
          <w:tcPr>
            <w:tcW w:w="1260" w:type="dxa"/>
            <w:vAlign w:val="bottom"/>
          </w:tcPr>
          <w:p>
            <w:pPr>
              <w:jc w:val="right"/>
              <w:spacing w:after="0" w:line="106" w:lineRule="exact"/>
              <w:rPr>
                <w:sz w:val="20"/>
                <w:szCs w:val="20"/>
                <w:color w:val="auto"/>
              </w:rPr>
            </w:pPr>
            <w:r>
              <w:rPr>
                <w:rFonts w:ascii="Arial" w:cs="Arial" w:eastAsia="Arial" w:hAnsi="Arial"/>
                <w:sz w:val="10"/>
                <w:szCs w:val="10"/>
                <w:color w:val="auto"/>
              </w:rPr>
              <w:t>34,221,332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w w:val="81"/>
              </w:rPr>
              <w:t>0.83</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06"/>
        </w:trPr>
        <w:tc>
          <w:tcPr>
            <w:tcW w:w="34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Options exercised</w:t>
            </w:r>
          </w:p>
        </w:tc>
        <w:tc>
          <w:tcPr>
            <w:tcW w:w="14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(1,123,068)</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1"/>
              </w:rPr>
              <w:t>0.46</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06"/>
        </w:trPr>
        <w:tc>
          <w:tcPr>
            <w:tcW w:w="3440" w:type="dxa"/>
            <w:vAlign w:val="bottom"/>
          </w:tcPr>
          <w:p>
            <w:pPr>
              <w:ind w:left="100"/>
              <w:spacing w:after="0" w:line="106" w:lineRule="exact"/>
              <w:rPr>
                <w:sz w:val="20"/>
                <w:szCs w:val="20"/>
                <w:color w:val="auto"/>
              </w:rPr>
            </w:pPr>
            <w:r>
              <w:rPr>
                <w:rFonts w:ascii="Arial" w:cs="Arial" w:eastAsia="Arial" w:hAnsi="Arial"/>
                <w:sz w:val="10"/>
                <w:szCs w:val="10"/>
                <w:color w:val="auto"/>
              </w:rPr>
              <w:t>Options canceled</w:t>
            </w:r>
          </w:p>
        </w:tc>
        <w:tc>
          <w:tcPr>
            <w:tcW w:w="1280" w:type="dxa"/>
            <w:vAlign w:val="bottom"/>
          </w:tcPr>
          <w:p>
            <w:pPr>
              <w:jc w:val="right"/>
              <w:spacing w:after="0" w:line="106" w:lineRule="exact"/>
              <w:rPr>
                <w:sz w:val="20"/>
                <w:szCs w:val="20"/>
                <w:color w:val="auto"/>
              </w:rPr>
            </w:pPr>
            <w:r>
              <w:rPr>
                <w:rFonts w:ascii="Arial" w:cs="Arial" w:eastAsia="Arial" w:hAnsi="Arial"/>
                <w:sz w:val="10"/>
                <w:szCs w:val="10"/>
                <w:color w:val="auto"/>
              </w:rPr>
              <w:t>2,702,200</w:t>
            </w:r>
          </w:p>
        </w:tc>
        <w:tc>
          <w:tcPr>
            <w:tcW w:w="140" w:type="dxa"/>
            <w:vAlign w:val="bottom"/>
          </w:tcPr>
          <w:p>
            <w:pPr>
              <w:spacing w:after="0"/>
              <w:rPr>
                <w:sz w:val="9"/>
                <w:szCs w:val="9"/>
                <w:color w:val="auto"/>
              </w:rPr>
            </w:pPr>
          </w:p>
        </w:tc>
        <w:tc>
          <w:tcPr>
            <w:tcW w:w="13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(2,702,200)</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w w:val="81"/>
              </w:rPr>
              <w:t>0.73</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95"/>
        </w:trPr>
        <w:tc>
          <w:tcPr>
            <w:tcW w:w="3440" w:type="dxa"/>
            <w:vAlign w:val="bottom"/>
            <w:tcBorders>
              <w:top w:val="single" w:sz="8" w:color="CCEEFF"/>
            </w:tcBorders>
            <w:shd w:val="clear" w:color="auto" w:fill="CCEEFF"/>
          </w:tcPr>
          <w:p>
            <w:pPr>
              <w:spacing w:after="0" w:line="95" w:lineRule="exact"/>
              <w:rPr>
                <w:sz w:val="20"/>
                <w:szCs w:val="20"/>
                <w:color w:val="auto"/>
              </w:rPr>
            </w:pPr>
            <w:r>
              <w:rPr>
                <w:rFonts w:ascii="Arial" w:cs="Arial" w:eastAsia="Arial" w:hAnsi="Arial"/>
                <w:sz w:val="10"/>
                <w:szCs w:val="10"/>
                <w:color w:val="auto"/>
              </w:rPr>
              <w:t>Balance – December 31, 2019</w:t>
            </w:r>
          </w:p>
        </w:tc>
        <w:tc>
          <w:tcPr>
            <w:tcW w:w="128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19,398,663</w:t>
            </w:r>
          </w:p>
        </w:tc>
        <w:tc>
          <w:tcPr>
            <w:tcW w:w="140" w:type="dxa"/>
            <w:vAlign w:val="bottom"/>
            <w:tcBorders>
              <w:top w:val="single" w:sz="8" w:color="CCEEFF"/>
            </w:tcBorders>
            <w:shd w:val="clear" w:color="auto" w:fill="CCEEFF"/>
          </w:tcPr>
          <w:p>
            <w:pPr>
              <w:spacing w:after="0"/>
              <w:rPr>
                <w:sz w:val="8"/>
                <w:szCs w:val="8"/>
                <w:color w:val="auto"/>
              </w:rPr>
            </w:pPr>
          </w:p>
        </w:tc>
        <w:tc>
          <w:tcPr>
            <w:tcW w:w="126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69,305,845</w:t>
            </w: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Arial" w:cs="Arial" w:eastAsia="Arial" w:hAnsi="Arial"/>
                <w:sz w:val="5"/>
                <w:szCs w:val="5"/>
                <w:color w:val="auto"/>
                <w:w w:val="70"/>
              </w:rPr>
              <w:t>$</w:t>
            </w:r>
          </w:p>
        </w:tc>
        <w:tc>
          <w:tcPr>
            <w:tcW w:w="22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w w:val="81"/>
              </w:rPr>
              <w:t>0.60</w:t>
            </w:r>
          </w:p>
        </w:tc>
        <w:tc>
          <w:tcPr>
            <w:tcW w:w="1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6.27</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9"/>
              <w:spacing w:after="0" w:line="95"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21,236</w:t>
            </w:r>
          </w:p>
        </w:tc>
      </w:tr>
      <w:tr>
        <w:trPr>
          <w:trHeight w:val="95"/>
        </w:trPr>
        <w:tc>
          <w:tcPr>
            <w:tcW w:w="3440" w:type="dxa"/>
            <w:vAlign w:val="bottom"/>
          </w:tcPr>
          <w:p>
            <w:pPr>
              <w:ind w:left="100"/>
              <w:spacing w:after="0" w:line="95" w:lineRule="exact"/>
              <w:rPr>
                <w:sz w:val="20"/>
                <w:szCs w:val="20"/>
                <w:color w:val="auto"/>
              </w:rPr>
            </w:pPr>
            <w:r>
              <w:rPr>
                <w:rFonts w:ascii="Arial" w:cs="Arial" w:eastAsia="Arial" w:hAnsi="Arial"/>
                <w:sz w:val="10"/>
                <w:szCs w:val="10"/>
                <w:color w:val="auto"/>
              </w:rPr>
              <w:t>Options granted</w:t>
            </w:r>
          </w:p>
        </w:tc>
        <w:tc>
          <w:tcPr>
            <w:tcW w:w="1280" w:type="dxa"/>
            <w:vAlign w:val="bottom"/>
          </w:tcPr>
          <w:p>
            <w:pPr>
              <w:jc w:val="right"/>
              <w:spacing w:after="0" w:line="95" w:lineRule="exact"/>
              <w:rPr>
                <w:sz w:val="20"/>
                <w:szCs w:val="20"/>
                <w:color w:val="auto"/>
              </w:rPr>
            </w:pPr>
            <w:r>
              <w:rPr>
                <w:rFonts w:ascii="Arial" w:cs="Arial" w:eastAsia="Arial" w:hAnsi="Arial"/>
                <w:sz w:val="10"/>
                <w:szCs w:val="10"/>
                <w:color w:val="auto"/>
              </w:rPr>
              <w:t>(23,820,351)</w:t>
            </w:r>
          </w:p>
        </w:tc>
        <w:tc>
          <w:tcPr>
            <w:tcW w:w="140" w:type="dxa"/>
            <w:vAlign w:val="bottom"/>
          </w:tcPr>
          <w:p>
            <w:pPr>
              <w:spacing w:after="0"/>
              <w:rPr>
                <w:sz w:val="8"/>
                <w:szCs w:val="8"/>
                <w:color w:val="auto"/>
              </w:rPr>
            </w:pPr>
          </w:p>
        </w:tc>
        <w:tc>
          <w:tcPr>
            <w:tcW w:w="1260" w:type="dxa"/>
            <w:vAlign w:val="bottom"/>
          </w:tcPr>
          <w:p>
            <w:pPr>
              <w:jc w:val="right"/>
              <w:spacing w:after="0" w:line="95" w:lineRule="exact"/>
              <w:rPr>
                <w:sz w:val="20"/>
                <w:szCs w:val="20"/>
                <w:color w:val="auto"/>
              </w:rPr>
            </w:pPr>
            <w:r>
              <w:rPr>
                <w:rFonts w:ascii="Arial" w:cs="Arial" w:eastAsia="Arial" w:hAnsi="Arial"/>
                <w:sz w:val="10"/>
                <w:szCs w:val="10"/>
                <w:color w:val="auto"/>
              </w:rPr>
              <w:t>23,820,351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w w:val="81"/>
              </w:rPr>
              <w:t>1.16</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06"/>
        </w:trPr>
        <w:tc>
          <w:tcPr>
            <w:tcW w:w="3440" w:type="dxa"/>
            <w:vAlign w:val="bottom"/>
            <w:shd w:val="clear" w:color="auto" w:fill="CCEEFF"/>
          </w:tcPr>
          <w:p>
            <w:pPr>
              <w:ind w:left="100"/>
              <w:spacing w:after="0" w:line="106" w:lineRule="exact"/>
              <w:rPr>
                <w:sz w:val="20"/>
                <w:szCs w:val="20"/>
                <w:color w:val="auto"/>
              </w:rPr>
            </w:pPr>
            <w:r>
              <w:rPr>
                <w:rFonts w:ascii="Arial" w:cs="Arial" w:eastAsia="Arial" w:hAnsi="Arial"/>
                <w:sz w:val="10"/>
                <w:szCs w:val="10"/>
                <w:color w:val="auto"/>
              </w:rPr>
              <w:t>Options exercised</w:t>
            </w:r>
          </w:p>
        </w:tc>
        <w:tc>
          <w:tcPr>
            <w:tcW w:w="1420" w:type="dxa"/>
            <w:vAlign w:val="bottom"/>
            <w:gridSpan w:val="2"/>
            <w:shd w:val="clear" w:color="auto" w:fill="CCEEFF"/>
          </w:tcPr>
          <w:p>
            <w:pPr>
              <w:jc w:val="right"/>
              <w:ind w:right="180"/>
              <w:spacing w:after="0" w:line="106" w:lineRule="exact"/>
              <w:rPr>
                <w:sz w:val="20"/>
                <w:szCs w:val="20"/>
                <w:color w:val="auto"/>
              </w:rPr>
            </w:pPr>
            <w:r>
              <w:rPr>
                <w:rFonts w:ascii="Arial" w:cs="Arial" w:eastAsia="Arial" w:hAnsi="Arial"/>
                <w:sz w:val="10"/>
                <w:szCs w:val="10"/>
                <w:color w:val="auto"/>
              </w:rPr>
              <w:t>—</w:t>
            </w:r>
          </w:p>
        </w:tc>
        <w:tc>
          <w:tcPr>
            <w:tcW w:w="134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(7,502,955)</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81"/>
              </w:rPr>
              <w:t>0.43</w:t>
            </w: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06"/>
        </w:trPr>
        <w:tc>
          <w:tcPr>
            <w:tcW w:w="3440" w:type="dxa"/>
            <w:vAlign w:val="bottom"/>
          </w:tcPr>
          <w:p>
            <w:pPr>
              <w:ind w:left="100"/>
              <w:spacing w:after="0" w:line="106" w:lineRule="exact"/>
              <w:rPr>
                <w:sz w:val="20"/>
                <w:szCs w:val="20"/>
                <w:color w:val="auto"/>
              </w:rPr>
            </w:pPr>
            <w:r>
              <w:rPr>
                <w:rFonts w:ascii="Arial" w:cs="Arial" w:eastAsia="Arial" w:hAnsi="Arial"/>
                <w:sz w:val="10"/>
                <w:szCs w:val="10"/>
                <w:color w:val="auto"/>
              </w:rPr>
              <w:t>Options canceled</w:t>
            </w:r>
          </w:p>
        </w:tc>
        <w:tc>
          <w:tcPr>
            <w:tcW w:w="1280" w:type="dxa"/>
            <w:vAlign w:val="bottom"/>
          </w:tcPr>
          <w:p>
            <w:pPr>
              <w:jc w:val="right"/>
              <w:spacing w:after="0" w:line="106" w:lineRule="exact"/>
              <w:rPr>
                <w:sz w:val="20"/>
                <w:szCs w:val="20"/>
                <w:color w:val="auto"/>
              </w:rPr>
            </w:pPr>
            <w:r>
              <w:rPr>
                <w:rFonts w:ascii="Arial" w:cs="Arial" w:eastAsia="Arial" w:hAnsi="Arial"/>
                <w:sz w:val="10"/>
                <w:szCs w:val="10"/>
                <w:color w:val="auto"/>
              </w:rPr>
              <w:t>14,947,923</w:t>
            </w:r>
          </w:p>
        </w:tc>
        <w:tc>
          <w:tcPr>
            <w:tcW w:w="140" w:type="dxa"/>
            <w:vAlign w:val="bottom"/>
          </w:tcPr>
          <w:p>
            <w:pPr>
              <w:spacing w:after="0"/>
              <w:rPr>
                <w:sz w:val="9"/>
                <w:szCs w:val="9"/>
                <w:color w:val="auto"/>
              </w:rPr>
            </w:pPr>
          </w:p>
        </w:tc>
        <w:tc>
          <w:tcPr>
            <w:tcW w:w="134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(14,947,923)</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Arial" w:cs="Arial" w:eastAsia="Arial" w:hAnsi="Arial"/>
                <w:sz w:val="10"/>
                <w:szCs w:val="10"/>
                <w:color w:val="auto"/>
                <w:w w:val="81"/>
              </w:rPr>
              <w:t>0.44</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15"/>
        </w:trPr>
        <w:tc>
          <w:tcPr>
            <w:tcW w:w="3440" w:type="dxa"/>
            <w:vAlign w:val="bottom"/>
            <w:tcBorders>
              <w:top w:val="single" w:sz="8" w:color="CCEEFF"/>
              <w:bottom w:val="single" w:sz="8" w:color="CCEEFF"/>
            </w:tcBorders>
            <w:shd w:val="clear" w:color="auto" w:fill="CCEEFF"/>
          </w:tcPr>
          <w:p>
            <w:pPr>
              <w:spacing w:after="0" w:line="95" w:lineRule="exact"/>
              <w:rPr>
                <w:sz w:val="20"/>
                <w:szCs w:val="20"/>
                <w:color w:val="auto"/>
              </w:rPr>
            </w:pPr>
            <w:r>
              <w:rPr>
                <w:rFonts w:ascii="Arial" w:cs="Arial" w:eastAsia="Arial" w:hAnsi="Arial"/>
                <w:sz w:val="10"/>
                <w:szCs w:val="10"/>
                <w:color w:val="auto"/>
              </w:rPr>
              <w:t>Balance – December 31, 2020</w:t>
            </w:r>
          </w:p>
        </w:tc>
        <w:tc>
          <w:tcPr>
            <w:tcW w:w="128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10,526,235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70,675,318</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jc w:val="right"/>
              <w:spacing w:after="0" w:line="95" w:lineRule="exact"/>
              <w:rPr>
                <w:sz w:val="20"/>
                <w:szCs w:val="20"/>
                <w:color w:val="auto"/>
              </w:rPr>
            </w:pPr>
            <w:r>
              <w:rPr>
                <w:rFonts w:ascii="Arial" w:cs="Arial" w:eastAsia="Arial" w:hAnsi="Arial"/>
                <w:sz w:val="10"/>
                <w:szCs w:val="10"/>
                <w:color w:val="auto"/>
                <w:w w:val="81"/>
              </w:rPr>
              <w:t>0.84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CCEEFF"/>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7.79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jc w:val="right"/>
              <w:ind w:right="9"/>
              <w:spacing w:after="0" w:line="95"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CCEEFF"/>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118,155</w:t>
            </w:r>
          </w:p>
        </w:tc>
      </w:tr>
      <w:tr>
        <w:trPr>
          <w:trHeight w:val="103"/>
        </w:trPr>
        <w:tc>
          <w:tcPr>
            <w:tcW w:w="3440" w:type="dxa"/>
            <w:vAlign w:val="bottom"/>
          </w:tcPr>
          <w:p>
            <w:pPr>
              <w:spacing w:after="0" w:line="95" w:lineRule="exact"/>
              <w:rPr>
                <w:sz w:val="20"/>
                <w:szCs w:val="20"/>
                <w:color w:val="auto"/>
              </w:rPr>
            </w:pPr>
            <w:r>
              <w:rPr>
                <w:rFonts w:ascii="Arial" w:cs="Arial" w:eastAsia="Arial" w:hAnsi="Arial"/>
                <w:sz w:val="10"/>
                <w:szCs w:val="10"/>
                <w:color w:val="auto"/>
              </w:rPr>
              <w:t>Options vested and exercisable December 31, 2020</w:t>
            </w: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color w:val="auto"/>
              </w:rPr>
              <w:t>69,038,732</w:t>
            </w:r>
          </w:p>
        </w:tc>
        <w:tc>
          <w:tcPr>
            <w:tcW w:w="80" w:type="dxa"/>
            <w:vAlign w:val="bottom"/>
          </w:tcPr>
          <w:p>
            <w:pPr>
              <w:spacing w:after="0"/>
              <w:rPr>
                <w:sz w:val="8"/>
                <w:szCs w:val="8"/>
                <w:color w:val="auto"/>
              </w:rPr>
            </w:pPr>
          </w:p>
        </w:tc>
        <w:tc>
          <w:tcPr>
            <w:tcW w:w="660" w:type="dxa"/>
            <w:vAlign w:val="bottom"/>
            <w:gridSpan w:val="2"/>
          </w:tcPr>
          <w:p>
            <w:pPr>
              <w:jc w:val="right"/>
              <w:ind w:right="494"/>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w w:val="81"/>
              </w:rPr>
              <w:t>0.66</w:t>
            </w:r>
          </w:p>
        </w:tc>
        <w:tc>
          <w:tcPr>
            <w:tcW w:w="140" w:type="dxa"/>
            <w:vAlign w:val="bottom"/>
          </w:tcPr>
          <w:p>
            <w:pPr>
              <w:spacing w:after="0"/>
              <w:rPr>
                <w:sz w:val="8"/>
                <w:szCs w:val="8"/>
                <w:color w:val="auto"/>
              </w:rPr>
            </w:pPr>
          </w:p>
        </w:tc>
        <w:tc>
          <w:tcPr>
            <w:tcW w:w="780" w:type="dxa"/>
            <w:vAlign w:val="bottom"/>
          </w:tcPr>
          <w:p>
            <w:pPr>
              <w:jc w:val="right"/>
              <w:spacing w:after="0" w:line="95" w:lineRule="exact"/>
              <w:rPr>
                <w:sz w:val="20"/>
                <w:szCs w:val="20"/>
                <w:color w:val="auto"/>
              </w:rPr>
            </w:pPr>
            <w:r>
              <w:rPr>
                <w:rFonts w:ascii="Arial" w:cs="Arial" w:eastAsia="Arial" w:hAnsi="Arial"/>
                <w:sz w:val="10"/>
                <w:szCs w:val="10"/>
                <w:color w:val="auto"/>
              </w:rPr>
              <w:t>6.75</w:t>
            </w:r>
          </w:p>
        </w:tc>
        <w:tc>
          <w:tcPr>
            <w:tcW w:w="140" w:type="dxa"/>
            <w:vAlign w:val="bottom"/>
          </w:tcPr>
          <w:p>
            <w:pPr>
              <w:spacing w:after="0"/>
              <w:rPr>
                <w:sz w:val="8"/>
                <w:szCs w:val="8"/>
                <w:color w:val="auto"/>
              </w:rPr>
            </w:pPr>
          </w:p>
        </w:tc>
        <w:tc>
          <w:tcPr>
            <w:tcW w:w="120" w:type="dxa"/>
            <w:vAlign w:val="bottom"/>
          </w:tcPr>
          <w:p>
            <w:pPr>
              <w:jc w:val="right"/>
              <w:ind w:right="9"/>
              <w:spacing w:after="0" w:line="95"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95" w:lineRule="exact"/>
              <w:rPr>
                <w:sz w:val="20"/>
                <w:szCs w:val="20"/>
                <w:color w:val="auto"/>
              </w:rPr>
            </w:pPr>
            <w:r>
              <w:rPr>
                <w:rFonts w:ascii="Arial" w:cs="Arial" w:eastAsia="Arial" w:hAnsi="Arial"/>
                <w:sz w:val="10"/>
                <w:szCs w:val="10"/>
                <w:color w:val="auto"/>
              </w:rPr>
              <w:t>75,944</w:t>
            </w:r>
          </w:p>
        </w:tc>
      </w:tr>
    </w:tbl>
    <w:p>
      <w:pPr>
        <w:spacing w:after="0" w:line="145" w:lineRule="exact"/>
        <w:rPr>
          <w:sz w:val="20"/>
          <w:szCs w:val="20"/>
          <w:color w:val="auto"/>
        </w:rPr>
      </w:pPr>
    </w:p>
    <w:p>
      <w:pPr>
        <w:jc w:val="both"/>
        <w:ind w:left="20" w:right="79" w:firstLine="231"/>
        <w:spacing w:after="0" w:line="267" w:lineRule="auto"/>
        <w:rPr>
          <w:sz w:val="20"/>
          <w:szCs w:val="20"/>
          <w:color w:val="auto"/>
        </w:rPr>
      </w:pPr>
      <w:r>
        <w:rPr>
          <w:rFonts w:ascii="Arial" w:cs="Arial" w:eastAsia="Arial" w:hAnsi="Arial"/>
          <w:sz w:val="13"/>
          <w:szCs w:val="13"/>
          <w:color w:val="auto"/>
        </w:rPr>
        <w:t>Aggregate intrinsic value represents the difference between the exercise price of the options and the estimated fair value of common shares. The aggregate intrinsic value of options exercised was approximately $8.3 million and $0.4 million in 2020 and 2019, respectively.</w:t>
      </w:r>
    </w:p>
    <w:p>
      <w:pPr>
        <w:spacing w:after="0" w:line="129" w:lineRule="exact"/>
        <w:rPr>
          <w:sz w:val="20"/>
          <w:szCs w:val="20"/>
          <w:color w:val="auto"/>
        </w:rPr>
      </w:pPr>
    </w:p>
    <w:p>
      <w:pPr>
        <w:ind w:left="20" w:right="379" w:firstLine="231"/>
        <w:spacing w:after="0" w:line="359" w:lineRule="auto"/>
        <w:rPr>
          <w:sz w:val="20"/>
          <w:szCs w:val="20"/>
          <w:color w:val="auto"/>
        </w:rPr>
      </w:pPr>
      <w:r>
        <w:rPr>
          <w:rFonts w:ascii="Arial" w:cs="Arial" w:eastAsia="Arial" w:hAnsi="Arial"/>
          <w:sz w:val="11"/>
          <w:szCs w:val="11"/>
          <w:color w:val="auto"/>
        </w:rPr>
        <w:t>The total fair value of share options granted during the years ended December 31, 2020 and 2019, was approximately $14.8 million and $13.9 million, respectively, which is being recognized over the respective vesting periods. The total fair value of share options vested during the years ended December 31, 2020 and 2019, was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53" w:name="page54"/>
    <w:bookmarkEnd w:id="53"/>
    <w:p>
      <w:pPr>
        <w:ind w:left="20" w:right="139"/>
        <w:spacing w:after="0" w:line="359" w:lineRule="auto"/>
        <w:rPr>
          <w:sz w:val="20"/>
          <w:szCs w:val="20"/>
          <w:color w:val="auto"/>
        </w:rPr>
      </w:pPr>
      <w:r>
        <w:rPr>
          <w:rFonts w:ascii="Arial" w:cs="Arial" w:eastAsia="Arial" w:hAnsi="Arial"/>
          <w:sz w:val="11"/>
          <w:szCs w:val="11"/>
          <w:color w:val="auto"/>
        </w:rPr>
        <w:t>approximately $3.9 million and $6.9 million, respectively. The unamortized share-based compensation for the years ended December 31, 2020 and 2019, was approximately $14.9 million and $6.6 million, and weighted average remaining amortization period as of December 31, 2020 and 2019 was 3.0 years and 2.7 years, respectively.</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Black-Scholes Model used to value share options incorporates the following assumptions:</w:t>
      </w:r>
    </w:p>
    <w:p>
      <w:pPr>
        <w:spacing w:after="0" w:line="158"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b w:val="1"/>
          <w:bCs w:val="1"/>
          <w:i w:val="1"/>
          <w:iCs w:val="1"/>
          <w:color w:val="auto"/>
        </w:rPr>
        <w:t xml:space="preserve">Volatility — </w:t>
      </w:r>
      <w:r>
        <w:rPr>
          <w:rFonts w:ascii="Arial" w:cs="Arial" w:eastAsia="Arial" w:hAnsi="Arial"/>
          <w:sz w:val="13"/>
          <w:szCs w:val="13"/>
          <w:color w:val="auto"/>
        </w:rPr>
        <w:t>The expected share price volatilities are estimated based on the historical and implied volatilities of comparable publicly traded companies as the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does not have sufficient history of trading its common shares.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 xml:space="preserve">Risk-Free Interest Rate — </w:t>
      </w:r>
      <w:r>
        <w:rPr>
          <w:rFonts w:ascii="Arial" w:cs="Arial" w:eastAsia="Arial" w:hAnsi="Arial"/>
          <w:sz w:val="12"/>
          <w:szCs w:val="12"/>
          <w:color w:val="auto"/>
        </w:rPr>
        <w:t>The risk-free interest rates are based on U.S. Treasury yields in effect at the grant date for notes over the expected option term.</w:t>
      </w:r>
    </w:p>
    <w:p>
      <w:pPr>
        <w:spacing w:after="0" w:line="170" w:lineRule="exact"/>
        <w:rPr>
          <w:sz w:val="20"/>
          <w:szCs w:val="20"/>
          <w:color w:val="auto"/>
        </w:rPr>
      </w:pPr>
    </w:p>
    <w:p>
      <w:pPr>
        <w:ind w:left="20" w:right="279" w:firstLine="231"/>
        <w:spacing w:after="0" w:line="359" w:lineRule="auto"/>
        <w:rPr>
          <w:sz w:val="20"/>
          <w:szCs w:val="20"/>
          <w:color w:val="auto"/>
        </w:rPr>
      </w:pPr>
      <w:r>
        <w:rPr>
          <w:rFonts w:ascii="Arial" w:cs="Arial" w:eastAsia="Arial" w:hAnsi="Arial"/>
          <w:sz w:val="11"/>
          <w:szCs w:val="11"/>
          <w:b w:val="1"/>
          <w:bCs w:val="1"/>
          <w:i w:val="1"/>
          <w:iCs w:val="1"/>
          <w:color w:val="auto"/>
        </w:rPr>
        <w:t xml:space="preserve">Expected Life — </w:t>
      </w:r>
      <w:r>
        <w:rPr>
          <w:rFonts w:ascii="Arial" w:cs="Arial" w:eastAsia="Arial" w:hAnsi="Arial"/>
          <w:sz w:val="11"/>
          <w:szCs w:val="11"/>
          <w:color w:val="auto"/>
        </w:rPr>
        <w:t>The expected term of options granted to employees represents the period that the share-based awards are expected to be outstanding. The Company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utilizes historical data when establishing the expected term assumptions. For options granted with an extended exercise term, refer to the below section for details.</w:t>
      </w:r>
    </w:p>
    <w:p>
      <w:pPr>
        <w:spacing w:after="0" w:line="83" w:lineRule="exact"/>
        <w:rPr>
          <w:sz w:val="20"/>
          <w:szCs w:val="20"/>
          <w:color w:val="auto"/>
        </w:rPr>
      </w:pPr>
    </w:p>
    <w:p>
      <w:pPr>
        <w:ind w:left="20" w:right="219" w:firstLine="231"/>
        <w:spacing w:after="0" w:line="309" w:lineRule="auto"/>
        <w:rPr>
          <w:sz w:val="20"/>
          <w:szCs w:val="20"/>
          <w:color w:val="auto"/>
        </w:rPr>
      </w:pPr>
      <w:r>
        <w:rPr>
          <w:rFonts w:ascii="Arial" w:cs="Arial" w:eastAsia="Arial" w:hAnsi="Arial"/>
          <w:sz w:val="12"/>
          <w:szCs w:val="12"/>
          <w:b w:val="1"/>
          <w:bCs w:val="1"/>
          <w:i w:val="1"/>
          <w:iCs w:val="1"/>
          <w:color w:val="auto"/>
        </w:rPr>
        <w:t xml:space="preserve">Dividend Yield — </w:t>
      </w:r>
      <w:r>
        <w:rPr>
          <w:rFonts w:ascii="Arial" w:cs="Arial" w:eastAsia="Arial" w:hAnsi="Arial"/>
          <w:sz w:val="12"/>
          <w:szCs w:val="12"/>
          <w:color w:val="auto"/>
        </w:rPr>
        <w:t>The expected dividend yield assumption of zero is based on our current expectations about our anticipated dividend policy over the expected option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term, and an estimate of expected forfeiture rates. Over the course of the Company’s history, it has not declared or paid any dividends to shareholders.</w:t>
      </w:r>
    </w:p>
    <w:p>
      <w:pPr>
        <w:spacing w:after="0" w:line="106" w:lineRule="exact"/>
        <w:rPr>
          <w:sz w:val="20"/>
          <w:szCs w:val="20"/>
          <w:color w:val="auto"/>
        </w:rPr>
      </w:pPr>
    </w:p>
    <w:p>
      <w:pPr>
        <w:ind w:left="20" w:right="59" w:firstLine="231"/>
        <w:spacing w:after="0" w:line="277" w:lineRule="auto"/>
        <w:rPr>
          <w:sz w:val="20"/>
          <w:szCs w:val="20"/>
          <w:color w:val="auto"/>
        </w:rPr>
      </w:pPr>
      <w:r>
        <w:rPr>
          <w:rFonts w:ascii="Arial" w:cs="Arial" w:eastAsia="Arial" w:hAnsi="Arial"/>
          <w:sz w:val="12"/>
          <w:szCs w:val="12"/>
          <w:color w:val="auto"/>
        </w:rPr>
        <w:t>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Compensation — Stock Compensation, requirements. These amounts are estimates and, thus, may not be reflective of actual future results, nor amounts ultimately realized by recipients of these grants.</w:t>
      </w:r>
    </w:p>
    <w:p>
      <w:pPr>
        <w:spacing w:after="0" w:line="126" w:lineRule="exact"/>
        <w:rPr>
          <w:sz w:val="20"/>
          <w:szCs w:val="20"/>
          <w:color w:val="auto"/>
        </w:rPr>
      </w:pPr>
    </w:p>
    <w:p>
      <w:pPr>
        <w:ind w:left="20" w:right="159" w:firstLine="231"/>
        <w:spacing w:after="0" w:line="267" w:lineRule="auto"/>
        <w:rPr>
          <w:sz w:val="20"/>
          <w:szCs w:val="20"/>
          <w:color w:val="auto"/>
        </w:rPr>
      </w:pPr>
      <w:r>
        <w:rPr>
          <w:rFonts w:ascii="Arial" w:cs="Arial" w:eastAsia="Arial" w:hAnsi="Arial"/>
          <w:sz w:val="13"/>
          <w:szCs w:val="13"/>
          <w:color w:val="auto"/>
        </w:rPr>
        <w:t>A summary of the assumptions the Company utilized to record compensation expense for share options granted during the years ended December 31, 2020 and 2019, is as follows:</w:t>
      </w:r>
    </w:p>
    <w:p>
      <w:pPr>
        <w:spacing w:after="0" w:line="132" w:lineRule="exact"/>
        <w:rPr>
          <w:sz w:val="20"/>
          <w:szCs w:val="20"/>
          <w:color w:val="auto"/>
        </w:rPr>
      </w:pPr>
    </w:p>
    <w:p>
      <w:pPr>
        <w:ind w:left="6900"/>
        <w:spacing w:after="0"/>
        <w:rPr>
          <w:sz w:val="20"/>
          <w:szCs w:val="20"/>
          <w:color w:val="auto"/>
        </w:rPr>
      </w:pPr>
      <w:r>
        <w:rPr>
          <w:rFonts w:ascii="Arial" w:cs="Arial" w:eastAsia="Arial" w:hAnsi="Arial"/>
          <w:sz w:val="10"/>
          <w:szCs w:val="10"/>
          <w:b w:val="1"/>
          <w:bCs w:val="1"/>
          <w:color w:val="auto"/>
        </w:rPr>
        <w:t>Year Ended December 31,</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95"/>
        </w:trPr>
        <w:tc>
          <w:tcPr>
            <w:tcW w:w="62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9"/>
              <w:spacing w:after="0" w:line="95"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CCEEFF"/>
            </w:tcBorders>
          </w:tcPr>
          <w:p>
            <w:pPr>
              <w:spacing w:after="0"/>
              <w:rPr>
                <w:sz w:val="8"/>
                <w:szCs w:val="8"/>
                <w:color w:val="auto"/>
              </w:rPr>
            </w:pPr>
          </w:p>
        </w:tc>
      </w:tr>
      <w:tr>
        <w:trPr>
          <w:trHeight w:val="143"/>
        </w:trPr>
        <w:tc>
          <w:tcPr>
            <w:tcW w:w="62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Weighted average volatility</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5"/>
              </w:rPr>
              <w:t>58.98</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74"/>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42.77</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w:t>
            </w: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Expected term (in years)</w:t>
            </w:r>
          </w:p>
        </w:tc>
        <w:tc>
          <w:tcPr>
            <w:tcW w:w="340" w:type="dxa"/>
            <w:vAlign w:val="bottom"/>
          </w:tcPr>
          <w:p>
            <w:pPr>
              <w:jc w:val="right"/>
              <w:spacing w:after="0"/>
              <w:rPr>
                <w:sz w:val="20"/>
                <w:szCs w:val="20"/>
                <w:color w:val="auto"/>
              </w:rPr>
            </w:pPr>
            <w:r>
              <w:rPr>
                <w:rFonts w:ascii="Arial" w:cs="Arial" w:eastAsia="Arial" w:hAnsi="Arial"/>
                <w:sz w:val="13"/>
                <w:szCs w:val="13"/>
                <w:color w:val="auto"/>
              </w:rPr>
              <w:t>5.9</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560" w:type="dxa"/>
            <w:vAlign w:val="bottom"/>
            <w:gridSpan w:val="2"/>
            <w:shd w:val="clear" w:color="auto" w:fill="CCEEFF"/>
          </w:tcPr>
          <w:p>
            <w:pPr>
              <w:jc w:val="right"/>
              <w:ind w:right="61"/>
              <w:spacing w:after="0"/>
              <w:rPr>
                <w:sz w:val="20"/>
                <w:szCs w:val="20"/>
                <w:color w:val="auto"/>
              </w:rPr>
            </w:pPr>
            <w:r>
              <w:rPr>
                <w:rFonts w:ascii="Arial" w:cs="Arial" w:eastAsia="Arial" w:hAnsi="Arial"/>
                <w:sz w:val="13"/>
                <w:szCs w:val="13"/>
                <w:color w:val="auto"/>
              </w:rPr>
              <w:t>0.75 %</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2.11 %</w:t>
            </w:r>
          </w:p>
        </w:tc>
      </w:tr>
      <w:tr>
        <w:trPr>
          <w:trHeight w:val="162"/>
        </w:trPr>
        <w:tc>
          <w:tcPr>
            <w:tcW w:w="6780" w:type="dxa"/>
            <w:vAlign w:val="bottom"/>
            <w:gridSpan w:val="2"/>
          </w:tcPr>
          <w:p>
            <w:pPr>
              <w:spacing w:after="0"/>
              <w:rPr>
                <w:sz w:val="20"/>
                <w:szCs w:val="20"/>
                <w:color w:val="auto"/>
              </w:rPr>
            </w:pPr>
            <w:r>
              <w:rPr>
                <w:rFonts w:ascii="Arial" w:cs="Arial" w:eastAsia="Arial" w:hAnsi="Arial"/>
                <w:sz w:val="13"/>
                <w:szCs w:val="13"/>
                <w:color w:val="auto"/>
              </w:rPr>
              <w:t>Expected dividends</w:t>
            </w:r>
          </w:p>
        </w:tc>
        <w:tc>
          <w:tcPr>
            <w:tcW w:w="56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recognizes compensation on a straight-line basis over the requisite vesting period for each award.</w:t>
      </w:r>
    </w:p>
    <w:p>
      <w:pPr>
        <w:spacing w:after="0" w:line="158" w:lineRule="exact"/>
        <w:rPr>
          <w:sz w:val="20"/>
          <w:szCs w:val="20"/>
          <w:color w:val="auto"/>
        </w:rPr>
      </w:pPr>
    </w:p>
    <w:p>
      <w:pPr>
        <w:ind w:left="20" w:right="139" w:firstLine="231"/>
        <w:spacing w:after="0" w:line="275" w:lineRule="auto"/>
        <w:rPr>
          <w:sz w:val="20"/>
          <w:szCs w:val="20"/>
          <w:color w:val="auto"/>
        </w:rPr>
      </w:pPr>
      <w:r>
        <w:rPr>
          <w:rFonts w:ascii="Arial" w:cs="Arial" w:eastAsia="Arial" w:hAnsi="Arial"/>
          <w:sz w:val="12"/>
          <w:szCs w:val="12"/>
          <w:color w:val="auto"/>
        </w:rPr>
        <w:t>During the year ended December 31, 2019, the Company granted 17.7 million options to senior management with an extended post-termination exercise term. The extended option exercise period for those options is the earliest of option expiration date, the first anniversary of a qualified IPO, or closing of a change of control. The Company also used the Black-Scholes option-pricing model to value the options with extended exercise term resulting in grant date fair value of $2.7 million in 2019, which were also expensed over the requisite vesting period for each award. In accordance with ASC 718-10-20, the change of control and IPO events are considered performance conditions and are not deemed probable until they occur, therefore the Company determined the expected life of the awards was 10 years, or equal to the contractual life, for use in the Black Scholes model. No such options were granted in 2020.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4" w:name="page55"/>
    <w:bookmarkEnd w:id="54"/>
    <w:p>
      <w:pPr>
        <w:ind w:left="260"/>
        <w:spacing w:after="0"/>
        <w:rPr>
          <w:sz w:val="20"/>
          <w:szCs w:val="20"/>
          <w:color w:val="auto"/>
        </w:rPr>
      </w:pPr>
      <w:r>
        <w:rPr>
          <w:rFonts w:ascii="Arial" w:cs="Arial" w:eastAsia="Arial" w:hAnsi="Arial"/>
          <w:sz w:val="13"/>
          <w:szCs w:val="13"/>
          <w:color w:val="auto"/>
        </w:rPr>
        <w:t>Following are the assumptions used in the valuation of these options: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6800" w:type="dxa"/>
            <w:vAlign w:val="bottom"/>
          </w:tcPr>
          <w:p>
            <w:pPr>
              <w:spacing w:after="0"/>
              <w:rPr>
                <w:sz w:val="10"/>
                <w:szCs w:val="10"/>
                <w:color w:val="auto"/>
              </w:rPr>
            </w:pPr>
          </w:p>
        </w:tc>
        <w:tc>
          <w:tcPr>
            <w:tcW w:w="1580" w:type="dxa"/>
            <w:vAlign w:val="bottom"/>
            <w:gridSpan w:val="2"/>
          </w:tcPr>
          <w:p>
            <w:pPr>
              <w:jc w:val="right"/>
              <w:ind w:right="376"/>
              <w:spacing w:after="0"/>
              <w:rPr>
                <w:sz w:val="20"/>
                <w:szCs w:val="20"/>
                <w:color w:val="auto"/>
              </w:rPr>
            </w:pPr>
            <w:r>
              <w:rPr>
                <w:rFonts w:ascii="Arial" w:cs="Arial" w:eastAsia="Arial" w:hAnsi="Arial"/>
                <w:sz w:val="10"/>
                <w:szCs w:val="10"/>
                <w:b w:val="1"/>
                <w:bCs w:val="1"/>
                <w:color w:val="auto"/>
              </w:rPr>
              <w:t>For the Year Ended</w:t>
            </w:r>
          </w:p>
        </w:tc>
      </w:tr>
      <w:tr>
        <w:trPr>
          <w:trHeight w:val="121"/>
        </w:trPr>
        <w:tc>
          <w:tcPr>
            <w:tcW w:w="6800" w:type="dxa"/>
            <w:vAlign w:val="bottom"/>
          </w:tcPr>
          <w:p>
            <w:pPr>
              <w:spacing w:after="0"/>
              <w:rPr>
                <w:sz w:val="10"/>
                <w:szCs w:val="10"/>
                <w:color w:val="auto"/>
              </w:rPr>
            </w:pPr>
          </w:p>
        </w:tc>
        <w:tc>
          <w:tcPr>
            <w:tcW w:w="1580" w:type="dxa"/>
            <w:vAlign w:val="bottom"/>
            <w:gridSpan w:val="2"/>
          </w:tcPr>
          <w:p>
            <w:pPr>
              <w:jc w:val="right"/>
              <w:ind w:right="396"/>
              <w:spacing w:after="0"/>
              <w:rPr>
                <w:sz w:val="20"/>
                <w:szCs w:val="20"/>
                <w:color w:val="auto"/>
              </w:rPr>
            </w:pPr>
            <w:r>
              <w:rPr>
                <w:rFonts w:ascii="Arial" w:cs="Arial" w:eastAsia="Arial" w:hAnsi="Arial"/>
                <w:sz w:val="10"/>
                <w:szCs w:val="10"/>
                <w:b w:val="1"/>
                <w:bCs w:val="1"/>
                <w:color w:val="auto"/>
              </w:rPr>
              <w:t>December 31, 2019</w:t>
            </w:r>
          </w:p>
        </w:tc>
      </w:tr>
      <w:tr>
        <w:trPr>
          <w:trHeight w:val="143"/>
        </w:trPr>
        <w:tc>
          <w:tcPr>
            <w:tcW w:w="68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Volatility</w:t>
            </w:r>
          </w:p>
        </w:tc>
        <w:tc>
          <w:tcPr>
            <w:tcW w:w="14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47.5</w:t>
            </w:r>
          </w:p>
        </w:tc>
        <w:tc>
          <w:tcPr>
            <w:tcW w:w="16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w:t>
            </w:r>
          </w:p>
        </w:tc>
      </w:tr>
      <w:tr>
        <w:trPr>
          <w:trHeight w:val="154"/>
        </w:trPr>
        <w:tc>
          <w:tcPr>
            <w:tcW w:w="6800" w:type="dxa"/>
            <w:vAlign w:val="bottom"/>
          </w:tcPr>
          <w:p>
            <w:pPr>
              <w:spacing w:after="0"/>
              <w:rPr>
                <w:sz w:val="20"/>
                <w:szCs w:val="20"/>
                <w:color w:val="auto"/>
              </w:rPr>
            </w:pPr>
            <w:r>
              <w:rPr>
                <w:rFonts w:ascii="Arial" w:cs="Arial" w:eastAsia="Arial" w:hAnsi="Arial"/>
                <w:sz w:val="13"/>
                <w:szCs w:val="13"/>
                <w:color w:val="auto"/>
              </w:rPr>
              <w:t>Expected terms (in years)</w:t>
            </w:r>
          </w:p>
        </w:tc>
        <w:tc>
          <w:tcPr>
            <w:tcW w:w="142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3"/>
                <w:szCs w:val="13"/>
                <w:color w:val="auto"/>
              </w:rPr>
            </w:pPr>
          </w:p>
        </w:tc>
      </w:tr>
      <w:tr>
        <w:trPr>
          <w:trHeight w:val="154"/>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2.59 %</w:t>
            </w:r>
          </w:p>
        </w:tc>
      </w:tr>
      <w:tr>
        <w:trPr>
          <w:trHeight w:val="162"/>
        </w:trPr>
        <w:tc>
          <w:tcPr>
            <w:tcW w:w="6800" w:type="dxa"/>
            <w:vAlign w:val="bottom"/>
          </w:tcPr>
          <w:p>
            <w:pPr>
              <w:spacing w:after="0"/>
              <w:rPr>
                <w:sz w:val="20"/>
                <w:szCs w:val="20"/>
                <w:color w:val="auto"/>
              </w:rPr>
            </w:pPr>
            <w:r>
              <w:rPr>
                <w:rFonts w:ascii="Arial" w:cs="Arial" w:eastAsia="Arial" w:hAnsi="Arial"/>
                <w:sz w:val="13"/>
                <w:szCs w:val="13"/>
                <w:color w:val="auto"/>
              </w:rPr>
              <w:t>Expected dividends</w:t>
            </w:r>
          </w:p>
        </w:tc>
        <w:tc>
          <w:tcPr>
            <w:tcW w:w="15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ind w:left="20" w:right="259" w:firstLine="231"/>
        <w:spacing w:after="0" w:line="309" w:lineRule="auto"/>
        <w:rPr>
          <w:sz w:val="20"/>
          <w:szCs w:val="20"/>
          <w:color w:val="auto"/>
        </w:rPr>
      </w:pPr>
      <w:r>
        <w:rPr>
          <w:rFonts w:ascii="Arial" w:cs="Arial" w:eastAsia="Arial" w:hAnsi="Arial"/>
          <w:sz w:val="12"/>
          <w:szCs w:val="12"/>
          <w:color w:val="auto"/>
        </w:rPr>
        <w:t>Total employee and nonemployee share-based compensation expense, including that related to the extended exercise terms for senior management and consultants for the years ended December 31, 2020 and 2019, is classified in the consolidated statements of operations as follows (in thousands):</w:t>
      </w:r>
    </w:p>
    <w:p>
      <w:pPr>
        <w:spacing w:after="0" w:line="110"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39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0"/>
                <w:szCs w:val="10"/>
                <w:color w:val="auto"/>
              </w:rPr>
            </w:pPr>
          </w:p>
        </w:tc>
      </w:tr>
      <w:tr>
        <w:trPr>
          <w:trHeight w:val="95"/>
        </w:trPr>
        <w:tc>
          <w:tcPr>
            <w:tcW w:w="39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6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tcPr>
          <w:p>
            <w:pPr>
              <w:jc w:val="right"/>
              <w:spacing w:after="0" w:line="95" w:lineRule="exact"/>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8"/>
                <w:szCs w:val="8"/>
                <w:color w:val="auto"/>
              </w:rPr>
            </w:pPr>
          </w:p>
        </w:tc>
      </w:tr>
      <w:tr>
        <w:trPr>
          <w:trHeight w:val="143"/>
        </w:trPr>
        <w:tc>
          <w:tcPr>
            <w:tcW w:w="39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Cost of revenue</w:t>
            </w:r>
          </w:p>
        </w:tc>
        <w:tc>
          <w:tcPr>
            <w:tcW w:w="2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213</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443</w:t>
            </w:r>
          </w:p>
        </w:tc>
      </w:tr>
      <w:tr>
        <w:trPr>
          <w:trHeight w:val="154"/>
        </w:trPr>
        <w:tc>
          <w:tcPr>
            <w:tcW w:w="398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2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79"/>
              </w:rPr>
              <w:t>3,724</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5"/>
              </w:rPr>
              <w:t>4,770</w:t>
            </w:r>
          </w:p>
        </w:tc>
      </w:tr>
      <w:tr>
        <w:trPr>
          <w:trHeight w:val="154"/>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2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2,506</w:t>
            </w:r>
          </w:p>
        </w:tc>
      </w:tr>
      <w:tr>
        <w:trPr>
          <w:trHeight w:val="152"/>
        </w:trPr>
        <w:tc>
          <w:tcPr>
            <w:tcW w:w="3980" w:type="dxa"/>
            <w:vAlign w:val="bottom"/>
          </w:tcPr>
          <w:p>
            <w:pPr>
              <w:spacing w:after="0" w:line="144" w:lineRule="exact"/>
              <w:rPr>
                <w:sz w:val="20"/>
                <w:szCs w:val="20"/>
                <w:color w:val="auto"/>
              </w:rPr>
            </w:pPr>
            <w:r>
              <w:rPr>
                <w:rFonts w:ascii="Arial" w:cs="Arial" w:eastAsia="Arial" w:hAnsi="Arial"/>
                <w:sz w:val="13"/>
                <w:szCs w:val="13"/>
                <w:color w:val="auto"/>
              </w:rPr>
              <w:t>Total</w:t>
            </w:r>
          </w:p>
        </w:tc>
        <w:tc>
          <w:tcPr>
            <w:tcW w:w="2220" w:type="dxa"/>
            <w:vAlign w:val="bottom"/>
          </w:tcPr>
          <w:p>
            <w:pPr>
              <w:spacing w:after="0"/>
              <w:rPr>
                <w:sz w:val="13"/>
                <w:szCs w:val="13"/>
                <w:color w:val="auto"/>
              </w:rPr>
            </w:pPr>
          </w:p>
        </w:tc>
        <w:tc>
          <w:tcPr>
            <w:tcW w:w="66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79"/>
              </w:rPr>
              <w:t>4,614</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85"/>
              </w:rPr>
              <w:t>7,719</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10 — COMMITMENTS AND CONTINGENCIES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Operating Leases and Other Contractual Obligations</w:t>
      </w:r>
    </w:p>
    <w:p>
      <w:pPr>
        <w:spacing w:after="0" w:line="162" w:lineRule="exact"/>
        <w:rPr>
          <w:sz w:val="20"/>
          <w:szCs w:val="20"/>
          <w:color w:val="auto"/>
        </w:rPr>
      </w:pPr>
    </w:p>
    <w:p>
      <w:pPr>
        <w:ind w:left="20" w:right="59" w:firstLine="231"/>
        <w:spacing w:after="0" w:line="275" w:lineRule="auto"/>
        <w:rPr>
          <w:sz w:val="20"/>
          <w:szCs w:val="20"/>
          <w:color w:val="auto"/>
        </w:rPr>
      </w:pPr>
      <w:r>
        <w:rPr>
          <w:rFonts w:ascii="Arial" w:cs="Arial" w:eastAsia="Arial" w:hAnsi="Arial"/>
          <w:sz w:val="12"/>
          <w:szCs w:val="12"/>
          <w:color w:val="auto"/>
        </w:rPr>
        <w:t>The Company has various non-cancelable operating leases for its office space, laboratory, and manufacturing and retail facilities. These leases expire at various times through 2030.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 as a deferred rent credit, which the Company amortizes on a straight-line basis, as a reduction of rent expense, over the term of the underlying lease. In 2020 and in 2019, the Company invoked the right for additional tenant improvements of $4.7 million and $8.6 million, respectively, allowed in the original contracts or amended agreements for the corporate headquarters in Newark, California.</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December 31, 2020, and 2019, the Company had $406.1 million and $162.0 million in commitments related to the Arizona manufacturing plant and equipment.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This represents future expected payments on open purchase orders entered as of December 31, 2020, and 2019.</w:t>
      </w:r>
    </w:p>
    <w:p>
      <w:pPr>
        <w:spacing w:after="0" w:line="150" w:lineRule="exact"/>
        <w:rPr>
          <w:sz w:val="20"/>
          <w:szCs w:val="20"/>
          <w:color w:val="auto"/>
        </w:rPr>
      </w:pPr>
    </w:p>
    <w:p>
      <w:pPr>
        <w:ind w:left="20" w:right="59" w:firstLine="231"/>
        <w:spacing w:after="0" w:line="359" w:lineRule="auto"/>
        <w:rPr>
          <w:sz w:val="20"/>
          <w:szCs w:val="20"/>
          <w:color w:val="auto"/>
        </w:rPr>
      </w:pPr>
      <w:r>
        <w:rPr>
          <w:rFonts w:ascii="Arial" w:cs="Arial" w:eastAsia="Arial" w:hAnsi="Arial"/>
          <w:sz w:val="11"/>
          <w:szCs w:val="11"/>
          <w:color w:val="auto"/>
        </w:rPr>
        <w:t>In September 2017, the Company entered into an over 10-year lease on an approximately 127,000 square-foot headquarters building, and the lease will expire on September 30, 2030 after the amendment being signed. The Company has committed to pay approximately $0.3 million per month for the building, with 3% annual increases.</w:t>
      </w:r>
    </w:p>
    <w:p>
      <w:pPr>
        <w:spacing w:after="0" w:line="83" w:lineRule="exact"/>
        <w:rPr>
          <w:sz w:val="20"/>
          <w:szCs w:val="20"/>
          <w:color w:val="auto"/>
        </w:rPr>
      </w:pPr>
    </w:p>
    <w:p>
      <w:pPr>
        <w:jc w:val="both"/>
        <w:ind w:left="20" w:right="339" w:firstLine="231"/>
        <w:spacing w:after="0" w:line="257" w:lineRule="auto"/>
        <w:rPr>
          <w:sz w:val="20"/>
          <w:szCs w:val="20"/>
          <w:color w:val="auto"/>
        </w:rPr>
      </w:pPr>
      <w:r>
        <w:rPr>
          <w:rFonts w:ascii="Arial" w:cs="Arial" w:eastAsia="Arial" w:hAnsi="Arial"/>
          <w:sz w:val="13"/>
          <w:szCs w:val="13"/>
          <w:color w:val="auto"/>
        </w:rPr>
        <w:t>In September 2018, the Company amended that lease to also include an approximately 300,000 square-foot additional building within the same campus location and extend the term to 12 years, and the lease will expire on September 30, 2030. Under the lease agreement, the Company has committed to pay approximately $0.6 million per month for the additional building, with 3% annual increases on the lease.</w:t>
      </w:r>
    </w:p>
    <w:p>
      <w:pPr>
        <w:spacing w:after="0" w:line="135" w:lineRule="exact"/>
        <w:rPr>
          <w:sz w:val="20"/>
          <w:szCs w:val="20"/>
          <w:color w:val="auto"/>
        </w:rPr>
      </w:pPr>
    </w:p>
    <w:p>
      <w:pPr>
        <w:ind w:left="20" w:right="539" w:firstLine="231"/>
        <w:spacing w:after="0" w:line="267" w:lineRule="auto"/>
        <w:rPr>
          <w:sz w:val="20"/>
          <w:szCs w:val="20"/>
          <w:color w:val="auto"/>
        </w:rPr>
      </w:pPr>
      <w:r>
        <w:rPr>
          <w:rFonts w:ascii="Arial" w:cs="Arial" w:eastAsia="Arial" w:hAnsi="Arial"/>
          <w:sz w:val="13"/>
          <w:szCs w:val="13"/>
          <w:color w:val="auto"/>
        </w:rPr>
        <w:t>As of December 31, 2020, and 2019, the landlord provided a tenant improvement allowance for approximately $29.0 million and $24.3 million, respectively, for leasehold improvements in connection with the cost of construction of the initial alterations within the premises.</w:t>
      </w:r>
    </w:p>
    <w:p>
      <w:pPr>
        <w:spacing w:after="0" w:line="129" w:lineRule="exact"/>
        <w:rPr>
          <w:sz w:val="20"/>
          <w:szCs w:val="20"/>
          <w:color w:val="auto"/>
        </w:rPr>
      </w:pPr>
    </w:p>
    <w:p>
      <w:pPr>
        <w:ind w:left="20" w:right="119" w:firstLine="231"/>
        <w:spacing w:after="0" w:line="257" w:lineRule="auto"/>
        <w:rPr>
          <w:sz w:val="20"/>
          <w:szCs w:val="20"/>
          <w:color w:val="auto"/>
        </w:rPr>
      </w:pPr>
      <w:r>
        <w:rPr>
          <w:rFonts w:ascii="Arial" w:cs="Arial" w:eastAsia="Arial" w:hAnsi="Arial"/>
          <w:sz w:val="13"/>
          <w:szCs w:val="13"/>
          <w:color w:val="auto"/>
        </w:rPr>
        <w:t>In December 2018, the Company entered into a four-year lease for approximately 500 acres of land in Arizona, on which the Company intends to construct an Arizona plant. Under the lease agreement, the Company is committed to pay $1.8 million per year during the lease term. This rent is paid in arrears. Pursuant to the terms of the lease agreement , the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5" w:name="page56"/>
    <w:bookmarkEnd w:id="55"/>
    <w:p>
      <w:pPr>
        <w:ind w:left="20" w:right="79"/>
        <w:spacing w:after="0" w:line="359" w:lineRule="auto"/>
        <w:rPr>
          <w:sz w:val="20"/>
          <w:szCs w:val="20"/>
          <w:color w:val="auto"/>
        </w:rPr>
      </w:pPr>
      <w:r>
        <w:rPr>
          <w:rFonts w:ascii="Arial" w:cs="Arial" w:eastAsia="Arial" w:hAnsi="Arial"/>
          <w:sz w:val="11"/>
          <w:szCs w:val="11"/>
          <w:color w:val="auto"/>
        </w:rPr>
        <w:t>Company has the exclusive option to purchase the Premises (land together with any structures or improvements presently situated thereon or to be constructed thereon) at any time prior to expiration of the lease term for the purchase price to be computed in accordance with the terms and conditions as set forth in the lease agreement.</w:t>
      </w:r>
    </w:p>
    <w:p>
      <w:pPr>
        <w:spacing w:after="0" w:line="83" w:lineRule="exact"/>
        <w:rPr>
          <w:sz w:val="20"/>
          <w:szCs w:val="20"/>
          <w:color w:val="auto"/>
        </w:rPr>
      </w:pPr>
    </w:p>
    <w:p>
      <w:pPr>
        <w:ind w:left="20" w:right="39" w:firstLine="231"/>
        <w:spacing w:after="0" w:line="257" w:lineRule="auto"/>
        <w:rPr>
          <w:sz w:val="20"/>
          <w:szCs w:val="20"/>
          <w:color w:val="auto"/>
        </w:rPr>
      </w:pPr>
      <w:r>
        <w:rPr>
          <w:rFonts w:ascii="Arial" w:cs="Arial" w:eastAsia="Arial" w:hAnsi="Arial"/>
          <w:sz w:val="13"/>
          <w:szCs w:val="13"/>
          <w:color w:val="auto"/>
        </w:rPr>
        <w:t>In June 2019, the Company entered into a new lease agreement for a retail location in Beverly Hills, California. The lease commenced on September 1, 2019 and will expire on August 31, 2029. Under the lease agreement, the Company will pay base rent of $0.1 million per month. Base rent is subject to a 3% annual escalation clause during the lease term.</w:t>
      </w:r>
    </w:p>
    <w:p>
      <w:pPr>
        <w:spacing w:after="0" w:line="135" w:lineRule="exact"/>
        <w:rPr>
          <w:sz w:val="20"/>
          <w:szCs w:val="20"/>
          <w:color w:val="auto"/>
        </w:rPr>
      </w:pPr>
    </w:p>
    <w:p>
      <w:pPr>
        <w:ind w:left="20" w:right="79" w:firstLine="231"/>
        <w:spacing w:after="0" w:line="257" w:lineRule="auto"/>
        <w:rPr>
          <w:sz w:val="20"/>
          <w:szCs w:val="20"/>
          <w:color w:val="auto"/>
        </w:rPr>
      </w:pPr>
      <w:r>
        <w:rPr>
          <w:rFonts w:ascii="Arial" w:cs="Arial" w:eastAsia="Arial" w:hAnsi="Arial"/>
          <w:sz w:val="13"/>
          <w:szCs w:val="13"/>
          <w:color w:val="auto"/>
        </w:rPr>
        <w:t>From January 2020 to September 2020, the Company entered into nine lease agreements for retail locations in Arizona, California, Florida, New York, and Virginia, with lease expiration dates ranging from March 2025 through December 2032. Base rent for these leases ranges from $0.1 million to $0.4 million per annum, with certain leases having 3% annual base rent escalation clauses during the lease terms.</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7200" w:type="dxa"/>
            <w:vAlign w:val="bottom"/>
            <w:gridSpan w:val="2"/>
          </w:tcPr>
          <w:p>
            <w:pPr>
              <w:spacing w:after="0"/>
              <w:rPr>
                <w:sz w:val="20"/>
                <w:szCs w:val="20"/>
                <w:color w:val="auto"/>
              </w:rPr>
            </w:pPr>
            <w:r>
              <w:rPr>
                <w:rFonts w:ascii="Arial" w:cs="Arial" w:eastAsia="Arial" w:hAnsi="Arial"/>
                <w:sz w:val="13"/>
                <w:szCs w:val="13"/>
                <w:color w:val="auto"/>
              </w:rPr>
              <w:t>Future minimum payments as of December 31, 2020, are approximately as follows (in thousands):</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2021</w:t>
            </w:r>
          </w:p>
        </w:tc>
        <w:tc>
          <w:tcPr>
            <w:tcW w:w="400" w:type="dxa"/>
            <w:vAlign w:val="bottom"/>
            <w:gridSpan w:val="2"/>
          </w:tcPr>
          <w:p>
            <w:pPr>
              <w:jc w:val="right"/>
              <w:ind w:right="313"/>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25,490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28,837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27,633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28,207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2025</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27,474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116,155</w:t>
            </w:r>
          </w:p>
        </w:tc>
        <w:tc>
          <w:tcPr>
            <w:tcW w:w="0" w:type="dxa"/>
            <w:vAlign w:val="bottom"/>
          </w:tcPr>
          <w:p>
            <w:pPr>
              <w:spacing w:after="0"/>
              <w:rPr>
                <w:sz w:val="1"/>
                <w:szCs w:val="1"/>
                <w:color w:val="auto"/>
              </w:rPr>
            </w:pPr>
          </w:p>
        </w:tc>
      </w:tr>
      <w:tr>
        <w:trPr>
          <w:trHeight w:val="152"/>
        </w:trPr>
        <w:tc>
          <w:tcPr>
            <w:tcW w:w="7200" w:type="dxa"/>
            <w:vAlign w:val="bottom"/>
            <w:gridSpan w:val="2"/>
          </w:tcPr>
          <w:p>
            <w:pPr>
              <w:spacing w:after="0" w:line="144" w:lineRule="exact"/>
              <w:rPr>
                <w:sz w:val="20"/>
                <w:szCs w:val="20"/>
                <w:color w:val="auto"/>
              </w:rPr>
            </w:pPr>
            <w:r>
              <w:rPr>
                <w:rFonts w:ascii="Arial" w:cs="Arial" w:eastAsia="Arial" w:hAnsi="Arial"/>
                <w:sz w:val="13"/>
                <w:szCs w:val="13"/>
                <w:color w:val="auto"/>
              </w:rPr>
              <w:t>Total</w:t>
            </w: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1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253,796</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Rent expense incurred under operating leases was approximately $19.6 million and $18.3 million, for the years ended December 31, 2020 and 2019, respectively.</w:t>
      </w:r>
    </w:p>
    <w:p>
      <w:pPr>
        <w:spacing w:after="0" w:line="170" w:lineRule="exact"/>
        <w:rPr>
          <w:sz w:val="20"/>
          <w:szCs w:val="20"/>
          <w:color w:val="auto"/>
        </w:rPr>
      </w:pPr>
    </w:p>
    <w:p>
      <w:pPr>
        <w:ind w:left="20" w:right="99" w:firstLine="231"/>
        <w:spacing w:after="0" w:line="257" w:lineRule="auto"/>
        <w:rPr>
          <w:sz w:val="20"/>
          <w:szCs w:val="20"/>
          <w:color w:val="auto"/>
        </w:rPr>
      </w:pPr>
      <w:r>
        <w:rPr>
          <w:rFonts w:ascii="Arial" w:cs="Arial" w:eastAsia="Arial" w:hAnsi="Arial"/>
          <w:sz w:val="13"/>
          <w:szCs w:val="13"/>
          <w:color w:val="auto"/>
        </w:rPr>
        <w:t>During the year ended 2020, the Company entered into a non-cancellable purchase commitment with a large battery cell supplier to purchase battery cells over the next three years. Battery cell costs can fluctuate from time to time based on, among other things, supply and demand, costs of raw materials, and purchase volumes. The estimated purchase commitment as of December 31, 2020 is set as follows (in thousands):</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0"/>
                <w:szCs w:val="10"/>
                <w:b w:val="1"/>
                <w:bCs w:val="1"/>
                <w:color w:val="auto"/>
              </w:rPr>
              <w:t>Minimum</w:t>
            </w:r>
          </w:p>
        </w:tc>
      </w:tr>
      <w:tr>
        <w:trPr>
          <w:trHeight w:val="106"/>
        </w:trPr>
        <w:tc>
          <w:tcPr>
            <w:tcW w:w="43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right"/>
              <w:ind w:right="341"/>
              <w:spacing w:after="0" w:line="106" w:lineRule="exact"/>
              <w:rPr>
                <w:sz w:val="20"/>
                <w:szCs w:val="20"/>
                <w:color w:val="auto"/>
              </w:rPr>
            </w:pPr>
            <w:r>
              <w:rPr>
                <w:rFonts w:ascii="Arial" w:cs="Arial" w:eastAsia="Arial" w:hAnsi="Arial"/>
                <w:sz w:val="10"/>
                <w:szCs w:val="10"/>
                <w:b w:val="1"/>
                <w:bCs w:val="1"/>
                <w:color w:val="auto"/>
              </w:rPr>
              <w:t>Purchase</w:t>
            </w:r>
          </w:p>
        </w:tc>
      </w:tr>
      <w:tr>
        <w:trPr>
          <w:trHeight w:val="121"/>
        </w:trPr>
        <w:tc>
          <w:tcPr>
            <w:tcW w:w="4300" w:type="dxa"/>
            <w:vAlign w:val="bottom"/>
            <w:tcBorders>
              <w:bottom w:val="single" w:sz="8" w:color="CCEEFF"/>
            </w:tcBorders>
          </w:tcPr>
          <w:p>
            <w:pPr>
              <w:spacing w:after="0"/>
              <w:rPr>
                <w:sz w:val="10"/>
                <w:szCs w:val="10"/>
                <w:color w:val="auto"/>
              </w:rPr>
            </w:pPr>
          </w:p>
        </w:tc>
        <w:tc>
          <w:tcPr>
            <w:tcW w:w="29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Commitment</w:t>
            </w:r>
          </w:p>
        </w:tc>
      </w:tr>
      <w:tr>
        <w:trPr>
          <w:trHeight w:val="143"/>
        </w:trPr>
        <w:tc>
          <w:tcPr>
            <w:tcW w:w="43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Year Ending December 31:</w:t>
            </w:r>
          </w:p>
        </w:tc>
        <w:tc>
          <w:tcPr>
            <w:tcW w:w="2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4"/>
        </w:trPr>
        <w:tc>
          <w:tcPr>
            <w:tcW w:w="4300" w:type="dxa"/>
            <w:vAlign w:val="bottom"/>
          </w:tcPr>
          <w:p>
            <w:pPr>
              <w:spacing w:after="0"/>
              <w:rPr>
                <w:sz w:val="20"/>
                <w:szCs w:val="20"/>
                <w:color w:val="auto"/>
              </w:rPr>
            </w:pPr>
            <w:r>
              <w:rPr>
                <w:rFonts w:ascii="Arial" w:cs="Arial" w:eastAsia="Arial" w:hAnsi="Arial"/>
                <w:sz w:val="13"/>
                <w:szCs w:val="13"/>
                <w:color w:val="auto"/>
              </w:rPr>
              <w:t>2021</w:t>
            </w:r>
          </w:p>
        </w:tc>
        <w:tc>
          <w:tcPr>
            <w:tcW w:w="312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101,200</w:t>
            </w:r>
          </w:p>
        </w:tc>
      </w:tr>
      <w:tr>
        <w:trPr>
          <w:trHeight w:val="154"/>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2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202,400</w:t>
            </w:r>
          </w:p>
        </w:tc>
      </w:tr>
      <w:tr>
        <w:trPr>
          <w:trHeight w:val="154"/>
        </w:trPr>
        <w:tc>
          <w:tcPr>
            <w:tcW w:w="4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2023</w:t>
            </w:r>
          </w:p>
        </w:tc>
        <w:tc>
          <w:tcPr>
            <w:tcW w:w="29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202,400</w:t>
            </w:r>
          </w:p>
        </w:tc>
      </w:tr>
      <w:tr>
        <w:trPr>
          <w:trHeight w:val="152"/>
        </w:trPr>
        <w:tc>
          <w:tcPr>
            <w:tcW w:w="43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w:t>
            </w:r>
          </w:p>
        </w:tc>
        <w:tc>
          <w:tcPr>
            <w:tcW w:w="2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506,000</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Capital Lease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During the years ended December 31, 2019 and 2020, the Company acquired equipment under capital lease agreements with an initial term of 36 months.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6" w:name="page57"/>
    <w:bookmarkEnd w:id="56"/>
    <w:tbl>
      <w:tblPr>
        <w:tblLayout w:type="fixed"/>
        <w:tblInd w:w="260" w:type="dxa"/>
        <w:tblCellMar>
          <w:top w:w="0" w:type="dxa"/>
          <w:left w:w="0" w:type="dxa"/>
          <w:bottom w:w="0" w:type="dxa"/>
          <w:right w:w="0" w:type="dxa"/>
        </w:tblCellMar>
      </w:tblPr>
      <w:tr>
        <w:trPr>
          <w:trHeight w:val="162"/>
        </w:trPr>
        <w:tc>
          <w:tcPr>
            <w:tcW w:w="7200" w:type="dxa"/>
            <w:vAlign w:val="bottom"/>
            <w:gridSpan w:val="2"/>
          </w:tcPr>
          <w:p>
            <w:pPr>
              <w:spacing w:after="0"/>
              <w:rPr>
                <w:sz w:val="20"/>
                <w:szCs w:val="20"/>
                <w:color w:val="auto"/>
              </w:rPr>
            </w:pPr>
            <w:r>
              <w:rPr>
                <w:rFonts w:ascii="Arial" w:cs="Arial" w:eastAsia="Arial" w:hAnsi="Arial"/>
                <w:sz w:val="13"/>
                <w:szCs w:val="13"/>
                <w:color w:val="auto"/>
              </w:rPr>
              <w:t>Future minimum payments for the capital lease as of December 31, 2020, are approximately as follows (in thousands):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Year Ending December 31:</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2021</w:t>
            </w:r>
          </w:p>
        </w:tc>
        <w:tc>
          <w:tcPr>
            <w:tcW w:w="440" w:type="dxa"/>
            <w:vAlign w:val="bottom"/>
            <w:gridSpan w:val="2"/>
          </w:tcPr>
          <w:p>
            <w:pPr>
              <w:jc w:val="right"/>
              <w:ind w:right="353"/>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1,729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2022</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tcPr>
          <w:p>
            <w:pPr>
              <w:spacing w:after="0"/>
              <w:rPr>
                <w:sz w:val="20"/>
                <w:szCs w:val="20"/>
                <w:color w:val="auto"/>
              </w:rPr>
            </w:pPr>
            <w:r>
              <w:rPr>
                <w:rFonts w:ascii="Arial" w:cs="Arial" w:eastAsia="Arial" w:hAnsi="Arial"/>
                <w:sz w:val="13"/>
                <w:szCs w:val="13"/>
                <w:color w:val="auto"/>
              </w:rPr>
              <w:t>2023</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3"/>
                <w:szCs w:val="13"/>
                <w:color w:val="auto"/>
              </w:rPr>
              <w:t>2024</w:t>
            </w:r>
          </w:p>
        </w:tc>
        <w:tc>
          <w:tcPr>
            <w:tcW w:w="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180" w:type="dxa"/>
            <w:vAlign w:val="bottom"/>
          </w:tcPr>
          <w:p>
            <w:pPr>
              <w:ind w:left="60"/>
              <w:spacing w:after="0" w:line="143" w:lineRule="exact"/>
              <w:rPr>
                <w:sz w:val="20"/>
                <w:szCs w:val="20"/>
                <w:color w:val="auto"/>
              </w:rPr>
            </w:pPr>
            <w:r>
              <w:rPr>
                <w:rFonts w:ascii="Arial" w:cs="Arial" w:eastAsia="Arial" w:hAnsi="Arial"/>
                <w:sz w:val="13"/>
                <w:szCs w:val="13"/>
                <w:color w:val="auto"/>
              </w:rPr>
              <w:t>Total capital lease obligations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spacing w:after="0" w:line="144" w:lineRule="exact"/>
              <w:rPr>
                <w:sz w:val="20"/>
                <w:szCs w:val="20"/>
                <w:color w:val="auto"/>
              </w:rPr>
            </w:pPr>
            <w:r>
              <w:rPr>
                <w:rFonts w:ascii="Arial" w:cs="Arial" w:eastAsia="Arial" w:hAnsi="Arial"/>
                <w:sz w:val="13"/>
                <w:szCs w:val="13"/>
                <w:color w:val="auto"/>
              </w:rPr>
              <w:t>4,459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8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amounts representing interest</w:t>
            </w:r>
          </w:p>
        </w:tc>
        <w:tc>
          <w:tcPr>
            <w:tcW w:w="2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180" w:type="dxa"/>
            <w:vAlign w:val="bottom"/>
          </w:tcPr>
          <w:p>
            <w:pPr>
              <w:ind w:left="60"/>
              <w:spacing w:after="0" w:line="144" w:lineRule="exact"/>
              <w:rPr>
                <w:sz w:val="20"/>
                <w:szCs w:val="20"/>
                <w:color w:val="auto"/>
              </w:rPr>
            </w:pPr>
            <w:r>
              <w:rPr>
                <w:rFonts w:ascii="Arial" w:cs="Arial" w:eastAsia="Arial" w:hAnsi="Arial"/>
                <w:sz w:val="13"/>
                <w:szCs w:val="13"/>
                <w:color w:val="auto"/>
              </w:rPr>
              <w:t>Capital lease obligations, net of interest</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53"/>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3,257</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Legal Matters</w:t>
      </w:r>
    </w:p>
    <w:p>
      <w:pPr>
        <w:spacing w:after="0" w:line="162" w:lineRule="exact"/>
        <w:rPr>
          <w:sz w:val="20"/>
          <w:szCs w:val="20"/>
          <w:color w:val="auto"/>
        </w:rPr>
      </w:pPr>
    </w:p>
    <w:p>
      <w:pPr>
        <w:ind w:left="20" w:right="139" w:firstLine="231"/>
        <w:spacing w:after="0" w:line="288" w:lineRule="auto"/>
        <w:rPr>
          <w:sz w:val="20"/>
          <w:szCs w:val="20"/>
          <w:color w:val="auto"/>
        </w:rPr>
      </w:pPr>
      <w:r>
        <w:rPr>
          <w:rFonts w:ascii="Arial" w:cs="Arial" w:eastAsia="Arial" w:hAnsi="Arial"/>
          <w:sz w:val="12"/>
          <w:szCs w:val="12"/>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Indemnification</w:t>
      </w:r>
    </w:p>
    <w:p>
      <w:pPr>
        <w:spacing w:after="0" w:line="162" w:lineRule="exact"/>
        <w:rPr>
          <w:sz w:val="20"/>
          <w:szCs w:val="20"/>
          <w:color w:val="auto"/>
        </w:rPr>
      </w:pPr>
    </w:p>
    <w:p>
      <w:pPr>
        <w:ind w:left="20" w:right="99" w:firstLine="231"/>
        <w:spacing w:after="0" w:line="273" w:lineRule="auto"/>
        <w:rPr>
          <w:sz w:val="20"/>
          <w:szCs w:val="20"/>
          <w:color w:val="auto"/>
        </w:rPr>
      </w:pPr>
      <w:r>
        <w:rPr>
          <w:rFonts w:ascii="Arial" w:cs="Arial" w:eastAsia="Arial" w:hAnsi="Arial"/>
          <w:sz w:val="12"/>
          <w:szCs w:val="12"/>
          <w:color w:val="auto"/>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surety bond primarily used as security against facility leases and utilities infrastructure in the amount of $5.0 million as of December 31, 2020, for which no liabilities are recorded on the consolidated balance sheets. No such obligation was noted at December 31, 2019.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11 — INCOME TAXES</w:t>
      </w:r>
    </w:p>
    <w:p>
      <w:pPr>
        <w:spacing w:after="0" w:line="162" w:lineRule="exact"/>
        <w:rPr>
          <w:sz w:val="20"/>
          <w:szCs w:val="20"/>
          <w:color w:val="auto"/>
        </w:rPr>
      </w:pPr>
    </w:p>
    <w:p>
      <w:pPr>
        <w:ind w:left="20" w:right="279" w:firstLine="231"/>
        <w:spacing w:after="0" w:line="267" w:lineRule="auto"/>
        <w:rPr>
          <w:sz w:val="20"/>
          <w:szCs w:val="20"/>
          <w:color w:val="auto"/>
        </w:rPr>
      </w:pPr>
      <w:r>
        <w:rPr>
          <w:rFonts w:ascii="Arial" w:cs="Arial" w:eastAsia="Arial" w:hAnsi="Arial"/>
          <w:sz w:val="13"/>
          <w:szCs w:val="13"/>
          <w:color w:val="auto"/>
        </w:rPr>
        <w:t>Income taxes have been provided in accordance with ASC 740. The components of loss before income taxes for the years ended December 31, 2020 and 2019, are as follows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316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2019</w:t>
            </w:r>
          </w:p>
        </w:tc>
        <w:tc>
          <w:tcPr>
            <w:tcW w:w="340" w:type="dxa"/>
            <w:vAlign w:val="bottom"/>
          </w:tcPr>
          <w:p>
            <w:pPr>
              <w:spacing w:after="0"/>
              <w:rPr>
                <w:sz w:val="10"/>
                <w:szCs w:val="10"/>
                <w:color w:val="auto"/>
              </w:rPr>
            </w:pPr>
          </w:p>
        </w:tc>
      </w:tr>
      <w:tr>
        <w:trPr>
          <w:trHeight w:val="143"/>
        </w:trPr>
        <w:tc>
          <w:tcPr>
            <w:tcW w:w="240" w:type="dxa"/>
            <w:vAlign w:val="bottom"/>
          </w:tcPr>
          <w:p>
            <w:pPr>
              <w:spacing w:after="0"/>
              <w:rPr>
                <w:sz w:val="12"/>
                <w:szCs w:val="12"/>
                <w:color w:val="auto"/>
              </w:rPr>
            </w:pPr>
          </w:p>
        </w:tc>
        <w:tc>
          <w:tcPr>
            <w:tcW w:w="30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Loss subject to domestic income taxes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(719,636)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(277,244)</w:t>
            </w:r>
          </w:p>
        </w:tc>
        <w:tc>
          <w:tcPr>
            <w:tcW w:w="340" w:type="dxa"/>
            <w:vAlign w:val="bottom"/>
          </w:tcPr>
          <w:p>
            <w:pPr>
              <w:spacing w:after="0"/>
              <w:rPr>
                <w:sz w:val="12"/>
                <w:szCs w:val="12"/>
                <w:color w:val="auto"/>
              </w:rPr>
            </w:pPr>
          </w:p>
        </w:tc>
      </w:tr>
      <w:tr>
        <w:trPr>
          <w:trHeight w:val="154"/>
        </w:trPr>
        <w:tc>
          <w:tcPr>
            <w:tcW w:w="240" w:type="dxa"/>
            <w:vAlign w:val="bottom"/>
          </w:tcPr>
          <w:p>
            <w:pPr>
              <w:spacing w:after="0"/>
              <w:rPr>
                <w:sz w:val="13"/>
                <w:szCs w:val="13"/>
                <w:color w:val="auto"/>
              </w:rPr>
            </w:pPr>
          </w:p>
        </w:tc>
        <w:tc>
          <w:tcPr>
            <w:tcW w:w="30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Loss subject to foreign income taxes</w:t>
            </w:r>
          </w:p>
        </w:tc>
        <w:tc>
          <w:tcPr>
            <w:tcW w:w="3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340" w:type="dxa"/>
            <w:vAlign w:val="bottom"/>
          </w:tcPr>
          <w:p>
            <w:pPr>
              <w:spacing w:after="0"/>
              <w:rPr>
                <w:sz w:val="13"/>
                <w:szCs w:val="13"/>
                <w:color w:val="auto"/>
              </w:rPr>
            </w:pPr>
          </w:p>
        </w:tc>
      </w:tr>
      <w:tr>
        <w:trPr>
          <w:trHeight w:val="152"/>
        </w:trPr>
        <w:tc>
          <w:tcPr>
            <w:tcW w:w="2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13"/>
                <w:szCs w:val="13"/>
                <w:color w:val="auto"/>
              </w:rPr>
            </w:pPr>
          </w:p>
        </w:tc>
        <w:tc>
          <w:tcPr>
            <w:tcW w:w="3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(719,568)</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(277,334)</w:t>
            </w:r>
          </w:p>
        </w:tc>
        <w:tc>
          <w:tcPr>
            <w:tcW w:w="340" w:type="dxa"/>
            <w:vAlign w:val="bottom"/>
          </w:tcPr>
          <w:p>
            <w:pPr>
              <w:spacing w:after="0"/>
              <w:rPr>
                <w:sz w:val="13"/>
                <w:szCs w:val="13"/>
                <w:color w:val="auto"/>
              </w:rPr>
            </w:pPr>
          </w:p>
        </w:tc>
      </w:tr>
      <w:tr>
        <w:trPr>
          <w:trHeight w:val="615"/>
        </w:trPr>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0" w:type="dxa"/>
            <w:vAlign w:val="bottom"/>
            <w:gridSpan w:val="2"/>
          </w:tcPr>
          <w:p>
            <w:pPr>
              <w:jc w:val="right"/>
              <w:ind w:right="2032"/>
              <w:spacing w:after="0"/>
              <w:rPr>
                <w:sz w:val="20"/>
                <w:szCs w:val="20"/>
                <w:color w:val="auto"/>
              </w:rPr>
            </w:pPr>
            <w:r>
              <w:rPr>
                <w:rFonts w:ascii="Arial" w:cs="Arial" w:eastAsia="Arial" w:hAnsi="Arial"/>
                <w:sz w:val="13"/>
                <w:szCs w:val="13"/>
                <w:color w:val="auto"/>
              </w:rPr>
              <w:t>F-32</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57" w:name="page58"/>
    <w:bookmarkEnd w:id="57"/>
    <w:p>
      <w:pPr>
        <w:ind w:left="20" w:right="99" w:firstLine="231"/>
        <w:spacing w:after="0" w:line="267" w:lineRule="auto"/>
        <w:rPr>
          <w:sz w:val="20"/>
          <w:szCs w:val="20"/>
          <w:color w:val="auto"/>
        </w:rPr>
      </w:pPr>
      <w:r>
        <w:rPr>
          <w:rFonts w:ascii="Arial" w:cs="Arial" w:eastAsia="Arial" w:hAnsi="Arial"/>
          <w:sz w:val="13"/>
          <w:szCs w:val="13"/>
          <w:color w:val="auto"/>
        </w:rPr>
        <w:t>The Company recorded an income tax provision/(benefit) of $(0.19) million and $0.03 million in connection with its domestic state and foreign subsidiaries for the years ended December 31, 2020 and 2019, respectively, as follows (in thousands):</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000" w:type="dxa"/>
            <w:vAlign w:val="bottom"/>
          </w:tcPr>
          <w:p>
            <w:pPr>
              <w:spacing w:after="0"/>
              <w:rPr>
                <w:sz w:val="10"/>
                <w:szCs w:val="10"/>
                <w:color w:val="auto"/>
              </w:rPr>
            </w:pPr>
          </w:p>
        </w:tc>
        <w:tc>
          <w:tcPr>
            <w:tcW w:w="284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jc w:val="right"/>
              <w:ind w:right="337"/>
              <w:spacing w:after="0"/>
              <w:rPr>
                <w:sz w:val="20"/>
                <w:szCs w:val="20"/>
                <w:color w:val="auto"/>
              </w:rPr>
            </w:pPr>
            <w:r>
              <w:rPr>
                <w:rFonts w:ascii="Arial" w:cs="Arial" w:eastAsia="Arial" w:hAnsi="Arial"/>
                <w:sz w:val="10"/>
                <w:szCs w:val="10"/>
                <w:b w:val="1"/>
                <w:bCs w:val="1"/>
                <w:color w:val="auto"/>
              </w:rPr>
              <w:t>2019</w:t>
            </w:r>
          </w:p>
        </w:tc>
      </w:tr>
      <w:tr>
        <w:trPr>
          <w:trHeight w:val="143"/>
        </w:trPr>
        <w:tc>
          <w:tcPr>
            <w:tcW w:w="40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Current</w:t>
            </w:r>
          </w:p>
        </w:tc>
        <w:tc>
          <w:tcPr>
            <w:tcW w:w="2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r>
      <w:tr>
        <w:trPr>
          <w:trHeight w:val="154"/>
        </w:trPr>
        <w:tc>
          <w:tcPr>
            <w:tcW w:w="4000" w:type="dxa"/>
            <w:vAlign w:val="bottom"/>
          </w:tcPr>
          <w:p>
            <w:pPr>
              <w:spacing w:after="0"/>
              <w:rPr>
                <w:sz w:val="20"/>
                <w:szCs w:val="20"/>
                <w:color w:val="auto"/>
              </w:rPr>
            </w:pPr>
            <w:r>
              <w:rPr>
                <w:rFonts w:ascii="Arial" w:cs="Arial" w:eastAsia="Arial" w:hAnsi="Arial"/>
                <w:sz w:val="13"/>
                <w:szCs w:val="13"/>
                <w:color w:val="auto"/>
              </w:rPr>
              <w:t>Federal</w:t>
            </w:r>
          </w:p>
        </w:tc>
        <w:tc>
          <w:tcPr>
            <w:tcW w:w="2840" w:type="dxa"/>
            <w:vAlign w:val="bottom"/>
            <w:gridSpan w:val="2"/>
          </w:tcPr>
          <w:p>
            <w:pPr>
              <w:jc w:val="right"/>
              <w:ind w:right="532"/>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State</w:t>
            </w:r>
          </w:p>
        </w:tc>
        <w:tc>
          <w:tcPr>
            <w:tcW w:w="2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54"/>
        </w:trPr>
        <w:tc>
          <w:tcPr>
            <w:tcW w:w="40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Foreign</w:t>
            </w:r>
          </w:p>
        </w:tc>
        <w:tc>
          <w:tcPr>
            <w:tcW w:w="22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163"/>
        </w:trPr>
        <w:tc>
          <w:tcPr>
            <w:tcW w:w="400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current tax expense (benefit)</w:t>
            </w:r>
          </w:p>
        </w:tc>
        <w:tc>
          <w:tcPr>
            <w:tcW w:w="2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w:t>
            </w:r>
          </w:p>
        </w:tc>
      </w:tr>
      <w:tr>
        <w:trPr>
          <w:trHeight w:val="142"/>
        </w:trPr>
        <w:tc>
          <w:tcPr>
            <w:tcW w:w="4000" w:type="dxa"/>
            <w:vAlign w:val="bottom"/>
          </w:tcPr>
          <w:p>
            <w:pPr>
              <w:spacing w:after="0" w:line="143" w:lineRule="exact"/>
              <w:rPr>
                <w:sz w:val="20"/>
                <w:szCs w:val="20"/>
                <w:color w:val="auto"/>
              </w:rPr>
            </w:pPr>
            <w:r>
              <w:rPr>
                <w:rFonts w:ascii="Arial" w:cs="Arial" w:eastAsia="Arial" w:hAnsi="Arial"/>
                <w:sz w:val="13"/>
                <w:szCs w:val="13"/>
                <w:b w:val="1"/>
                <w:bCs w:val="1"/>
                <w:color w:val="auto"/>
              </w:rPr>
              <w:t>Deferred</w:t>
            </w:r>
          </w:p>
        </w:tc>
        <w:tc>
          <w:tcPr>
            <w:tcW w:w="2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4"/>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2840" w:type="dxa"/>
            <w:vAlign w:val="bottom"/>
            <w:gridSpan w:val="2"/>
            <w:shd w:val="clear" w:color="auto" w:fill="CCEEFF"/>
          </w:tcPr>
          <w:p>
            <w:pPr>
              <w:jc w:val="right"/>
              <w:ind w:right="532"/>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12"/>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000" w:type="dxa"/>
            <w:vAlign w:val="bottom"/>
          </w:tcPr>
          <w:p>
            <w:pPr>
              <w:spacing w:after="0"/>
              <w:rPr>
                <w:sz w:val="20"/>
                <w:szCs w:val="20"/>
                <w:color w:val="auto"/>
              </w:rPr>
            </w:pPr>
            <w:r>
              <w:rPr>
                <w:rFonts w:ascii="Arial" w:cs="Arial" w:eastAsia="Arial" w:hAnsi="Arial"/>
                <w:sz w:val="13"/>
                <w:szCs w:val="13"/>
                <w:color w:val="auto"/>
              </w:rPr>
              <w:t>State</w:t>
            </w:r>
          </w:p>
        </w:tc>
        <w:tc>
          <w:tcPr>
            <w:tcW w:w="2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Foreign</w:t>
            </w:r>
          </w:p>
        </w:tc>
        <w:tc>
          <w:tcPr>
            <w:tcW w:w="2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000" w:type="dxa"/>
            <w:vAlign w:val="bottom"/>
          </w:tcPr>
          <w:p>
            <w:pPr>
              <w:spacing w:after="0"/>
              <w:rPr>
                <w:sz w:val="20"/>
                <w:szCs w:val="20"/>
                <w:color w:val="auto"/>
              </w:rPr>
            </w:pPr>
            <w:r>
              <w:rPr>
                <w:rFonts w:ascii="Arial" w:cs="Arial" w:eastAsia="Arial" w:hAnsi="Arial"/>
                <w:sz w:val="13"/>
                <w:szCs w:val="13"/>
                <w:color w:val="auto"/>
              </w:rPr>
              <w:t>Total deferred tax expense (benefit)</w:t>
            </w:r>
          </w:p>
        </w:tc>
        <w:tc>
          <w:tcPr>
            <w:tcW w:w="2840" w:type="dxa"/>
            <w:vAlign w:val="bottom"/>
            <w:gridSpan w:val="2"/>
          </w:tcPr>
          <w:p>
            <w:pPr>
              <w:jc w:val="right"/>
              <w:ind w:right="532"/>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12"/>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4000" w:type="dxa"/>
            <w:vAlign w:val="bottom"/>
            <w:tcBorders>
              <w:top w:val="single" w:sz="8" w:color="CCEEFF"/>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Total income tax expense (benefit)</w:t>
            </w:r>
          </w:p>
        </w:tc>
        <w:tc>
          <w:tcPr>
            <w:tcW w:w="2200" w:type="dxa"/>
            <w:vAlign w:val="bottom"/>
            <w:tcBorders>
              <w:top w:val="single" w:sz="8" w:color="CCEEFF"/>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(188)</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w:t>
            </w:r>
          </w:p>
        </w:tc>
      </w:tr>
    </w:tbl>
    <w:p>
      <w:pPr>
        <w:spacing w:after="0" w:line="145" w:lineRule="exact"/>
        <w:rPr>
          <w:sz w:val="20"/>
          <w:szCs w:val="20"/>
          <w:color w:val="auto"/>
        </w:rPr>
      </w:pPr>
    </w:p>
    <w:p>
      <w:pPr>
        <w:ind w:left="20" w:right="479" w:firstLine="231"/>
        <w:spacing w:after="0" w:line="267" w:lineRule="auto"/>
        <w:rPr>
          <w:sz w:val="20"/>
          <w:szCs w:val="20"/>
          <w:color w:val="auto"/>
        </w:rPr>
      </w:pPr>
      <w:r>
        <w:rPr>
          <w:rFonts w:ascii="Arial" w:cs="Arial" w:eastAsia="Arial" w:hAnsi="Arial"/>
          <w:sz w:val="13"/>
          <w:szCs w:val="13"/>
          <w:color w:val="auto"/>
        </w:rPr>
        <w:t>The amount of income tax expense (benefit) differs from the expected benefit due to the state income taxes, foreign income taxes, and the impact of the valuation allowance.</w:t>
      </w:r>
    </w:p>
    <w:p>
      <w:pPr>
        <w:spacing w:after="0" w:line="129" w:lineRule="exact"/>
        <w:rPr>
          <w:sz w:val="20"/>
          <w:szCs w:val="20"/>
          <w:color w:val="auto"/>
        </w:rPr>
      </w:pPr>
    </w:p>
    <w:p>
      <w:pPr>
        <w:ind w:left="20" w:right="99" w:firstLine="231"/>
        <w:spacing w:after="0" w:line="275" w:lineRule="auto"/>
        <w:rPr>
          <w:sz w:val="20"/>
          <w:szCs w:val="20"/>
          <w:color w:val="auto"/>
        </w:rPr>
      </w:pPr>
      <w:r>
        <w:rPr>
          <w:rFonts w:ascii="Arial" w:cs="Arial" w:eastAsia="Arial" w:hAnsi="Arial"/>
          <w:sz w:val="12"/>
          <w:szCs w:val="12"/>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(1) eliminating the corporate alternative minimum tax (AMT) and changing how existing AMT credits can be realized; (3) creating a new limitation on deductible interest expense; (4) changing rules related to uses and limitations of net operating loss carryforwards created in tax years beginning after December 31, 2017; (5) bonus depreciation that will allow for full expensing of qualified property; (6) establishes new rules with respect to the taxation of certain international transactions, including the income of foreign subsidiaries; and (7) limitations on the deductibility of certain executive compensation.</w:t>
      </w:r>
    </w:p>
    <w:p>
      <w:pPr>
        <w:spacing w:after="0" w:line="128"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The Tax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 The Company’s foreign income is in a net loss position and is immaterial to the provision for income taxes, thus no GILTI has been accrued for either 2019 or 2020.</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8" w:name="page59"/>
    <w:bookmarkEnd w:id="58"/>
    <w:p>
      <w:pPr>
        <w:ind w:left="20" w:right="179" w:firstLine="231"/>
        <w:spacing w:after="0" w:line="359" w:lineRule="auto"/>
        <w:rPr>
          <w:sz w:val="20"/>
          <w:szCs w:val="20"/>
          <w:color w:val="auto"/>
        </w:rPr>
      </w:pPr>
      <w:r>
        <w:rPr>
          <w:rFonts w:ascii="Arial" w:cs="Arial" w:eastAsia="Arial" w:hAnsi="Arial"/>
          <w:sz w:val="11"/>
          <w:szCs w:val="11"/>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2020 and 2019, are as follows (in thousands):</w:t>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20" w:type="dxa"/>
            <w:vAlign w:val="bottom"/>
            <w:tcBorders>
              <w:bottom w:val="single" w:sz="8" w:color="CCEEFF"/>
            </w:tcBorders>
          </w:tcPr>
          <w:p>
            <w:pPr>
              <w:spacing w:after="0"/>
              <w:rPr>
                <w:sz w:val="10"/>
                <w:szCs w:val="10"/>
                <w:color w:val="auto"/>
              </w:rPr>
            </w:pPr>
          </w:p>
        </w:tc>
        <w:tc>
          <w:tcPr>
            <w:tcW w:w="22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2020</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2019</w:t>
            </w:r>
          </w:p>
        </w:tc>
      </w:tr>
      <w:tr>
        <w:trPr>
          <w:trHeight w:val="143"/>
        </w:trPr>
        <w:tc>
          <w:tcPr>
            <w:tcW w:w="422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Deferred tax assets:</w:t>
            </w:r>
          </w:p>
        </w:tc>
        <w:tc>
          <w:tcPr>
            <w:tcW w:w="2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54"/>
        </w:trPr>
        <w:tc>
          <w:tcPr>
            <w:tcW w:w="4220" w:type="dxa"/>
            <w:vAlign w:val="bottom"/>
          </w:tcPr>
          <w:p>
            <w:pPr>
              <w:ind w:left="80"/>
              <w:spacing w:after="0"/>
              <w:rPr>
                <w:sz w:val="20"/>
                <w:szCs w:val="20"/>
                <w:color w:val="auto"/>
              </w:rPr>
            </w:pPr>
            <w:r>
              <w:rPr>
                <w:rFonts w:ascii="Arial" w:cs="Arial" w:eastAsia="Arial" w:hAnsi="Arial"/>
                <w:sz w:val="13"/>
                <w:szCs w:val="13"/>
                <w:color w:val="auto"/>
              </w:rPr>
              <w:t>Net operating loss carryforwards</w:t>
            </w:r>
          </w:p>
        </w:tc>
        <w:tc>
          <w:tcPr>
            <w:tcW w:w="2480" w:type="dxa"/>
            <w:vAlign w:val="bottom"/>
            <w:gridSpan w:val="2"/>
          </w:tcPr>
          <w:p>
            <w:pPr>
              <w:jc w:val="right"/>
              <w:ind w:right="92"/>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265,799</w:t>
            </w:r>
          </w:p>
        </w:tc>
        <w:tc>
          <w:tcPr>
            <w:tcW w:w="340" w:type="dxa"/>
            <w:vAlign w:val="bottom"/>
            <w:gridSpan w:val="2"/>
          </w:tcPr>
          <w:p>
            <w:pPr>
              <w:jc w:val="right"/>
              <w:ind w:right="72"/>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139,899</w:t>
            </w:r>
          </w:p>
        </w:tc>
      </w:tr>
      <w:tr>
        <w:trPr>
          <w:trHeight w:val="154"/>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Tax credit carryforwards</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40,454</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18,076</w:t>
            </w:r>
          </w:p>
        </w:tc>
      </w:tr>
      <w:tr>
        <w:trPr>
          <w:trHeight w:val="154"/>
        </w:trPr>
        <w:tc>
          <w:tcPr>
            <w:tcW w:w="4220" w:type="dxa"/>
            <w:vAlign w:val="bottom"/>
          </w:tcPr>
          <w:p>
            <w:pPr>
              <w:ind w:left="80"/>
              <w:spacing w:after="0"/>
              <w:rPr>
                <w:sz w:val="20"/>
                <w:szCs w:val="20"/>
                <w:color w:val="auto"/>
              </w:rPr>
            </w:pPr>
            <w:r>
              <w:rPr>
                <w:rFonts w:ascii="Arial" w:cs="Arial" w:eastAsia="Arial" w:hAnsi="Arial"/>
                <w:sz w:val="13"/>
                <w:szCs w:val="13"/>
                <w:color w:val="auto"/>
              </w:rPr>
              <w:t>Share-based compensation expense</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2,554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4,191</w:t>
            </w:r>
          </w:p>
        </w:tc>
      </w:tr>
      <w:tr>
        <w:trPr>
          <w:trHeight w:val="154"/>
        </w:trPr>
        <w:tc>
          <w:tcPr>
            <w:tcW w:w="422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4"/>
        </w:trPr>
        <w:tc>
          <w:tcPr>
            <w:tcW w:w="4220" w:type="dxa"/>
            <w:vAlign w:val="bottom"/>
          </w:tcPr>
          <w:p>
            <w:pPr>
              <w:ind w:left="80"/>
              <w:spacing w:after="0"/>
              <w:rPr>
                <w:sz w:val="20"/>
                <w:szCs w:val="20"/>
                <w:color w:val="auto"/>
              </w:rPr>
            </w:pPr>
            <w:r>
              <w:rPr>
                <w:rFonts w:ascii="Arial" w:cs="Arial" w:eastAsia="Arial" w:hAnsi="Arial"/>
                <w:sz w:val="13"/>
                <w:szCs w:val="13"/>
                <w:color w:val="auto"/>
              </w:rPr>
              <w:t>Depreciation</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w:t>
            </w:r>
          </w:p>
        </w:tc>
      </w:tr>
      <w:tr>
        <w:trPr>
          <w:trHeight w:val="154"/>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compensation and vacation</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154"/>
        </w:trPr>
        <w:tc>
          <w:tcPr>
            <w:tcW w:w="4220" w:type="dxa"/>
            <w:vAlign w:val="bottom"/>
          </w:tcPr>
          <w:p>
            <w:pPr>
              <w:ind w:left="80"/>
              <w:spacing w:after="0"/>
              <w:rPr>
                <w:sz w:val="20"/>
                <w:szCs w:val="20"/>
                <w:color w:val="auto"/>
              </w:rPr>
            </w:pPr>
            <w:r>
              <w:rPr>
                <w:rFonts w:ascii="Arial" w:cs="Arial" w:eastAsia="Arial" w:hAnsi="Arial"/>
                <w:sz w:val="13"/>
                <w:szCs w:val="13"/>
                <w:color w:val="auto"/>
              </w:rPr>
              <w:t>Interest</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409</w:t>
            </w:r>
          </w:p>
        </w:tc>
      </w:tr>
      <w:tr>
        <w:trPr>
          <w:trHeight w:val="154"/>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Tenant improvement allowance</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8,777</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7,757</w:t>
            </w:r>
          </w:p>
        </w:tc>
      </w:tr>
      <w:tr>
        <w:trPr>
          <w:trHeight w:val="154"/>
        </w:trPr>
        <w:tc>
          <w:tcPr>
            <w:tcW w:w="4220" w:type="dxa"/>
            <w:vAlign w:val="bottom"/>
          </w:tcPr>
          <w:p>
            <w:pPr>
              <w:ind w:left="80"/>
              <w:spacing w:after="0"/>
              <w:rPr>
                <w:sz w:val="20"/>
                <w:szCs w:val="20"/>
                <w:color w:val="auto"/>
              </w:rPr>
            </w:pPr>
            <w:r>
              <w:rPr>
                <w:rFonts w:ascii="Arial" w:cs="Arial" w:eastAsia="Arial" w:hAnsi="Arial"/>
                <w:sz w:val="13"/>
                <w:szCs w:val="13"/>
                <w:color w:val="auto"/>
              </w:rPr>
              <w:t>Accruals and reserves</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39,502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3,577</w:t>
            </w:r>
          </w:p>
        </w:tc>
      </w:tr>
      <w:tr>
        <w:trPr>
          <w:trHeight w:val="154"/>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22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3"/>
        </w:trPr>
        <w:tc>
          <w:tcPr>
            <w:tcW w:w="4220" w:type="dxa"/>
            <w:vAlign w:val="bottom"/>
          </w:tcPr>
          <w:p>
            <w:pPr>
              <w:ind w:left="180"/>
              <w:spacing w:after="0" w:line="143" w:lineRule="exact"/>
              <w:rPr>
                <w:sz w:val="20"/>
                <w:szCs w:val="20"/>
                <w:color w:val="auto"/>
              </w:rPr>
            </w:pPr>
            <w:r>
              <w:rPr>
                <w:rFonts w:ascii="Arial" w:cs="Arial" w:eastAsia="Arial" w:hAnsi="Arial"/>
                <w:sz w:val="13"/>
                <w:szCs w:val="13"/>
                <w:color w:val="auto"/>
              </w:rPr>
              <w:t>Total deferred tax assets</w:t>
            </w:r>
          </w:p>
        </w:tc>
        <w:tc>
          <w:tcPr>
            <w:tcW w:w="2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360,573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174,818</w:t>
            </w:r>
          </w:p>
        </w:tc>
      </w:tr>
      <w:tr>
        <w:trPr>
          <w:trHeight w:val="154"/>
        </w:trPr>
        <w:tc>
          <w:tcPr>
            <w:tcW w:w="4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Valuation allowance</w:t>
            </w:r>
          </w:p>
        </w:tc>
        <w:tc>
          <w:tcPr>
            <w:tcW w:w="22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(360,573)</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(174,818)</w:t>
            </w:r>
          </w:p>
        </w:tc>
      </w:tr>
      <w:tr>
        <w:trPr>
          <w:trHeight w:val="143"/>
        </w:trPr>
        <w:tc>
          <w:tcPr>
            <w:tcW w:w="4220" w:type="dxa"/>
            <w:vAlign w:val="bottom"/>
            <w:tcBorders>
              <w:bottom w:val="single" w:sz="8" w:color="CCEEFF"/>
            </w:tcBorders>
          </w:tcPr>
          <w:p>
            <w:pPr>
              <w:ind w:left="180"/>
              <w:spacing w:after="0" w:line="143" w:lineRule="exact"/>
              <w:rPr>
                <w:sz w:val="20"/>
                <w:szCs w:val="20"/>
                <w:color w:val="auto"/>
              </w:rPr>
            </w:pPr>
            <w:r>
              <w:rPr>
                <w:rFonts w:ascii="Arial" w:cs="Arial" w:eastAsia="Arial" w:hAnsi="Arial"/>
                <w:sz w:val="13"/>
                <w:szCs w:val="13"/>
                <w:color w:val="auto"/>
              </w:rPr>
              <w:t>Net deferred tax assets</w:t>
            </w:r>
          </w:p>
        </w:tc>
        <w:tc>
          <w:tcPr>
            <w:tcW w:w="2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r>
      <w:tr>
        <w:trPr>
          <w:trHeight w:val="152"/>
        </w:trPr>
        <w:tc>
          <w:tcPr>
            <w:tcW w:w="4220" w:type="dxa"/>
            <w:vAlign w:val="bottom"/>
            <w:tcBorders>
              <w:bottom w:val="single" w:sz="8" w:color="CCEEFF"/>
            </w:tcBorders>
            <w:shd w:val="clear" w:color="auto" w:fill="CCEEFF"/>
          </w:tcPr>
          <w:p>
            <w:pPr>
              <w:ind w:left="180"/>
              <w:spacing w:after="0" w:line="144" w:lineRule="exact"/>
              <w:rPr>
                <w:sz w:val="20"/>
                <w:szCs w:val="20"/>
                <w:color w:val="auto"/>
              </w:rPr>
            </w:pPr>
            <w:r>
              <w:rPr>
                <w:rFonts w:ascii="Arial" w:cs="Arial" w:eastAsia="Arial" w:hAnsi="Arial"/>
                <w:sz w:val="13"/>
                <w:szCs w:val="13"/>
                <w:color w:val="auto"/>
              </w:rPr>
              <w:t>Net deferred tax assets (liabilities)</w:t>
            </w:r>
          </w:p>
        </w:tc>
        <w:tc>
          <w:tcPr>
            <w:tcW w:w="22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bl>
    <w:p>
      <w:pPr>
        <w:spacing w:after="0" w:line="14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December 31, 2020, and 2019, the Company has no undistributed earnings from its foreign subsidiaries. Accordingly, no deferred tax liability has been established.</w:t>
      </w:r>
    </w:p>
    <w:p>
      <w:pPr>
        <w:spacing w:after="0" w:line="181" w:lineRule="exact"/>
        <w:rPr>
          <w:sz w:val="20"/>
          <w:szCs w:val="20"/>
          <w:color w:val="auto"/>
        </w:rPr>
      </w:pPr>
    </w:p>
    <w:p>
      <w:pPr>
        <w:ind w:left="20" w:right="199" w:firstLine="231"/>
        <w:spacing w:after="0" w:line="325" w:lineRule="auto"/>
        <w:rPr>
          <w:sz w:val="20"/>
          <w:szCs w:val="20"/>
          <w:color w:val="auto"/>
        </w:rPr>
      </w:pPr>
      <w:r>
        <w:rPr>
          <w:rFonts w:ascii="Arial" w:cs="Arial" w:eastAsia="Arial" w:hAnsi="Arial"/>
          <w:sz w:val="11"/>
          <w:szCs w:val="11"/>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01" w:lineRule="exact"/>
        <w:rPr>
          <w:sz w:val="20"/>
          <w:szCs w:val="20"/>
          <w:color w:val="auto"/>
        </w:rPr>
      </w:pPr>
    </w:p>
    <w:p>
      <w:pPr>
        <w:ind w:left="20" w:right="159" w:firstLine="231"/>
        <w:spacing w:after="0" w:line="281" w:lineRule="auto"/>
        <w:rPr>
          <w:sz w:val="20"/>
          <w:szCs w:val="20"/>
          <w:color w:val="auto"/>
        </w:rPr>
      </w:pPr>
      <w:r>
        <w:rPr>
          <w:rFonts w:ascii="Arial" w:cs="Arial" w:eastAsia="Arial" w:hAnsi="Arial"/>
          <w:sz w:val="12"/>
          <w:szCs w:val="12"/>
          <w:color w:val="auto"/>
        </w:rPr>
        <w:t>Based on the weight of the available evidence, which includes the Company’s historical operating losses, lack of taxable income, and the accumulated deficit, as of December 31, 2020 and 2019, the Company provided a full valuation allowance against its US and state deferred tax assets. The valuation allowance for deferred tax assets was $360.6 million and $174.8 million, as of December 31, 2020 and 2019, respectively. The valuation allowance on our net deferred taxes increased by $185.8 million and increased by $80.7 million during the years ended December 31, 2020 and 2019, respectively.</w:t>
      </w:r>
    </w:p>
    <w:p>
      <w:pPr>
        <w:spacing w:after="0" w:line="123"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The Company had federal and state net operating loss carryforwards of approximately $960.7 million and $716.1 million, respectively, as of December 31, 2020, which will begin to expire at various dates beginning in 2028, if not utilized. The Company also had federal and state tax research and development tax credit carryforwards of approximately $44.8 million and $36.1 million, respectively. The federal research and development tax credit carryforwards will expire at various dates beginning in 2034, if not utilized. The state research and development tax credit carryforwards do not expire.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9" w:name="page60"/>
    <w:bookmarkEnd w:id="59"/>
    <w:p>
      <w:pPr>
        <w:ind w:left="260"/>
        <w:spacing w:after="0"/>
        <w:rPr>
          <w:sz w:val="20"/>
          <w:szCs w:val="20"/>
          <w:color w:val="auto"/>
        </w:rPr>
      </w:pPr>
      <w:r>
        <w:rPr>
          <w:rFonts w:ascii="Arial" w:cs="Arial" w:eastAsia="Arial" w:hAnsi="Arial"/>
          <w:sz w:val="12"/>
          <w:szCs w:val="12"/>
          <w:color w:val="auto"/>
        </w:rPr>
        <w:t>The reconciliation of taxes at the federal statutory rate to our provision for income taxes for the years ended December 31, 2020 and 2019 was as follows:</w:t>
      </w:r>
    </w:p>
    <w:p>
      <w:pPr>
        <w:spacing w:after="0" w:line="173" w:lineRule="exact"/>
        <w:rPr>
          <w:sz w:val="20"/>
          <w:szCs w:val="20"/>
          <w:color w:val="auto"/>
        </w:rPr>
      </w:pPr>
    </w:p>
    <w:p>
      <w:pPr>
        <w:ind w:left="6900"/>
        <w:spacing w:after="0"/>
        <w:rPr>
          <w:sz w:val="20"/>
          <w:szCs w:val="20"/>
          <w:color w:val="auto"/>
        </w:rPr>
      </w:pPr>
      <w:r>
        <w:rPr>
          <w:rFonts w:ascii="Arial" w:cs="Arial" w:eastAsia="Arial" w:hAnsi="Arial"/>
          <w:sz w:val="10"/>
          <w:szCs w:val="10"/>
          <w:b w:val="1"/>
          <w:bCs w:val="1"/>
          <w:color w:val="auto"/>
        </w:rPr>
        <w:t>Year Ended December 31,</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95"/>
        </w:trPr>
        <w:tc>
          <w:tcPr>
            <w:tcW w:w="6240" w:type="dxa"/>
            <w:vAlign w:val="bottom"/>
            <w:tcBorders>
              <w:bottom w:val="single" w:sz="8" w:color="CCEEFF"/>
            </w:tcBorders>
          </w:tcPr>
          <w:p>
            <w:pPr>
              <w:spacing w:after="0"/>
              <w:rPr>
                <w:sz w:val="8"/>
                <w:szCs w:val="8"/>
                <w:color w:val="auto"/>
              </w:rPr>
            </w:pPr>
          </w:p>
        </w:tc>
        <w:tc>
          <w:tcPr>
            <w:tcW w:w="540" w:type="dxa"/>
            <w:vAlign w:val="bottom"/>
            <w:tcBorders>
              <w:top w:val="single" w:sz="8" w:color="auto"/>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CCEEFF"/>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278"/>
              <w:spacing w:after="0" w:line="95"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bottom w:val="single" w:sz="8" w:color="CCEEFF"/>
            </w:tcBorders>
          </w:tcPr>
          <w:p>
            <w:pPr>
              <w:spacing w:after="0"/>
              <w:rPr>
                <w:sz w:val="8"/>
                <w:szCs w:val="8"/>
                <w:color w:val="auto"/>
              </w:rPr>
            </w:pPr>
          </w:p>
        </w:tc>
      </w:tr>
      <w:tr>
        <w:trPr>
          <w:trHeight w:val="143"/>
        </w:trPr>
        <w:tc>
          <w:tcPr>
            <w:tcW w:w="624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Statutory federal income tax rate</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w w:val="74"/>
              </w:rPr>
              <w:t>%</w:t>
            </w:r>
          </w:p>
        </w:tc>
        <w:tc>
          <w:tcPr>
            <w:tcW w:w="8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21.0</w:t>
            </w:r>
          </w:p>
        </w:tc>
        <w:tc>
          <w:tcPr>
            <w:tcW w:w="1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6"/>
              </w:rPr>
              <w:t>%</w:t>
            </w: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right"/>
              <w:spacing w:after="0"/>
              <w:rPr>
                <w:sz w:val="20"/>
                <w:szCs w:val="20"/>
                <w:color w:val="auto"/>
              </w:rPr>
            </w:pPr>
            <w:r>
              <w:rPr>
                <w:rFonts w:ascii="Arial" w:cs="Arial" w:eastAsia="Arial" w:hAnsi="Arial"/>
                <w:sz w:val="13"/>
                <w:szCs w:val="13"/>
                <w:color w:val="auto"/>
              </w:rPr>
              <w:t>(0.2)</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w:t>
            </w:r>
          </w:p>
        </w:tc>
        <w:tc>
          <w:tcPr>
            <w:tcW w:w="16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Mark-to-market adjustment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3"/>
                <w:szCs w:val="13"/>
                <w:color w:val="auto"/>
              </w:rPr>
            </w:pPr>
          </w:p>
        </w:tc>
      </w:tr>
      <w:tr>
        <w:trPr>
          <w:trHeight w:val="154"/>
        </w:trPr>
        <w:tc>
          <w:tcPr>
            <w:tcW w:w="6780" w:type="dxa"/>
            <w:vAlign w:val="bottom"/>
            <w:gridSpan w:val="2"/>
          </w:tcPr>
          <w:p>
            <w:pPr>
              <w:spacing w:after="0"/>
              <w:rPr>
                <w:sz w:val="20"/>
                <w:szCs w:val="20"/>
                <w:color w:val="auto"/>
              </w:rPr>
            </w:pPr>
            <w:r>
              <w:rPr>
                <w:rFonts w:ascii="Arial" w:cs="Arial" w:eastAsia="Arial" w:hAnsi="Arial"/>
                <w:sz w:val="13"/>
                <w:szCs w:val="13"/>
                <w:color w:val="auto"/>
              </w:rPr>
              <w:t>Nondeductible expenses</w:t>
            </w:r>
          </w:p>
        </w:tc>
        <w:tc>
          <w:tcPr>
            <w:tcW w:w="340" w:type="dxa"/>
            <w:vAlign w:val="bottom"/>
          </w:tcPr>
          <w:p>
            <w:pPr>
              <w:jc w:val="right"/>
              <w:spacing w:after="0"/>
              <w:rPr>
                <w:sz w:val="20"/>
                <w:szCs w:val="20"/>
                <w:color w:val="auto"/>
              </w:rPr>
            </w:pPr>
            <w:r>
              <w:rPr>
                <w:rFonts w:ascii="Arial" w:cs="Arial" w:eastAsia="Arial" w:hAnsi="Arial"/>
                <w:sz w:val="13"/>
                <w:szCs w:val="13"/>
                <w:color w:val="auto"/>
              </w:rPr>
              <w:t>(0.1)</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(0.8)</w:t>
            </w:r>
          </w:p>
        </w:tc>
        <w:tc>
          <w:tcPr>
            <w:tcW w:w="160" w:type="dxa"/>
            <w:vAlign w:val="bottom"/>
          </w:tcPr>
          <w:p>
            <w:pPr>
              <w:spacing w:after="0"/>
              <w:rPr>
                <w:sz w:val="13"/>
                <w:szCs w:val="13"/>
                <w:color w:val="auto"/>
              </w:rPr>
            </w:pPr>
          </w:p>
        </w:tc>
      </w:tr>
      <w:tr>
        <w:trPr>
          <w:trHeight w:val="154"/>
        </w:trPr>
        <w:tc>
          <w:tcPr>
            <w:tcW w:w="6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Tax credits</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60" w:type="dxa"/>
            <w:vAlign w:val="bottom"/>
            <w:shd w:val="clear" w:color="auto" w:fill="CCEEFF"/>
          </w:tcPr>
          <w:p>
            <w:pPr>
              <w:spacing w:after="0"/>
              <w:rPr>
                <w:sz w:val="13"/>
                <w:szCs w:val="13"/>
                <w:color w:val="auto"/>
              </w:rPr>
            </w:pPr>
          </w:p>
        </w:tc>
      </w:tr>
      <w:tr>
        <w:trPr>
          <w:trHeight w:val="154"/>
        </w:trPr>
        <w:tc>
          <w:tcPr>
            <w:tcW w:w="62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Change in valuation allowance</w:t>
            </w: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8"/>
              </w:rPr>
              <w:t>(20.1)</w:t>
            </w:r>
          </w:p>
        </w:tc>
        <w:tc>
          <w:tcPr>
            <w:tcW w:w="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Borders>
              <w:bottom w:val="single" w:sz="8" w:color="CCEEFF"/>
            </w:tcBorders>
          </w:tcPr>
          <w:p>
            <w:pPr>
              <w:spacing w:after="0"/>
              <w:rPr>
                <w:sz w:val="13"/>
                <w:szCs w:val="13"/>
                <w:color w:val="auto"/>
              </w:rPr>
            </w:pPr>
          </w:p>
        </w:tc>
      </w:tr>
      <w:tr>
        <w:trPr>
          <w:trHeight w:val="152"/>
        </w:trPr>
        <w:tc>
          <w:tcPr>
            <w:tcW w:w="624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Provision for income taxes</w:t>
            </w:r>
          </w:p>
        </w:tc>
        <w:tc>
          <w:tcPr>
            <w:tcW w:w="5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74"/>
              </w:rPr>
              <w:t>%</w:t>
            </w: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6"/>
              </w:rPr>
              <w:t>%</w:t>
            </w:r>
          </w:p>
        </w:tc>
      </w:tr>
    </w:tbl>
    <w:p>
      <w:pPr>
        <w:spacing w:after="0" w:line="145" w:lineRule="exact"/>
        <w:rPr>
          <w:sz w:val="20"/>
          <w:szCs w:val="20"/>
          <w:color w:val="auto"/>
        </w:rPr>
      </w:pPr>
    </w:p>
    <w:p>
      <w:pPr>
        <w:ind w:left="20" w:right="119" w:firstLine="231"/>
        <w:spacing w:after="0" w:line="250" w:lineRule="auto"/>
        <w:rPr>
          <w:sz w:val="20"/>
          <w:szCs w:val="20"/>
          <w:color w:val="auto"/>
        </w:rPr>
      </w:pPr>
      <w:r>
        <w:rPr>
          <w:rFonts w:ascii="Arial" w:cs="Arial" w:eastAsia="Arial" w:hAnsi="Arial"/>
          <w:sz w:val="13"/>
          <w:szCs w:val="13"/>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 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w:t>
      </w:r>
    </w:p>
    <w:p>
      <w:pPr>
        <w:spacing w:after="0" w:line="142" w:lineRule="exact"/>
        <w:rPr>
          <w:sz w:val="20"/>
          <w:szCs w:val="20"/>
          <w:color w:val="auto"/>
        </w:rPr>
      </w:pPr>
    </w:p>
    <w:p>
      <w:pPr>
        <w:ind w:left="20" w:right="39" w:firstLine="231"/>
        <w:spacing w:after="0" w:line="267" w:lineRule="auto"/>
        <w:rPr>
          <w:sz w:val="20"/>
          <w:szCs w:val="20"/>
          <w:color w:val="auto"/>
        </w:rPr>
      </w:pPr>
      <w:r>
        <w:rPr>
          <w:rFonts w:ascii="Arial" w:cs="Arial" w:eastAsia="Arial" w:hAnsi="Arial"/>
          <w:sz w:val="13"/>
          <w:szCs w:val="13"/>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Uncertain Tax Positions</w:t>
      </w:r>
    </w:p>
    <w:p>
      <w:pPr>
        <w:spacing w:after="0" w:line="162" w:lineRule="exact"/>
        <w:rPr>
          <w:sz w:val="20"/>
          <w:szCs w:val="20"/>
          <w:color w:val="auto"/>
        </w:rPr>
      </w:pPr>
    </w:p>
    <w:p>
      <w:pPr>
        <w:ind w:left="20" w:right="119" w:firstLine="231"/>
        <w:spacing w:after="0" w:line="267" w:lineRule="auto"/>
        <w:rPr>
          <w:sz w:val="20"/>
          <w:szCs w:val="20"/>
          <w:color w:val="auto"/>
        </w:rPr>
      </w:pPr>
      <w:r>
        <w:rPr>
          <w:rFonts w:ascii="Arial" w:cs="Arial" w:eastAsia="Arial" w:hAnsi="Arial"/>
          <w:sz w:val="13"/>
          <w:szCs w:val="13"/>
          <w:color w:val="auto"/>
        </w:rPr>
        <w:t>As of December 31, 2020, and 2019, the total amount of unrecognized tax benefits was approximately $42.9 million and $20.6 million, respectively. The Company does not anticipate a significant change in the total amount of unrecognized tax benefits within the next 12 months.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the activity related to unrecognized tax benefits for the years ended December 31, 2020 and 2019 (in thousands):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42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r>
      <w:tr>
        <w:trPr>
          <w:trHeight w:val="95"/>
        </w:trPr>
        <w:tc>
          <w:tcPr>
            <w:tcW w:w="4260" w:type="dxa"/>
            <w:vAlign w:val="bottom"/>
            <w:tcBorders>
              <w:bottom w:val="single" w:sz="8" w:color="CCEEFF"/>
            </w:tcBorders>
          </w:tcPr>
          <w:p>
            <w:pPr>
              <w:spacing w:after="0"/>
              <w:rPr>
                <w:sz w:val="8"/>
                <w:szCs w:val="8"/>
                <w:color w:val="auto"/>
              </w:rPr>
            </w:pPr>
          </w:p>
        </w:tc>
        <w:tc>
          <w:tcPr>
            <w:tcW w:w="194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38"/>
              <w:spacing w:after="0" w:line="95" w:lineRule="exact"/>
              <w:rPr>
                <w:sz w:val="20"/>
                <w:szCs w:val="20"/>
                <w:color w:val="auto"/>
              </w:rPr>
            </w:pPr>
            <w:r>
              <w:rPr>
                <w:rFonts w:ascii="Arial" w:cs="Arial" w:eastAsia="Arial" w:hAnsi="Arial"/>
                <w:sz w:val="10"/>
                <w:szCs w:val="10"/>
                <w:b w:val="1"/>
                <w:bCs w:val="1"/>
                <w:color w:val="auto"/>
              </w:rPr>
              <w:t>2019</w:t>
            </w:r>
          </w:p>
        </w:tc>
      </w:tr>
      <w:tr>
        <w:trPr>
          <w:trHeight w:val="143"/>
        </w:trPr>
        <w:tc>
          <w:tcPr>
            <w:tcW w:w="42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Unrecognized benefit – beginning of period</w:t>
            </w:r>
          </w:p>
        </w:tc>
        <w:tc>
          <w:tcPr>
            <w:tcW w:w="19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0"/>
              </w:rPr>
              <w:t>20,635</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11,647</w:t>
            </w:r>
          </w:p>
        </w:tc>
      </w:tr>
      <w:tr>
        <w:trPr>
          <w:trHeight w:val="154"/>
        </w:trPr>
        <w:tc>
          <w:tcPr>
            <w:tcW w:w="4260" w:type="dxa"/>
            <w:vAlign w:val="bottom"/>
          </w:tcPr>
          <w:p>
            <w:pPr>
              <w:spacing w:after="0"/>
              <w:rPr>
                <w:sz w:val="20"/>
                <w:szCs w:val="20"/>
                <w:color w:val="auto"/>
              </w:rPr>
            </w:pPr>
            <w:r>
              <w:rPr>
                <w:rFonts w:ascii="Arial" w:cs="Arial" w:eastAsia="Arial" w:hAnsi="Arial"/>
                <w:sz w:val="13"/>
                <w:szCs w:val="13"/>
                <w:color w:val="auto"/>
              </w:rPr>
              <w:t>Gross increases – prior-period tax positions</w:t>
            </w: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54"/>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Gross decreases – prior-period tax positions</w:t>
            </w:r>
          </w:p>
        </w:tc>
        <w:tc>
          <w:tcPr>
            <w:tcW w:w="1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4260" w:type="dxa"/>
            <w:vAlign w:val="bottom"/>
          </w:tcPr>
          <w:p>
            <w:pPr>
              <w:spacing w:after="0"/>
              <w:rPr>
                <w:sz w:val="20"/>
                <w:szCs w:val="20"/>
                <w:color w:val="auto"/>
              </w:rPr>
            </w:pPr>
            <w:r>
              <w:rPr>
                <w:rFonts w:ascii="Arial" w:cs="Arial" w:eastAsia="Arial" w:hAnsi="Arial"/>
                <w:sz w:val="13"/>
                <w:szCs w:val="13"/>
                <w:color w:val="auto"/>
              </w:rPr>
              <w:t>Gross increases – current-period tax positions</w:t>
            </w:r>
          </w:p>
        </w:tc>
        <w:tc>
          <w:tcPr>
            <w:tcW w:w="1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0"/>
              </w:rPr>
              <w:t>22,382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8,995</w:t>
            </w:r>
          </w:p>
        </w:tc>
      </w:tr>
      <w:tr>
        <w:trPr>
          <w:trHeight w:val="154"/>
        </w:trPr>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Gross decrease – current-period tax positions</w:t>
            </w:r>
          </w:p>
        </w:tc>
        <w:tc>
          <w:tcPr>
            <w:tcW w:w="1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4"/>
        </w:trPr>
        <w:tc>
          <w:tcPr>
            <w:tcW w:w="42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Statute lapse</w:t>
            </w:r>
          </w:p>
        </w:tc>
        <w:tc>
          <w:tcPr>
            <w:tcW w:w="19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4260" w:type="dxa"/>
            <w:vAlign w:val="bottom"/>
            <w:tcBorders>
              <w:bottom w:val="single" w:sz="8" w:color="CCEEFF"/>
            </w:tcBorders>
            <w:shd w:val="clear" w:color="auto" w:fill="CCEEFF"/>
          </w:tcPr>
          <w:p>
            <w:pPr>
              <w:spacing w:after="0" w:line="144" w:lineRule="exact"/>
              <w:rPr>
                <w:sz w:val="20"/>
                <w:szCs w:val="20"/>
                <w:color w:val="auto"/>
              </w:rPr>
            </w:pPr>
            <w:r>
              <w:rPr>
                <w:rFonts w:ascii="Arial" w:cs="Arial" w:eastAsia="Arial" w:hAnsi="Arial"/>
                <w:sz w:val="13"/>
                <w:szCs w:val="13"/>
                <w:color w:val="auto"/>
              </w:rPr>
              <w:t>Unrecognized benefit – end of period</w:t>
            </w:r>
          </w:p>
        </w:tc>
        <w:tc>
          <w:tcPr>
            <w:tcW w:w="19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w w:val="80"/>
              </w:rPr>
              <w:t>42,894</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20,635</w:t>
            </w:r>
          </w:p>
        </w:tc>
      </w:tr>
    </w:tbl>
    <w:p>
      <w:pPr>
        <w:spacing w:after="0" w:line="145" w:lineRule="exact"/>
        <w:rPr>
          <w:sz w:val="20"/>
          <w:szCs w:val="20"/>
          <w:color w:val="auto"/>
        </w:rPr>
      </w:pPr>
    </w:p>
    <w:p>
      <w:pPr>
        <w:ind w:left="20" w:right="499" w:firstLine="231"/>
        <w:spacing w:after="0" w:line="267" w:lineRule="auto"/>
        <w:rPr>
          <w:sz w:val="20"/>
          <w:szCs w:val="20"/>
          <w:color w:val="auto"/>
        </w:rPr>
      </w:pPr>
      <w:r>
        <w:rPr>
          <w:rFonts w:ascii="Arial" w:cs="Arial" w:eastAsia="Arial" w:hAnsi="Arial"/>
          <w:sz w:val="13"/>
          <w:szCs w:val="13"/>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Year Ended December 31,</w:t>
            </w:r>
          </w:p>
        </w:tc>
        <w:tc>
          <w:tcPr>
            <w:tcW w:w="3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r>
      <w:tr>
        <w:trPr>
          <w:trHeight w:val="95"/>
        </w:trPr>
        <w:tc>
          <w:tcPr>
            <w:tcW w:w="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80" w:type="dxa"/>
            <w:vAlign w:val="bottom"/>
          </w:tcPr>
          <w:p>
            <w:pPr>
              <w:jc w:val="right"/>
              <w:ind w:right="50"/>
              <w:spacing w:after="0" w:line="95" w:lineRule="exact"/>
              <w:rPr>
                <w:sz w:val="20"/>
                <w:szCs w:val="20"/>
                <w:color w:val="auto"/>
              </w:rPr>
            </w:pPr>
            <w:r>
              <w:rPr>
                <w:rFonts w:ascii="Arial" w:cs="Arial" w:eastAsia="Arial" w:hAnsi="Arial"/>
                <w:sz w:val="10"/>
                <w:szCs w:val="10"/>
                <w:b w:val="1"/>
                <w:bCs w:val="1"/>
                <w:color w:val="auto"/>
              </w:rPr>
              <w:t>2020</w:t>
            </w:r>
          </w:p>
        </w:tc>
        <w:tc>
          <w:tcPr>
            <w:tcW w:w="320" w:type="dxa"/>
            <w:vAlign w:val="bottom"/>
          </w:tcPr>
          <w:p>
            <w:pPr>
              <w:spacing w:after="0"/>
              <w:rPr>
                <w:sz w:val="8"/>
                <w:szCs w:val="8"/>
                <w:color w:val="auto"/>
              </w:rPr>
            </w:pPr>
          </w:p>
        </w:tc>
        <w:tc>
          <w:tcPr>
            <w:tcW w:w="880" w:type="dxa"/>
            <w:vAlign w:val="bottom"/>
            <w:gridSpan w:val="2"/>
          </w:tcPr>
          <w:p>
            <w:pPr>
              <w:jc w:val="right"/>
              <w:ind w:right="52"/>
              <w:spacing w:after="0" w:line="95" w:lineRule="exact"/>
              <w:rPr>
                <w:sz w:val="20"/>
                <w:szCs w:val="20"/>
                <w:color w:val="auto"/>
              </w:rPr>
            </w:pPr>
            <w:r>
              <w:rPr>
                <w:rFonts w:ascii="Arial" w:cs="Arial" w:eastAsia="Arial" w:hAnsi="Arial"/>
                <w:sz w:val="10"/>
                <w:szCs w:val="10"/>
                <w:b w:val="1"/>
                <w:bCs w:val="1"/>
                <w:color w:val="auto"/>
              </w:rPr>
              <w:t>2019</w:t>
            </w: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43"/>
        </w:trPr>
        <w:tc>
          <w:tcPr>
            <w:tcW w:w="240" w:type="dxa"/>
            <w:vAlign w:val="bottom"/>
          </w:tcPr>
          <w:p>
            <w:pPr>
              <w:spacing w:after="0"/>
              <w:rPr>
                <w:sz w:val="12"/>
                <w:szCs w:val="12"/>
                <w:color w:val="auto"/>
              </w:rPr>
            </w:pPr>
          </w:p>
        </w:tc>
        <w:tc>
          <w:tcPr>
            <w:tcW w:w="24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3"/>
                <w:szCs w:val="13"/>
                <w:color w:val="auto"/>
              </w:rPr>
              <w:t>Interest expense</w:t>
            </w:r>
          </w:p>
        </w:tc>
        <w:tc>
          <w:tcPr>
            <w:tcW w:w="37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(45)</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9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tcPr>
          <w:p>
            <w:pPr>
              <w:spacing w:after="0"/>
              <w:rPr>
                <w:sz w:val="12"/>
                <w:szCs w:val="12"/>
                <w:color w:val="auto"/>
              </w:rPr>
            </w:pPr>
          </w:p>
        </w:tc>
      </w:tr>
      <w:tr>
        <w:trPr>
          <w:trHeight w:val="162"/>
        </w:trPr>
        <w:tc>
          <w:tcPr>
            <w:tcW w:w="2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Penalty expense</w:t>
            </w:r>
          </w:p>
        </w:tc>
        <w:tc>
          <w:tcPr>
            <w:tcW w:w="3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4"/>
                <w:szCs w:val="14"/>
                <w:color w:val="auto"/>
              </w:rPr>
            </w:pPr>
          </w:p>
        </w:tc>
      </w:tr>
      <w:tr>
        <w:trPr>
          <w:trHeight w:val="606"/>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0" w:type="dxa"/>
            <w:vAlign w:val="bottom"/>
            <w:gridSpan w:val="2"/>
          </w:tcPr>
          <w:p>
            <w:pPr>
              <w:jc w:val="right"/>
              <w:ind w:right="2470"/>
              <w:spacing w:after="0"/>
              <w:rPr>
                <w:sz w:val="20"/>
                <w:szCs w:val="20"/>
                <w:color w:val="auto"/>
              </w:rPr>
            </w:pPr>
            <w:r>
              <w:rPr>
                <w:rFonts w:ascii="Arial" w:cs="Arial" w:eastAsia="Arial" w:hAnsi="Arial"/>
                <w:sz w:val="13"/>
                <w:szCs w:val="13"/>
                <w:color w:val="auto"/>
              </w:rPr>
              <w:t>F-35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85"/>
        </w:trPr>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63" w:right="1440" w:bottom="1440" w:gutter="0" w:footer="0" w:header="0"/>
        </w:sectPr>
      </w:pPr>
    </w:p>
    <w:bookmarkStart w:id="60" w:name="page61"/>
    <w:bookmarkEnd w:id="60"/>
    <w:p>
      <w:pPr>
        <w:ind w:left="20" w:right="259" w:firstLine="231"/>
        <w:spacing w:after="0" w:line="267" w:lineRule="auto"/>
        <w:rPr>
          <w:sz w:val="20"/>
          <w:szCs w:val="20"/>
          <w:color w:val="auto"/>
        </w:rPr>
      </w:pPr>
      <w:r>
        <w:rPr>
          <w:rFonts w:ascii="Arial" w:cs="Arial" w:eastAsia="Arial" w:hAnsi="Arial"/>
          <w:sz w:val="13"/>
          <w:szCs w:val="13"/>
          <w:color w:val="auto"/>
        </w:rPr>
        <w:t>As of December 31, 2020, the Company has recognized a liability for interest expense and penalties of $60 thousand and $9 thousand, respectively, which is included within income tax liabilities in the consolidated balance sheet.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12 — NET LOSS PER SHARE</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Basic and diluted net loss per share are calculated as follows (in thousands, except per share amounts):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0"/>
                <w:szCs w:val="10"/>
                <w:b w:val="1"/>
                <w:bCs w:val="1"/>
                <w:color w:val="auto"/>
              </w:rPr>
              <w:t>Year Ended December 31,</w:t>
            </w:r>
          </w:p>
        </w:tc>
      </w:tr>
      <w:tr>
        <w:trPr>
          <w:trHeight w:val="95"/>
        </w:trPr>
        <w:tc>
          <w:tcPr>
            <w:tcW w:w="616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78"/>
              <w:spacing w:after="0" w:line="95"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7"/>
              <w:spacing w:after="0" w:line="95" w:lineRule="exact"/>
              <w:rPr>
                <w:sz w:val="20"/>
                <w:szCs w:val="20"/>
                <w:color w:val="auto"/>
              </w:rPr>
            </w:pPr>
            <w:r>
              <w:rPr>
                <w:rFonts w:ascii="Arial" w:cs="Arial" w:eastAsia="Arial" w:hAnsi="Arial"/>
                <w:sz w:val="10"/>
                <w:szCs w:val="10"/>
                <w:b w:val="1"/>
                <w:bCs w:val="1"/>
                <w:color w:val="auto"/>
              </w:rPr>
              <w:t>2020</w:t>
            </w:r>
          </w:p>
        </w:tc>
      </w:tr>
      <w:tr>
        <w:trPr>
          <w:trHeight w:val="143"/>
        </w:trPr>
        <w:tc>
          <w:tcPr>
            <w:tcW w:w="61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and diluted net loss per share</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4"/>
        </w:trPr>
        <w:tc>
          <w:tcPr>
            <w:tcW w:w="6160" w:type="dxa"/>
            <w:vAlign w:val="bottom"/>
          </w:tcPr>
          <w:p>
            <w:pPr>
              <w:spacing w:after="0"/>
              <w:rPr>
                <w:sz w:val="20"/>
                <w:szCs w:val="20"/>
                <w:color w:val="auto"/>
              </w:rPr>
            </w:pPr>
            <w:r>
              <w:rPr>
                <w:rFonts w:ascii="Arial" w:cs="Arial" w:eastAsia="Arial" w:hAnsi="Arial"/>
                <w:sz w:val="13"/>
                <w:szCs w:val="13"/>
                <w:color w:val="auto"/>
              </w:rPr>
              <w:t>Numerator:</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(719,380)</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(277,357)</w:t>
            </w:r>
          </w:p>
        </w:tc>
      </w:tr>
      <w:tr>
        <w:trPr>
          <w:trHeight w:val="154"/>
        </w:trPr>
        <w:tc>
          <w:tcPr>
            <w:tcW w:w="6160" w:type="dxa"/>
            <w:vAlign w:val="bottom"/>
          </w:tcPr>
          <w:p>
            <w:pPr>
              <w:spacing w:after="0"/>
              <w:rPr>
                <w:sz w:val="20"/>
                <w:szCs w:val="20"/>
                <w:color w:val="auto"/>
              </w:rPr>
            </w:pPr>
            <w:r>
              <w:rPr>
                <w:rFonts w:ascii="Arial" w:cs="Arial" w:eastAsia="Arial" w:hAnsi="Arial"/>
                <w:sz w:val="13"/>
                <w:szCs w:val="13"/>
                <w:color w:val="auto"/>
              </w:rPr>
              <w:t>Deemed contribution related to repurchase of Series B convertible preferred shares</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Deemed contribution related to repurchase of Series C convertible preferred shares</w:t>
            </w:r>
          </w:p>
        </w:tc>
        <w:tc>
          <w:tcPr>
            <w:tcW w:w="4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12,784</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7,935</w:t>
            </w:r>
          </w:p>
        </w:tc>
      </w:tr>
      <w:tr>
        <w:trPr>
          <w:trHeight w:val="143"/>
        </w:trPr>
        <w:tc>
          <w:tcPr>
            <w:tcW w:w="6160" w:type="dxa"/>
            <w:vAlign w:val="bottom"/>
            <w:tcBorders>
              <w:bottom w:val="single" w:sz="8" w:color="CCEEFF"/>
            </w:tcBorders>
          </w:tcPr>
          <w:p>
            <w:pPr>
              <w:spacing w:after="0" w:line="143" w:lineRule="exact"/>
              <w:rPr>
                <w:sz w:val="20"/>
                <w:szCs w:val="20"/>
                <w:color w:val="auto"/>
              </w:rPr>
            </w:pPr>
            <w:r>
              <w:rPr>
                <w:rFonts w:ascii="Arial" w:cs="Arial" w:eastAsia="Arial" w:hAnsi="Arial"/>
                <w:sz w:val="13"/>
                <w:szCs w:val="13"/>
                <w:color w:val="auto"/>
              </w:rPr>
              <w:t>Net loss attributable to common shareholders</w:t>
            </w:r>
          </w:p>
        </w:tc>
        <w:tc>
          <w:tcPr>
            <w:tcW w:w="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(705,596)</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(269,422)</w:t>
            </w:r>
          </w:p>
        </w:tc>
      </w:tr>
      <w:tr>
        <w:trPr>
          <w:trHeight w:val="143"/>
        </w:trPr>
        <w:tc>
          <w:tcPr>
            <w:tcW w:w="61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Denominator:</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4"/>
        </w:trPr>
        <w:tc>
          <w:tcPr>
            <w:tcW w:w="6160" w:type="dxa"/>
            <w:vAlign w:val="bottom"/>
          </w:tcPr>
          <w:p>
            <w:pPr>
              <w:ind w:left="100"/>
              <w:spacing w:after="0"/>
              <w:rPr>
                <w:sz w:val="20"/>
                <w:szCs w:val="20"/>
                <w:color w:val="auto"/>
              </w:rPr>
            </w:pPr>
            <w:r>
              <w:rPr>
                <w:rFonts w:ascii="Arial" w:cs="Arial" w:eastAsia="Arial" w:hAnsi="Arial"/>
                <w:sz w:val="13"/>
                <w:szCs w:val="13"/>
                <w:color w:val="auto"/>
              </w:rPr>
              <w:t>Weighted-average shares outstanding – basic</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24,825,944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20,595,229</w:t>
            </w: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w w:val="95"/>
              </w:rPr>
              <w:t>Effect of dilutive potential common shares from share options, share awards and employee share purchase plan</w:t>
            </w:r>
          </w:p>
        </w:tc>
        <w:tc>
          <w:tcPr>
            <w:tcW w:w="4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2"/>
        </w:trPr>
        <w:tc>
          <w:tcPr>
            <w:tcW w:w="6160" w:type="dxa"/>
            <w:vAlign w:val="bottom"/>
            <w:tcBorders>
              <w:bottom w:val="single" w:sz="8" w:color="CCEEFF"/>
            </w:tcBorders>
          </w:tcPr>
          <w:p>
            <w:pPr>
              <w:spacing w:after="0" w:line="144" w:lineRule="exact"/>
              <w:rPr>
                <w:sz w:val="20"/>
                <w:szCs w:val="20"/>
                <w:color w:val="auto"/>
              </w:rPr>
            </w:pPr>
            <w:r>
              <w:rPr>
                <w:rFonts w:ascii="Arial" w:cs="Arial" w:eastAsia="Arial" w:hAnsi="Arial"/>
                <w:sz w:val="13"/>
                <w:szCs w:val="13"/>
                <w:color w:val="auto"/>
              </w:rPr>
              <w:t>Weighted-average shares outstanding – diluted</w:t>
            </w:r>
          </w:p>
        </w:tc>
        <w:tc>
          <w:tcPr>
            <w:tcW w:w="4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24,825,944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20,595,229</w:t>
            </w:r>
          </w:p>
        </w:tc>
      </w:tr>
      <w:tr>
        <w:trPr>
          <w:trHeight w:val="154"/>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w:t>
            </w: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3"/>
        </w:trPr>
        <w:tc>
          <w:tcPr>
            <w:tcW w:w="6160" w:type="dxa"/>
            <w:vAlign w:val="bottom"/>
          </w:tcPr>
          <w:p>
            <w:pPr>
              <w:spacing w:after="0"/>
              <w:rPr>
                <w:sz w:val="20"/>
                <w:szCs w:val="20"/>
                <w:color w:val="auto"/>
              </w:rPr>
            </w:pPr>
            <w:r>
              <w:rPr>
                <w:rFonts w:ascii="Arial" w:cs="Arial" w:eastAsia="Arial" w:hAnsi="Arial"/>
                <w:sz w:val="13"/>
                <w:szCs w:val="13"/>
                <w:color w:val="auto"/>
              </w:rPr>
              <w:t>Basic</w:t>
            </w:r>
          </w:p>
        </w:tc>
        <w:tc>
          <w:tcPr>
            <w:tcW w:w="700" w:type="dxa"/>
            <w:vAlign w:val="bottom"/>
            <w:gridSpan w:val="2"/>
          </w:tcPr>
          <w:p>
            <w:pPr>
              <w:jc w:val="right"/>
              <w:ind w:right="132"/>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(28.42)</w:t>
            </w:r>
          </w:p>
        </w:tc>
        <w:tc>
          <w:tcPr>
            <w:tcW w:w="440" w:type="dxa"/>
            <w:vAlign w:val="bottom"/>
            <w:gridSpan w:val="2"/>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(13.08)</w:t>
            </w:r>
          </w:p>
        </w:tc>
      </w:tr>
      <w:tr>
        <w:trPr>
          <w:trHeight w:val="163"/>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w:t>
            </w:r>
          </w:p>
        </w:tc>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(13.08)</w:t>
            </w:r>
          </w:p>
        </w:tc>
      </w:tr>
    </w:tbl>
    <w:p>
      <w:pPr>
        <w:spacing w:after="0" w:line="145"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The following table sets forth the potential common shares as of the end of each period presented that are not included in the calculation of diluted net loss per share because to do so would be anti-dilutive:</w:t>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21"/>
        </w:trPr>
        <w:tc>
          <w:tcPr>
            <w:tcW w:w="6100" w:type="dxa"/>
            <w:vAlign w:val="bottom"/>
          </w:tcPr>
          <w:p>
            <w:pPr>
              <w:spacing w:after="0"/>
              <w:rPr>
                <w:sz w:val="10"/>
                <w:szCs w:val="10"/>
                <w:color w:val="auto"/>
              </w:rPr>
            </w:pPr>
          </w:p>
        </w:tc>
        <w:tc>
          <w:tcPr>
            <w:tcW w:w="156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w w:val="90"/>
              </w:rPr>
              <w:t>As of December 31,</w:t>
            </w:r>
          </w:p>
        </w:tc>
        <w:tc>
          <w:tcPr>
            <w:tcW w:w="720" w:type="dxa"/>
            <w:vAlign w:val="bottom"/>
            <w:tcBorders>
              <w:bottom w:val="single" w:sz="8" w:color="auto"/>
            </w:tcBorders>
          </w:tcPr>
          <w:p>
            <w:pPr>
              <w:spacing w:after="0"/>
              <w:rPr>
                <w:sz w:val="10"/>
                <w:szCs w:val="10"/>
                <w:color w:val="auto"/>
              </w:rPr>
            </w:pPr>
          </w:p>
        </w:tc>
      </w:tr>
      <w:tr>
        <w:trPr>
          <w:trHeight w:val="95"/>
        </w:trPr>
        <w:tc>
          <w:tcPr>
            <w:tcW w:w="6100" w:type="dxa"/>
            <w:vAlign w:val="bottom"/>
            <w:tcBorders>
              <w:bottom w:val="single" w:sz="8" w:color="CCEEFF"/>
            </w:tcBorders>
          </w:tcPr>
          <w:p>
            <w:pPr>
              <w:spacing w:after="0"/>
              <w:rPr>
                <w:sz w:val="8"/>
                <w:szCs w:val="8"/>
                <w:color w:val="auto"/>
              </w:rPr>
            </w:pPr>
          </w:p>
        </w:tc>
        <w:tc>
          <w:tcPr>
            <w:tcW w:w="1120" w:type="dxa"/>
            <w:vAlign w:val="bottom"/>
            <w:tcBorders>
              <w:bottom w:val="single" w:sz="8" w:color="auto"/>
            </w:tcBorders>
          </w:tcPr>
          <w:p>
            <w:pPr>
              <w:jc w:val="right"/>
              <w:ind w:right="400"/>
              <w:spacing w:after="0" w:line="95"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59"/>
              <w:spacing w:after="0" w:line="95" w:lineRule="exact"/>
              <w:rPr>
                <w:sz w:val="20"/>
                <w:szCs w:val="20"/>
                <w:color w:val="auto"/>
              </w:rPr>
            </w:pPr>
            <w:r>
              <w:rPr>
                <w:rFonts w:ascii="Arial" w:cs="Arial" w:eastAsia="Arial" w:hAnsi="Arial"/>
                <w:sz w:val="10"/>
                <w:szCs w:val="10"/>
                <w:b w:val="1"/>
                <w:bCs w:val="1"/>
                <w:color w:val="auto"/>
              </w:rPr>
              <w:t>2019</w:t>
            </w:r>
          </w:p>
        </w:tc>
      </w:tr>
      <w:tr>
        <w:trPr>
          <w:trHeight w:val="143"/>
        </w:trPr>
        <w:tc>
          <w:tcPr>
            <w:tcW w:w="61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Convertible preferred shares outstanding</w:t>
            </w:r>
          </w:p>
        </w:tc>
        <w:tc>
          <w:tcPr>
            <w:tcW w:w="1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957,159,704</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1"/>
              </w:rPr>
              <w:t>502,582,535</w:t>
            </w:r>
          </w:p>
        </w:tc>
      </w:tr>
      <w:tr>
        <w:trPr>
          <w:trHeight w:val="154"/>
        </w:trPr>
        <w:tc>
          <w:tcPr>
            <w:tcW w:w="6100" w:type="dxa"/>
            <w:vAlign w:val="bottom"/>
          </w:tcPr>
          <w:p>
            <w:pPr>
              <w:spacing w:after="0"/>
              <w:rPr>
                <w:sz w:val="20"/>
                <w:szCs w:val="20"/>
                <w:color w:val="auto"/>
              </w:rPr>
            </w:pPr>
            <w:r>
              <w:rPr>
                <w:rFonts w:ascii="Arial" w:cs="Arial" w:eastAsia="Arial" w:hAnsi="Arial"/>
                <w:sz w:val="13"/>
                <w:szCs w:val="13"/>
                <w:color w:val="auto"/>
              </w:rPr>
              <w:t>Share options outstanding</w:t>
            </w:r>
          </w:p>
        </w:tc>
        <w:tc>
          <w:tcPr>
            <w:tcW w:w="1120" w:type="dxa"/>
            <w:vAlign w:val="bottom"/>
          </w:tcPr>
          <w:p>
            <w:pPr>
              <w:jc w:val="right"/>
              <w:spacing w:after="0"/>
              <w:rPr>
                <w:sz w:val="20"/>
                <w:szCs w:val="20"/>
                <w:color w:val="auto"/>
              </w:rPr>
            </w:pPr>
            <w:r>
              <w:rPr>
                <w:rFonts w:ascii="Arial" w:cs="Arial" w:eastAsia="Arial" w:hAnsi="Arial"/>
                <w:sz w:val="13"/>
                <w:szCs w:val="13"/>
                <w:color w:val="auto"/>
              </w:rPr>
              <w:t>70,675,318</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69,305,845</w:t>
            </w:r>
          </w:p>
        </w:tc>
      </w:tr>
      <w:tr>
        <w:trPr>
          <w:trHeight w:val="154"/>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Convertible preferred share warrant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1,546,799</w:t>
            </w:r>
          </w:p>
        </w:tc>
        <w:tc>
          <w:tcPr>
            <w:tcW w:w="14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1,546,799</w:t>
            </w:r>
          </w:p>
        </w:tc>
      </w:tr>
      <w:tr>
        <w:trPr>
          <w:trHeight w:val="152"/>
        </w:trPr>
        <w:tc>
          <w:tcPr>
            <w:tcW w:w="6100" w:type="dxa"/>
            <w:vAlign w:val="bottom"/>
          </w:tcPr>
          <w:p>
            <w:pPr>
              <w:spacing w:after="0" w:line="144" w:lineRule="exact"/>
              <w:rPr>
                <w:sz w:val="20"/>
                <w:szCs w:val="20"/>
                <w:color w:val="auto"/>
              </w:rPr>
            </w:pPr>
            <w:r>
              <w:rPr>
                <w:rFonts w:ascii="Arial" w:cs="Arial" w:eastAsia="Arial" w:hAnsi="Arial"/>
                <w:sz w:val="13"/>
                <w:szCs w:val="13"/>
                <w:color w:val="auto"/>
              </w:rPr>
              <w:t>Total potential convertible securities to common shares</w:t>
            </w:r>
          </w:p>
        </w:tc>
        <w:tc>
          <w:tcPr>
            <w:tcW w:w="11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1,029,381,821</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1"/>
              </w:rPr>
              <w:t>573,435,179</w:t>
            </w:r>
          </w:p>
        </w:tc>
      </w:tr>
    </w:tbl>
    <w:p>
      <w:pPr>
        <w:spacing w:after="0" w:line="16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13 — EMPLOYEE BENEFIT PLAN</w:t>
      </w:r>
    </w:p>
    <w:p>
      <w:pPr>
        <w:spacing w:after="0" w:line="162" w:lineRule="exact"/>
        <w:rPr>
          <w:sz w:val="20"/>
          <w:szCs w:val="20"/>
          <w:color w:val="auto"/>
        </w:rPr>
      </w:pPr>
    </w:p>
    <w:p>
      <w:pPr>
        <w:ind w:left="20" w:right="59" w:firstLine="231"/>
        <w:spacing w:after="0" w:line="288" w:lineRule="auto"/>
        <w:rPr>
          <w:sz w:val="20"/>
          <w:szCs w:val="20"/>
          <w:color w:val="auto"/>
        </w:rPr>
      </w:pPr>
      <w:r>
        <w:rPr>
          <w:rFonts w:ascii="Arial" w:cs="Arial" w:eastAsia="Arial" w:hAnsi="Arial"/>
          <w:sz w:val="12"/>
          <w:szCs w:val="12"/>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in 2020 and 2019.</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14 — SEGMENT REPORTING</w:t>
      </w:r>
    </w:p>
    <w:p>
      <w:pPr>
        <w:spacing w:after="0" w:line="162" w:lineRule="exact"/>
        <w:rPr>
          <w:sz w:val="20"/>
          <w:szCs w:val="20"/>
          <w:color w:val="auto"/>
        </w:rPr>
      </w:pPr>
    </w:p>
    <w:p>
      <w:pPr>
        <w:ind w:left="20" w:right="579" w:firstLine="231"/>
        <w:spacing w:after="0" w:line="309" w:lineRule="auto"/>
        <w:rPr>
          <w:sz w:val="20"/>
          <w:szCs w:val="20"/>
          <w:color w:val="auto"/>
        </w:rPr>
      </w:pPr>
      <w:r>
        <w:rPr>
          <w:rFonts w:ascii="Arial" w:cs="Arial" w:eastAsia="Arial" w:hAnsi="Arial"/>
          <w:sz w:val="12"/>
          <w:szCs w:val="12"/>
          <w:color w:val="auto"/>
        </w:rPr>
        <w:t>The Company has determined that it operates in one operating segment and one reportable segment, as the CODM reviews financial information presented on a consolidated basis for purposes of making operating decisions, allocating resources, and evaluating financial performance.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NOTE 15 — SUBSEQUENT EVENTS</w:t>
      </w:r>
    </w:p>
    <w:p>
      <w:pPr>
        <w:spacing w:after="0" w:line="162" w:lineRule="exact"/>
        <w:rPr>
          <w:sz w:val="20"/>
          <w:szCs w:val="20"/>
          <w:color w:val="auto"/>
        </w:rPr>
      </w:pPr>
    </w:p>
    <w:p>
      <w:pPr>
        <w:ind w:left="20" w:right="139" w:firstLine="231"/>
        <w:spacing w:after="0" w:line="309" w:lineRule="auto"/>
        <w:rPr>
          <w:sz w:val="20"/>
          <w:szCs w:val="20"/>
          <w:color w:val="auto"/>
        </w:rPr>
      </w:pPr>
      <w:r>
        <w:rPr>
          <w:rFonts w:ascii="Arial" w:cs="Arial" w:eastAsia="Arial" w:hAnsi="Arial"/>
          <w:sz w:val="12"/>
          <w:szCs w:val="12"/>
          <w:color w:val="auto"/>
        </w:rPr>
        <w:t>In connection with the preparation of the financial statements for the year ended December 31, 2020, the Company has evaluated subsequent events, for both conditions existing and not existing at December 31, 2020, and concluded there were no subsequent events to recognize in the financial statements.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1" w:name="page62"/>
    <w:bookmarkEnd w:id="61"/>
    <w:p>
      <w:pPr>
        <w:ind w:left="20" w:right="59" w:firstLine="231"/>
        <w:spacing w:after="0" w:line="272" w:lineRule="auto"/>
        <w:rPr>
          <w:sz w:val="20"/>
          <w:szCs w:val="20"/>
          <w:color w:val="auto"/>
        </w:rPr>
      </w:pPr>
      <w:r>
        <w:rPr>
          <w:rFonts w:ascii="Arial" w:cs="Arial" w:eastAsia="Arial" w:hAnsi="Arial"/>
          <w:sz w:val="12"/>
          <w:szCs w:val="12"/>
          <w:color w:val="auto"/>
        </w:rPr>
        <w:t>In January 2021, the Company’s board of directors approved the 2021 Share Incentive Plan (the “2021 Plan”). The 2021 Plan will replace the 2009 Plan and 2014 Plan, and 10,526,235 shares reserved for future issuance under 2009 Plan and 2014 Plan will be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Share Units (RSUs), share appreciation rights, performance based awards and cash based awards to the Company’s employees, directors, and consultants and its parent and subsidiary corporations’ employees and consultants. The 2021 Plan became effective in January 2021. 84,809,827 shares were authorized to issue under the 2021 Plan.</w:t>
      </w:r>
    </w:p>
    <w:p>
      <w:pPr>
        <w:spacing w:after="0" w:line="130" w:lineRule="exact"/>
        <w:rPr>
          <w:sz w:val="20"/>
          <w:szCs w:val="20"/>
          <w:color w:val="auto"/>
        </w:rPr>
      </w:pPr>
    </w:p>
    <w:p>
      <w:pPr>
        <w:ind w:left="20" w:right="59" w:firstLine="231"/>
        <w:spacing w:after="0" w:line="257" w:lineRule="auto"/>
        <w:rPr>
          <w:sz w:val="20"/>
          <w:szCs w:val="20"/>
          <w:color w:val="auto"/>
        </w:rPr>
      </w:pPr>
      <w:r>
        <w:rPr>
          <w:rFonts w:ascii="Arial" w:cs="Arial" w:eastAsia="Arial" w:hAnsi="Arial"/>
          <w:sz w:val="13"/>
          <w:szCs w:val="13"/>
          <w:color w:val="auto"/>
        </w:rPr>
        <w:t>In January through July 2021, the Company’s board of directors granted a total of 8,402,925 share options with a weighted average exercise price of $2.85. The aggregate grant date fair value of the share options is estimated to be $24.0 million. The share options will vest 25% after the first year of service and ratably each month over the remaining three years contingent on continued employment with the Company on each vesting date.</w:t>
      </w:r>
    </w:p>
    <w:p>
      <w:pPr>
        <w:spacing w:after="0" w:line="135" w:lineRule="exact"/>
        <w:rPr>
          <w:sz w:val="20"/>
          <w:szCs w:val="20"/>
          <w:color w:val="auto"/>
        </w:rPr>
      </w:pPr>
    </w:p>
    <w:p>
      <w:pPr>
        <w:ind w:left="20" w:right="59" w:firstLine="231"/>
        <w:spacing w:after="0" w:line="253" w:lineRule="auto"/>
        <w:rPr>
          <w:sz w:val="20"/>
          <w:szCs w:val="20"/>
          <w:color w:val="auto"/>
        </w:rPr>
      </w:pPr>
      <w:r>
        <w:rPr>
          <w:rFonts w:ascii="Arial" w:cs="Arial" w:eastAsia="Arial" w:hAnsi="Arial"/>
          <w:sz w:val="13"/>
          <w:szCs w:val="13"/>
          <w:color w:val="auto"/>
        </w:rPr>
        <w:t>In February 2021, the Company and Ayar entered into Amendment No. 1 to the original Series E Preferred Share Purchase Agreement (“Amendment No. 1”) entered into September 2020 (refer to Note 7). Under the Amendment No. 1, Ayar and the Company agreed to enter into the third closing of additional 133,818,821 Series E convertible preferred shares at $2.99 per share, aggregating to $400.0 million. Upon the signing of the Amendment No. 1, the Company received the issuance proceeds of $400.0 million from Ayar in February 2021.</w:t>
      </w:r>
    </w:p>
    <w:p>
      <w:pPr>
        <w:spacing w:after="0" w:line="139" w:lineRule="exact"/>
        <w:rPr>
          <w:sz w:val="20"/>
          <w:szCs w:val="20"/>
          <w:color w:val="auto"/>
        </w:rPr>
      </w:pPr>
    </w:p>
    <w:p>
      <w:pPr>
        <w:ind w:left="20" w:right="79" w:firstLine="231"/>
        <w:spacing w:after="0" w:line="267" w:lineRule="auto"/>
        <w:rPr>
          <w:sz w:val="20"/>
          <w:szCs w:val="20"/>
          <w:color w:val="auto"/>
        </w:rPr>
      </w:pPr>
      <w:r>
        <w:rPr>
          <w:rFonts w:ascii="Arial" w:cs="Arial" w:eastAsia="Arial" w:hAnsi="Arial"/>
          <w:sz w:val="13"/>
          <w:szCs w:val="13"/>
          <w:color w:val="auto"/>
        </w:rPr>
        <w:t>Amendment No. 1 also allowed the Company to provide an opportunity to all current convertible preferred shareholders other than Ayar (“Eligible Holders”) to purchase up to 23,737,221 Series E convertible preferred shares on a pro rata basis at $2.99 per share, aggregating to $71.0 million.</w:t>
      </w:r>
    </w:p>
    <w:p>
      <w:pPr>
        <w:spacing w:after="0" w:line="129" w:lineRule="exact"/>
        <w:rPr>
          <w:sz w:val="20"/>
          <w:szCs w:val="20"/>
          <w:color w:val="auto"/>
        </w:rPr>
      </w:pPr>
    </w:p>
    <w:p>
      <w:pPr>
        <w:ind w:left="20" w:right="679" w:firstLine="231"/>
        <w:spacing w:after="0" w:line="267" w:lineRule="auto"/>
        <w:rPr>
          <w:sz w:val="20"/>
          <w:szCs w:val="20"/>
          <w:color w:val="auto"/>
        </w:rPr>
      </w:pPr>
      <w:r>
        <w:rPr>
          <w:rFonts w:ascii="Arial" w:cs="Arial" w:eastAsia="Arial" w:hAnsi="Arial"/>
          <w:sz w:val="13"/>
          <w:szCs w:val="13"/>
          <w:color w:val="auto"/>
        </w:rPr>
        <w:t>Along with the execution of the Amendment No. 1, the Company also increased the authorized number of common shares and convertible preferred shares to 1,316,758,889 and 1,155,909,398 shares, respectively.</w:t>
      </w:r>
    </w:p>
    <w:p>
      <w:pPr>
        <w:spacing w:after="0" w:line="129" w:lineRule="exact"/>
        <w:rPr>
          <w:sz w:val="20"/>
          <w:szCs w:val="20"/>
          <w:color w:val="auto"/>
        </w:rPr>
      </w:pPr>
    </w:p>
    <w:p>
      <w:pPr>
        <w:ind w:left="20" w:right="339" w:firstLine="231"/>
        <w:spacing w:after="0" w:line="267" w:lineRule="auto"/>
        <w:rPr>
          <w:sz w:val="20"/>
          <w:szCs w:val="20"/>
          <w:color w:val="auto"/>
        </w:rPr>
      </w:pPr>
      <w:r>
        <w:rPr>
          <w:rFonts w:ascii="Arial" w:cs="Arial" w:eastAsia="Arial" w:hAnsi="Arial"/>
          <w:sz w:val="13"/>
          <w:szCs w:val="13"/>
          <w:color w:val="auto"/>
        </w:rPr>
        <w:t>On February 22, 2021, Churchill announced that it had entered into a definitive agreement for a merger that would result in the Company becoming a wholly owned subsidiary of Churchill.</w:t>
      </w:r>
    </w:p>
    <w:p>
      <w:pPr>
        <w:spacing w:after="0" w:line="129" w:lineRule="exact"/>
        <w:rPr>
          <w:sz w:val="20"/>
          <w:szCs w:val="20"/>
          <w:color w:val="auto"/>
        </w:rPr>
      </w:pPr>
    </w:p>
    <w:p>
      <w:pPr>
        <w:ind w:left="20" w:right="99" w:firstLine="231"/>
        <w:spacing w:after="0" w:line="251" w:lineRule="auto"/>
        <w:rPr>
          <w:sz w:val="20"/>
          <w:szCs w:val="20"/>
          <w:color w:val="auto"/>
        </w:rPr>
      </w:pPr>
      <w:r>
        <w:rPr>
          <w:rFonts w:ascii="Arial" w:cs="Arial" w:eastAsia="Arial" w:hAnsi="Arial"/>
          <w:sz w:val="13"/>
          <w:szCs w:val="13"/>
          <w:color w:val="auto"/>
        </w:rPr>
        <w:t>In February through July 2021, the Company’s board of directors granted a total of 13,665,253 RSUs under the 2021 Plan in connection with the merger with CCIV. The aggregate grant date fair value of the RSUs is estimated to be $287.5 million based on the estimated fair value of our underlying common shares. The RSUs are subject to a performance condition and a service condition. The performance condition was satisfied upon the closing of the merger with CCIV. The service condition for 25% of the RSUs will be satisfied 375 days after the closing of the merger with CCIV and will be satisfied for the remaining RSUs in equal quarterly installments thereafter, subject to continuous employment through each vesting date.</w:t>
      </w:r>
    </w:p>
    <w:p>
      <w:pPr>
        <w:spacing w:after="0" w:line="141" w:lineRule="exact"/>
        <w:rPr>
          <w:sz w:val="20"/>
          <w:szCs w:val="20"/>
          <w:color w:val="auto"/>
        </w:rPr>
      </w:pPr>
    </w:p>
    <w:p>
      <w:pPr>
        <w:ind w:left="20" w:right="39" w:firstLine="231"/>
        <w:spacing w:after="0" w:line="303" w:lineRule="auto"/>
        <w:rPr>
          <w:sz w:val="20"/>
          <w:szCs w:val="20"/>
          <w:color w:val="auto"/>
        </w:rPr>
      </w:pPr>
      <w:r>
        <w:rPr>
          <w:rFonts w:ascii="Arial" w:cs="Arial" w:eastAsia="Arial" w:hAnsi="Arial"/>
          <w:sz w:val="11"/>
          <w:szCs w:val="11"/>
          <w:color w:val="auto"/>
        </w:rPr>
        <w:t>In March 2021, the Company’s board of directors granted a total of 29,859,159 RSUs to its CEO under the 2021 Plan in connection with the merger with CCIV. The CEO RSU Award will be comprised of 13,834,748 RSUs subject to performance and service conditions (the “CEO Time-Based RSUs”) and 16,024,411 RSUs subject to performance and market conditions (the “CEO Performance RSUs”). The aggregate grant date fair value of the CEO RSU Award is estimated to be $556.1 million based on the estimated fair value of our underlying common shares using a Monte Carlo simulation method for awards with market conditions. The performance condition of the CEO Time-Based RSUs and CEO Performance RSUs will be satisfied upon the closing of the merger with CCIV. The service condition for the CEO Time-Based RSUs will be satisfied in 16 equal quarterly installments beginning after the closing of the merger with CCIV, subject to continuous employment through each vesting date. The market conditions for the CEO Performance RSUs will be satisfied based upon the achievement of certain market capitalization goals of the combined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2" w:name="page63"/>
    <w:bookmarkEnd w:id="62"/>
    <w:p>
      <w:pPr>
        <w:ind w:left="20"/>
        <w:spacing w:after="0"/>
        <w:rPr>
          <w:sz w:val="20"/>
          <w:szCs w:val="20"/>
          <w:color w:val="auto"/>
        </w:rPr>
      </w:pPr>
      <w:r>
        <w:rPr>
          <w:rFonts w:ascii="Arial" w:cs="Arial" w:eastAsia="Arial" w:hAnsi="Arial"/>
          <w:sz w:val="13"/>
          <w:szCs w:val="13"/>
          <w:color w:val="auto"/>
        </w:rPr>
        <w:t>during the five-year period beginning after the closing of the merger with CCIV, subject to continuous employment through each vesting date.</w:t>
      </w:r>
    </w:p>
    <w:p>
      <w:pPr>
        <w:spacing w:after="0" w:line="158" w:lineRule="exact"/>
        <w:rPr>
          <w:sz w:val="20"/>
          <w:szCs w:val="20"/>
          <w:color w:val="auto"/>
        </w:rPr>
      </w:pPr>
    </w:p>
    <w:p>
      <w:pPr>
        <w:ind w:left="20" w:right="59" w:firstLine="231"/>
        <w:spacing w:after="0" w:line="277" w:lineRule="auto"/>
        <w:rPr>
          <w:sz w:val="20"/>
          <w:szCs w:val="20"/>
          <w:color w:val="auto"/>
        </w:rPr>
      </w:pPr>
      <w:r>
        <w:rPr>
          <w:rFonts w:ascii="Arial" w:cs="Arial" w:eastAsia="Arial" w:hAnsi="Arial"/>
          <w:sz w:val="12"/>
          <w:szCs w:val="12"/>
          <w:color w:val="auto"/>
        </w:rPr>
        <w:t>In April 2021, the Company issued 66,909,408 Series E Preferred Shares at a purchase price of approximately $2.99 per share for an aggregate purchase price of $200.0 million. The Company issued offer notices to certain of the Company’s management and members of the board of directors in March 2021 and April 2021 to provide the right to participate in the fourth closing. The offer represented a fully vested, equity classified share option award and the Company recognized $123.6 million in share-based compensation. The Series E convertible preferred shares issued from the fourth closing included 3,034,194 shares to the Company’s management and 1,658,705 shares to members of the board of directors. The total number of shares issued include 535,275 shares issued to the CEO.</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May 2021, the Company completed its evaluation related to the exercise of the convertible preferred share warrant liability that was settled in its entirety 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1"/>
          <w:szCs w:val="11"/>
          <w:color w:val="auto"/>
        </w:rPr>
        <w:t>February 2021. Upon final settlement, the Company converted the warrants into $12.9 million of Series D convertible preferred shares and recorded a $7.0 million loss related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fair value remeasurement of the warrants in the consolidated statements of operations.</w:t>
      </w:r>
    </w:p>
    <w:p>
      <w:pPr>
        <w:spacing w:after="0" w:line="150" w:lineRule="exact"/>
        <w:rPr>
          <w:sz w:val="20"/>
          <w:szCs w:val="20"/>
          <w:color w:val="auto"/>
        </w:rPr>
      </w:pPr>
    </w:p>
    <w:p>
      <w:pPr>
        <w:ind w:left="20" w:right="99" w:firstLine="231"/>
        <w:spacing w:after="0" w:line="309" w:lineRule="auto"/>
        <w:rPr>
          <w:sz w:val="20"/>
          <w:szCs w:val="20"/>
          <w:color w:val="auto"/>
        </w:rPr>
      </w:pPr>
      <w:r>
        <w:rPr>
          <w:rFonts w:ascii="Arial" w:cs="Arial" w:eastAsia="Arial" w:hAnsi="Arial"/>
          <w:sz w:val="12"/>
          <w:szCs w:val="12"/>
          <w:color w:val="auto"/>
        </w:rPr>
        <w:t>From March 2021 through May 2021, the Company entered into new lease agreements for retail locations in various locations. The leases commenced in April 2021 and will expire on or before March 2032. Under the lease agreements, the Company will pay base rent from $0.2 million to $1.2 million annually.</w:t>
      </w:r>
    </w:p>
    <w:p>
      <w:pPr>
        <w:spacing w:after="0" w:line="106" w:lineRule="exact"/>
        <w:rPr>
          <w:sz w:val="20"/>
          <w:szCs w:val="20"/>
          <w:color w:val="auto"/>
        </w:rPr>
      </w:pPr>
    </w:p>
    <w:p>
      <w:pPr>
        <w:ind w:left="20" w:right="39" w:firstLine="231"/>
        <w:spacing w:after="0" w:line="274" w:lineRule="auto"/>
        <w:rPr>
          <w:sz w:val="20"/>
          <w:szCs w:val="20"/>
          <w:color w:val="auto"/>
        </w:rPr>
      </w:pPr>
      <w:r>
        <w:rPr>
          <w:rFonts w:ascii="Arial" w:cs="Arial" w:eastAsia="Arial" w:hAnsi="Arial"/>
          <w:sz w:val="12"/>
          <w:szCs w:val="12"/>
          <w:color w:val="auto"/>
        </w:rPr>
        <w:t>On July 23, 2021, the Company consummated the merger with Churchill (the “Merger”) and Churchill was immediately renamed to Lucid Group, Inc. (“Lucid Group”) (the “Closing”). Immediately prior to the Closing, all of the Company’s 437,182,072 issued and outstanding convertible preferred shares were cancelled and converted into 437,182,072 common shares, resulting in 451,295,965 common shares then issued and outstanding. Subsequently, upon the Closing, all 451,295,965 of the Company’s common shares issued and outstanding and all 42,182,931 of the Company’s equity awards granted and outstanding were surrendered and exchanged for 1,193,226,511 shares of Lucid Group common stock and 111,531,080 Lucid Group equity awards covering shares of Lucid Group common stock, respectively, after giving effect to the exchange ratio of 2.644. The Closing of the Merger satisfied the performance condition for all outstanding RSUs, which were each granted during fiscal year 2021, though all RSUs remain subject to future service and/or market conditions.</w:t>
      </w:r>
    </w:p>
    <w:p>
      <w:pPr>
        <w:spacing w:after="0" w:line="128" w:lineRule="exact"/>
        <w:rPr>
          <w:sz w:val="20"/>
          <w:szCs w:val="20"/>
          <w:color w:val="auto"/>
        </w:rPr>
      </w:pPr>
    </w:p>
    <w:p>
      <w:pPr>
        <w:ind w:left="20" w:right="399" w:firstLine="231"/>
        <w:spacing w:after="0" w:line="253" w:lineRule="auto"/>
        <w:rPr>
          <w:sz w:val="20"/>
          <w:szCs w:val="20"/>
          <w:color w:val="auto"/>
        </w:rPr>
      </w:pPr>
      <w:r>
        <w:rPr>
          <w:rFonts w:ascii="Arial" w:cs="Arial" w:eastAsia="Arial" w:hAnsi="Arial"/>
          <w:sz w:val="13"/>
          <w:szCs w:val="13"/>
          <w:color w:val="auto"/>
        </w:rPr>
        <w:t>The Merger has been accounted for as a reverse recapitalization. Accordingly, upon the Closing, the Company raised total net cash proceeds of $4,400.3 million, in exchange for the effective issuance of the 425,395,023 Lucid Group common stock, the 41,400,000 publicly traded Lucid Group, common stock warrants (the “public warrants”), and the 44,350,000 privately placed Lucid Group common stock warrants (the “private warrants”), all of which were previously issued by Churchill and outstanding immediately prior to the Closing, accompanied by a recapitalization.</w:t>
      </w:r>
    </w:p>
    <w:p>
      <w:pPr>
        <w:spacing w:after="0" w:line="139" w:lineRule="exact"/>
        <w:rPr>
          <w:sz w:val="20"/>
          <w:szCs w:val="20"/>
          <w:color w:val="auto"/>
        </w:rPr>
      </w:pPr>
    </w:p>
    <w:p>
      <w:pPr>
        <w:ind w:left="20" w:right="59" w:firstLine="231"/>
        <w:spacing w:after="0" w:line="272" w:lineRule="auto"/>
        <w:rPr>
          <w:sz w:val="20"/>
          <w:szCs w:val="20"/>
          <w:color w:val="auto"/>
        </w:rPr>
      </w:pPr>
      <w:r>
        <w:rPr>
          <w:rFonts w:ascii="Arial" w:cs="Arial" w:eastAsia="Arial" w:hAnsi="Arial"/>
          <w:sz w:val="12"/>
          <w:szCs w:val="12"/>
          <w:color w:val="auto"/>
        </w:rPr>
        <w:t>In connection with the Closing, 17,250,000 shares of Lucid Group common stock and 14,783,333 Lucid Group private warrants, which were beneficially held by the former sponsor of Churchill (the “Churchill Sponsor”), were subjected to transfer restrictions and contingent forfeiture provisions until Lucid Group’s stock price exceeds certain predetermined levels in the post-Merger period (the “Sponsor Earnback Shares” and the “Sponsor Earnback Warrants”, respectively). Any such shares and warrants not released from these transfer restrictions during the earnback period, which expires on the fifth anniversary of the Closing, will be forfeited back to Lucid Group, Inc. for no consideration. The 17,250,000 Sponsor Earnback Shares are comprised of three separate tranches of 5,750,000 shares per tranche. The 14,783,333 Sponsor Earnback Warrants are comprised of three separate tranches of (i) 4,927,778 warrants, (ii) 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spacing w:after="0" w:line="128" w:lineRule="exact"/>
        <w:rPr>
          <w:sz w:val="20"/>
          <w:szCs w:val="20"/>
          <w:color w:val="auto"/>
        </w:rPr>
      </w:pPr>
    </w:p>
    <w:p>
      <w:pPr>
        <w:ind w:left="20" w:right="139" w:firstLine="231"/>
        <w:spacing w:after="0" w:line="267" w:lineRule="auto"/>
        <w:rPr>
          <w:sz w:val="20"/>
          <w:szCs w:val="20"/>
          <w:color w:val="auto"/>
        </w:rPr>
      </w:pPr>
      <w:r>
        <w:rPr>
          <w:rFonts w:ascii="Arial" w:cs="Arial" w:eastAsia="Arial" w:hAnsi="Arial"/>
          <w:sz w:val="13"/>
          <w:szCs w:val="13"/>
          <w:color w:val="auto"/>
        </w:rPr>
        <w:t>In July 2021, Lucid Group’s board of directors adopted and the stockholders approved the 2021 Incentive Plan (the “2021 Incentive Plan”), which includes an employee stock purchase plan as an addendum (the “ESPP Addendum”). The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3" w:name="page64"/>
    <w:bookmarkEnd w:id="63"/>
    <w:p>
      <w:pPr>
        <w:jc w:val="both"/>
        <w:ind w:left="20" w:right="399"/>
        <w:spacing w:after="0" w:line="257" w:lineRule="auto"/>
        <w:rPr>
          <w:sz w:val="20"/>
          <w:szCs w:val="20"/>
          <w:color w:val="auto"/>
        </w:rPr>
      </w:pPr>
      <w:r>
        <w:rPr>
          <w:rFonts w:ascii="Arial" w:cs="Arial" w:eastAsia="Arial" w:hAnsi="Arial"/>
          <w:sz w:val="13"/>
          <w:szCs w:val="13"/>
          <w:color w:val="auto"/>
        </w:rPr>
        <w:t>2021 Incentive Plan replaced the Company’s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35" w:lineRule="exact"/>
        <w:rPr>
          <w:sz w:val="20"/>
          <w:szCs w:val="20"/>
          <w:color w:val="auto"/>
        </w:rPr>
      </w:pPr>
    </w:p>
    <w:p>
      <w:pPr>
        <w:jc w:val="both"/>
        <w:ind w:left="20" w:right="119" w:firstLine="231"/>
        <w:spacing w:after="0" w:line="288" w:lineRule="auto"/>
        <w:rPr>
          <w:sz w:val="20"/>
          <w:szCs w:val="20"/>
          <w:color w:val="auto"/>
        </w:rPr>
      </w:pPr>
      <w:r>
        <w:rPr>
          <w:rFonts w:ascii="Arial" w:cs="Arial" w:eastAsia="Arial" w:hAnsi="Arial"/>
          <w:sz w:val="12"/>
          <w:szCs w:val="12"/>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number of shares of common stock that were reserved for issuance upon formation of the 2021 Incentive Plan, including the ESPP Addendum, was 61,211,436.</w:t>
      </w:r>
    </w:p>
    <w:p>
      <w:pPr>
        <w:spacing w:after="0" w:line="181" w:lineRule="exact"/>
        <w:rPr>
          <w:sz w:val="20"/>
          <w:szCs w:val="20"/>
          <w:color w:val="auto"/>
        </w:rPr>
      </w:pPr>
    </w:p>
    <w:p>
      <w:pPr>
        <w:ind w:left="20" w:right="39" w:firstLine="231"/>
        <w:spacing w:after="0" w:line="251" w:lineRule="auto"/>
        <w:rPr>
          <w:sz w:val="20"/>
          <w:szCs w:val="20"/>
          <w:color w:val="auto"/>
        </w:rPr>
      </w:pPr>
      <w:r>
        <w:rPr>
          <w:rFonts w:ascii="Arial" w:cs="Arial" w:eastAsia="Arial" w:hAnsi="Arial"/>
          <w:sz w:val="13"/>
          <w:szCs w:val="13"/>
          <w:color w:val="auto"/>
        </w:rPr>
        <w:t>On September 8, 2021, Lucid Group announced that it would redeem (the “Redemption”) all of its public warrants that remained outstanding on October 8, 2021 (the “Initial Redemption Date”), for a redemption price of $0.01 per public warrant (the “Redemption Price”). In connection with the Redemption, Lucid Group elected to require that any exercises of public warrants be made on a “cashless” basis, entitling each warrant holder to receive 0.4458 of a share of the Company’s common stock for each public warrant surrendered for exercise. Pursuant to the terms of the public warrants, any public warrants that were not exercised prior to the Initial Redemption Date were reduced to the right to receive the Redemption Price.</w:t>
      </w:r>
    </w:p>
    <w:p>
      <w:pPr>
        <w:spacing w:after="0" w:line="141" w:lineRule="exact"/>
        <w:rPr>
          <w:sz w:val="20"/>
          <w:szCs w:val="20"/>
          <w:color w:val="auto"/>
        </w:rPr>
      </w:pPr>
    </w:p>
    <w:p>
      <w:pPr>
        <w:ind w:left="20" w:right="179" w:firstLine="231"/>
        <w:spacing w:after="0" w:line="253" w:lineRule="auto"/>
        <w:rPr>
          <w:sz w:val="20"/>
          <w:szCs w:val="20"/>
          <w:color w:val="auto"/>
        </w:rPr>
      </w:pPr>
      <w:r>
        <w:rPr>
          <w:rFonts w:ascii="Arial" w:cs="Arial" w:eastAsia="Arial" w:hAnsi="Arial"/>
          <w:sz w:val="13"/>
          <w:szCs w:val="13"/>
          <w:color w:val="auto"/>
        </w:rPr>
        <w:t>On September 29, 2021, the first earnback triggering event related to achieving a volume-weighted average trading sale price greater than or equal to $20.00 for any 40 trading days within any 60 consecutive trading day period was satisfied. As a result, the first tranche of the Sponsor Earnback Shares and Sponsor Earnback Warrants, or 5,750,000 shares of common stock and 4,927,778 private warrants respectively, were vested and no longer subject to the transfer restrictions and contingent forfeiture provisions.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October 13, 2021, the public warrants were delisted from The Nasdaq Stock Market (“Nasdaq”).</w:t>
      </w:r>
    </w:p>
    <w:p>
      <w:pPr>
        <w:spacing w:after="0" w:line="158" w:lineRule="exact"/>
        <w:rPr>
          <w:sz w:val="20"/>
          <w:szCs w:val="20"/>
          <w:color w:val="auto"/>
        </w:rPr>
      </w:pPr>
    </w:p>
    <w:p>
      <w:pPr>
        <w:ind w:left="20" w:right="399" w:firstLine="231"/>
        <w:spacing w:after="0" w:line="325" w:lineRule="auto"/>
        <w:rPr>
          <w:sz w:val="20"/>
          <w:szCs w:val="20"/>
          <w:color w:val="auto"/>
        </w:rPr>
      </w:pPr>
      <w:r>
        <w:rPr>
          <w:rFonts w:ascii="Arial" w:cs="Arial" w:eastAsia="Arial" w:hAnsi="Arial"/>
          <w:sz w:val="11"/>
          <w:szCs w:val="11"/>
          <w:color w:val="auto"/>
        </w:rPr>
        <w:t>On October 14, 2021, Lucid Group extended the redemption date of its public warrants to October 29, 2021. Subsequent to September 30, 2021 and prior to the conclusion of the redemption notice period on October 29, 2021, an aggregate of 8,951,665 public warrants were exercised on a cashless basis. At the conclusion of the redemption notice period on October 29, 2021, the remaining 365,803 public warrants issued and outstanding were redeemed at price of $0.01 per warrant.</w:t>
      </w:r>
    </w:p>
    <w:p>
      <w:pPr>
        <w:spacing w:after="0" w:line="101" w:lineRule="exact"/>
        <w:rPr>
          <w:sz w:val="20"/>
          <w:szCs w:val="20"/>
          <w:color w:val="auto"/>
        </w:rPr>
      </w:pPr>
    </w:p>
    <w:p>
      <w:pPr>
        <w:ind w:left="20" w:right="119" w:firstLine="231"/>
        <w:spacing w:after="0" w:line="250" w:lineRule="auto"/>
        <w:rPr>
          <w:sz w:val="20"/>
          <w:szCs w:val="20"/>
          <w:color w:val="auto"/>
        </w:rPr>
      </w:pPr>
      <w:r>
        <w:rPr>
          <w:rFonts w:ascii="Arial" w:cs="Arial" w:eastAsia="Arial" w:hAnsi="Arial"/>
          <w:sz w:val="13"/>
          <w:szCs w:val="13"/>
          <w:color w:val="auto"/>
        </w:rPr>
        <w:t>In October 2021, Lucid Group repurchased an aggregate of 857,825 shares of its common stock from certain individuals (the “Individual Sellers”) who were directors and employees of Atieva, Inc. prior to the Merger (such transactions, the “Repurchases”). The repurchase price was $24.15 per share, which was equal to the average closing price of the Company’s common stock on the Nasdaq Global Select Market for the three-trading day period ending on and including October 6, 2021, the second trading day prior to the date of the Repurchases. The Repurchases were effected solely to allow the Individual Sellers to satisfy certain tax obligations (including tax withholding obligations of the Company) incurred in connection with such Individual Sellers’ purchase of shares of Series E Preferred Stock from Atieva, Inc. on April 2, 2021. The Company applied the proceeds received from the repurchases to the applicable U.S. tax authorities to satisfy tax obligations. The Company is accounting for the repurchased shares as treasury stock.</w:t>
      </w:r>
    </w:p>
    <w:p>
      <w:pPr>
        <w:spacing w:after="0" w:line="140" w:lineRule="exact"/>
        <w:rPr>
          <w:sz w:val="20"/>
          <w:szCs w:val="20"/>
          <w:color w:val="auto"/>
        </w:rPr>
      </w:pPr>
    </w:p>
    <w:p>
      <w:pPr>
        <w:ind w:left="20" w:right="139" w:firstLine="231"/>
        <w:spacing w:after="0" w:line="253" w:lineRule="auto"/>
        <w:rPr>
          <w:sz w:val="20"/>
          <w:szCs w:val="20"/>
          <w:color w:val="auto"/>
        </w:rPr>
      </w:pPr>
      <w:r>
        <w:rPr>
          <w:rFonts w:ascii="Arial" w:cs="Arial" w:eastAsia="Arial" w:hAnsi="Arial"/>
          <w:sz w:val="13"/>
          <w:szCs w:val="13"/>
          <w:color w:val="auto"/>
        </w:rPr>
        <w:t>The Individual Sellers include Peter Rawlinson, a director of the Company and the Company’s Chief Executive Officer and Chief Technology Officer, from whom the Company repurchased 178,796 shares; Eric Bach, the Company’s Senior Vice President, Product and Chief Engineer, from whom the Company repurchased 195,557 shares; Michael Bell, the Company’s Senior Vice President, Digital, from whom the Company repurchased 33,526 shares; and Tony Posawatz, a director of the Company, from whom the Company repurchased 14,511 shares.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64" w:name="page65"/>
    <w:bookmarkEnd w:id="64"/>
    <w:p>
      <w:pPr>
        <w:ind w:left="20" w:right="259" w:firstLine="231"/>
        <w:spacing w:after="0" w:line="267" w:lineRule="auto"/>
        <w:rPr>
          <w:sz w:val="20"/>
          <w:szCs w:val="20"/>
          <w:color w:val="auto"/>
        </w:rPr>
      </w:pPr>
      <w:r>
        <w:rPr>
          <w:rFonts w:ascii="Arial" w:cs="Arial" w:eastAsia="Arial" w:hAnsi="Arial"/>
          <w:sz w:val="13"/>
          <w:szCs w:val="13"/>
          <w:color w:val="auto"/>
        </w:rPr>
        <w:t>In October 2021, the Company entered into a purchase commitment with a vendor to purchase battery cells over the next 8 years pursuant to which the Company will need to make non-cancellable prepayments in five installments for a total aggregate amount of $148.0 million.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late October 2021, reservation holders of Lucid Air Dream Edition models began receiving their vehicles.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early November 2021, enrollment began in the Lucid Group ESPP 2021 Employee Stock Purchase Plan.</w:t>
      </w:r>
    </w:p>
    <w:p>
      <w:pPr>
        <w:spacing w:after="0" w:line="158" w:lineRule="exact"/>
        <w:rPr>
          <w:sz w:val="20"/>
          <w:szCs w:val="20"/>
          <w:color w:val="auto"/>
        </w:rPr>
      </w:pPr>
    </w:p>
    <w:p>
      <w:pPr>
        <w:ind w:left="20" w:right="119" w:firstLine="231"/>
        <w:spacing w:after="0" w:line="253" w:lineRule="auto"/>
        <w:rPr>
          <w:sz w:val="20"/>
          <w:szCs w:val="20"/>
          <w:color w:val="auto"/>
        </w:rPr>
      </w:pPr>
      <w:r>
        <w:rPr>
          <w:rFonts w:ascii="Arial" w:cs="Arial" w:eastAsia="Arial" w:hAnsi="Arial"/>
          <w:sz w:val="13"/>
          <w:szCs w:val="13"/>
          <w:color w:val="auto"/>
        </w:rPr>
        <w:t>In November 2021, our compensation committee approved the payment of annual cash bonuses for 2021 to certain executive officers in view of the successful achievement of the start of production and start of customer deliveries of the Lucid Air, as well as their respective contributions to the Company’s overall success in 2021, as follows: Mr. Rawlinson will receive $400,000, Mr. Bach will receive $282,000, Ms. House will receive $166,000 Mr. Bell will receive $268,000, and Mr. Smuts will receive $81,000.</w:t>
      </w:r>
    </w:p>
    <w:p>
      <w:pPr>
        <w:spacing w:after="0" w:line="139" w:lineRule="exact"/>
        <w:rPr>
          <w:sz w:val="20"/>
          <w:szCs w:val="20"/>
          <w:color w:val="auto"/>
        </w:rPr>
      </w:pPr>
    </w:p>
    <w:p>
      <w:pPr>
        <w:jc w:val="both"/>
        <w:ind w:left="20" w:right="299" w:firstLine="231"/>
        <w:spacing w:after="0" w:line="257" w:lineRule="auto"/>
        <w:rPr>
          <w:sz w:val="20"/>
          <w:szCs w:val="20"/>
          <w:color w:val="auto"/>
        </w:rPr>
      </w:pPr>
      <w:r>
        <w:rPr>
          <w:rFonts w:ascii="Arial" w:cs="Arial" w:eastAsia="Arial" w:hAnsi="Arial"/>
          <w:sz w:val="13"/>
          <w:szCs w:val="13"/>
          <w:color w:val="auto"/>
        </w:rPr>
        <w:t>On December 3, 2021, Lucid Group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Lucid Group and the Company and certain projections and statements.</w:t>
      </w:r>
    </w:p>
    <w:p>
      <w:pPr>
        <w:spacing w:after="0" w:line="135" w:lineRule="exact"/>
        <w:rPr>
          <w:sz w:val="20"/>
          <w:szCs w:val="20"/>
          <w:color w:val="auto"/>
        </w:rPr>
      </w:pPr>
    </w:p>
    <w:p>
      <w:pPr>
        <w:ind w:left="20" w:right="279" w:firstLine="231"/>
        <w:spacing w:after="0" w:line="257" w:lineRule="auto"/>
        <w:rPr>
          <w:sz w:val="20"/>
          <w:szCs w:val="20"/>
          <w:color w:val="auto"/>
        </w:rPr>
      </w:pPr>
      <w:r>
        <w:rPr>
          <w:rFonts w:ascii="Arial" w:cs="Arial" w:eastAsia="Arial" w:hAnsi="Arial"/>
          <w:sz w:val="13"/>
          <w:szCs w:val="13"/>
          <w:color w:val="auto"/>
        </w:rPr>
        <w:t>On December 5, 2021, the first tranche of the CEO Time-Based RSUs, or 864,670 RSUs, were vested. Upon settlement, Lucid Group issued 397,921 shares of Lucid Group commons stock and elected to withhold 466,749 shares and remit cash of $22.1 million to tax authorities in connection with the estimated tax withholding and remittance obligation.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252730</wp:posOffset>
            </wp:positionV>
            <wp:extent cx="568261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2615" cy="12065"/>
                    </a:xfrm>
                    <a:prstGeom prst="rect">
                      <a:avLst/>
                    </a:prstGeom>
                    <a:noFill/>
                  </pic:spPr>
                </pic:pic>
              </a:graphicData>
            </a:graphic>
          </wp:anchor>
        </w:drawing>
      </w:r>
    </w:p>
    <w:sectPr>
      <w:pgSz w:w="11900" w:h="16838" w:orient="portrait"/>
      <w:cols w:equalWidth="0" w:num="1">
        <w:col w:w="9019"/>
      </w:cols>
      <w:pgMar w:left="1440" w:top="5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2021-12-09T15:14:49Z</dcterms:created>
  <dcterms:modified xsi:type="dcterms:W3CDTF">2021-12-09T15:14:49Z</dcterms:modified>
</cp:coreProperties>
</file>