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Lindenberg Frank</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Lucid Group,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LCID</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7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6"/>
            <w:vMerge w:val="continue"/>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LUCID GROUP, INC.</w:t>
            </w:r>
          </w:p>
        </w:tc>
        <w:tc>
          <w:tcPr>
            <w:tcW w:w="13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06/09/2022</w:t>
            </w: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w w:val="97"/>
              </w:rPr>
              <w:t>7373 GATEWAY BOULEVARD</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7"/>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NEWARK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94560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222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660" w:type="dxa"/>
            <w:vAlign w:val="bottom"/>
            <w:tcBorders>
              <w:top w:val="single" w:sz="8" w:color="2C2C2C"/>
            </w:tcBorders>
            <w:gridSpan w:val="19"/>
          </w:tcPr>
          <w:p>
            <w:pPr>
              <w:ind w:left="5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06/09/2022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9,825</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21,031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("RSUs") will vest in full on the earlier of (i) the one-year anniversary of the date of grant and (ii) the date of the next annual meeting of stockholders held after the date of grant, in each case, subject to the reporting person's continued service on the board of directors through the applicable vesting date.</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Jonathan Butler,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67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6710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Frank</w:t>
      </w:r>
      <w:r>
        <w:rPr>
          <w:sz w:val="20"/>
          <w:szCs w:val="20"/>
          <w:color w:val="auto"/>
        </w:rPr>
        <w:tab/>
      </w:r>
      <w:r>
        <w:rPr>
          <w:rFonts w:ascii="Times New Roman" w:cs="Times New Roman" w:eastAsia="Times New Roman" w:hAnsi="Times New Roman"/>
          <w:sz w:val="17"/>
          <w:szCs w:val="17"/>
          <w:color w:val="0000FF"/>
        </w:rPr>
        <w:t>06/13/2022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Lindenberg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48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3272" TargetMode="External"/><Relationship Id="rId13"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2022-06-13T15:58:27Z</dcterms:created>
  <dcterms:modified xsi:type="dcterms:W3CDTF">2022-06-13T15:58:27Z</dcterms:modified>
</cp:coreProperties>
</file>