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80"/>
          <w:szCs w:val="80"/>
          <w:color w:val="auto"/>
        </w:rPr>
        <w:t>2024 Annual Report</w:t>
      </w:r>
    </w:p>
    <w:p>
      <w:pPr>
        <w:spacing w:after="0"/>
        <w:rPr>
          <w:sz w:val="20"/>
          <w:szCs w:val="20"/>
          <w:color w:val="auto"/>
        </w:rPr>
      </w:pPr>
      <w:r>
        <w:rPr>
          <w:rFonts w:ascii="Times New Roman" w:cs="Times New Roman" w:eastAsia="Times New Roman" w:hAnsi="Times New Roman"/>
          <w:sz w:val="80"/>
          <w:szCs w:val="80"/>
          <w:color w:val="auto"/>
        </w:rPr>
        <w:t>2025 Proxy Statement</w:t>
      </w:r>
    </w:p>
    <w:p>
      <w:pPr>
        <w:sectPr>
          <w:pgSz w:w="11880" w:h="15480" w:orient="portrait"/>
          <w:cols w:equalWidth="0" w:num="1">
            <w:col w:w="9720"/>
          </w:cols>
          <w:pgMar w:left="720" w:top="1440" w:right="1440" w:bottom="1440" w:gutter="0" w:footer="0" w:header="0"/>
        </w:sectPr>
      </w:pPr>
    </w:p>
    <w:bookmarkStart w:id="1" w:name="page2"/>
    <w:bookmarkEnd w:id="1"/>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2790825" cy="638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0825" cy="6386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0"/>
          <w:szCs w:val="40"/>
          <w:color w:val="FFFFFF"/>
        </w:rPr>
        <w:t>Letter to</w:t>
      </w:r>
    </w:p>
    <w:p>
      <w:pPr>
        <w:spacing w:after="0"/>
        <w:rPr>
          <w:sz w:val="20"/>
          <w:szCs w:val="20"/>
          <w:color w:val="auto"/>
        </w:rPr>
      </w:pPr>
      <w:r>
        <w:rPr>
          <w:rFonts w:ascii="Times New Roman" w:cs="Times New Roman" w:eastAsia="Times New Roman" w:hAnsi="Times New Roman"/>
          <w:sz w:val="40"/>
          <w:szCs w:val="40"/>
          <w:color w:val="FFFFFF"/>
        </w:rPr>
        <w:t>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FFFFFF"/>
        </w:rPr>
        <w:t>Turqi Alnowaiser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B68948"/>
        </w:rPr>
        <w:t>BOARD CHAIRMAN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-613410</wp:posOffset>
            </wp:positionV>
            <wp:extent cx="1598295" cy="124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8295" cy="124460"/>
                    </a:xfrm>
                    <a:prstGeom prst="rect">
                      <a:avLst/>
                    </a:prstGeom>
                    <a:noFill/>
                  </pic:spPr>
                </pic:pic>
              </a:graphicData>
            </a:graphic>
          </wp:anchor>
        </w:drawing>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we gather for our annual meeting, I want to take a moment to reflect on the progress we’ve made together and provide you with an update on the Company’s vision, strategic direction, and the important steps we are taking to build a sustainable and thriving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Vision That Is Unchanged</w:t>
      </w:r>
    </w:p>
    <w:p>
      <w:pPr>
        <w:spacing w:after="0" w:line="272"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color w:val="auto"/>
        </w:rPr>
        <w:t>First and foremost, the core vision of the Company is unchanged. Lucid’s mission remains clear — to advance the state-of-the-art of EV technology for the benefit of all. While leadership transitions are a natural part of a company’s evolution as it matures, we continue to be guided by the same fundamental principles that have shaped our success — a relentless focus on innovation, cutting-edge technology, and a dedication to sustainability.</w:t>
      </w:r>
    </w:p>
    <w:p>
      <w:pPr>
        <w:spacing w:after="0" w:line="200" w:lineRule="exact"/>
        <w:rPr>
          <w:sz w:val="20"/>
          <w:szCs w:val="20"/>
          <w:color w:val="auto"/>
        </w:rPr>
      </w:pPr>
    </w:p>
    <w:p>
      <w:pPr>
        <w:spacing w:after="0" w:line="261"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Our technological vision for the future is firmly in place and we are deeply committed to creating a world where electric vehicles are not just a viable alternative but the superior choice.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Commitment to Stability and Value Creation</w:t>
      </w:r>
    </w:p>
    <w:p>
      <w:pPr>
        <w:spacing w:after="0" w:line="272"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As Chairman of the Board, I want to emphasize the Board’s unwavering commitment to ensuring organizational stability and stockholder value creation. Our focus has been, and will continue to be, on maintaining a solid foundation that supports long-term growth and a path to profitability.</w:t>
      </w:r>
    </w:p>
    <w:p>
      <w:pPr>
        <w:spacing w:after="0" w:line="200" w:lineRule="exact"/>
        <w:rPr>
          <w:sz w:val="20"/>
          <w:szCs w:val="20"/>
          <w:color w:val="auto"/>
        </w:rPr>
      </w:pPr>
    </w:p>
    <w:p>
      <w:pPr>
        <w:spacing w:after="0" w:line="25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Our commitment to you, our valued stockholders, is clear: we will maintain a focus on delivering both stability near-term and sustainable growth over the long-term.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Looking Forward</w:t>
      </w:r>
    </w:p>
    <w:p>
      <w:pPr>
        <w:spacing w:after="0" w:line="27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As Chairman of the Board, I am deeply optimistic about the future of our company. I believe we are in the early stages of a transformational growth journey, backed by a strong vision, unmatched technology, a committed leadership team, and the continued trust of our stakeholders.</w:t>
      </w:r>
    </w:p>
    <w:p>
      <w:pPr>
        <w:spacing w:after="0" w:line="224"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Board and I are excited about the future, and we thank you for your continued trust and support.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Turqi Alnowaiser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ectPr>
          <w:pgSz w:w="11880" w:h="15480" w:orient="portrait"/>
          <w:cols w:equalWidth="0" w:num="2">
            <w:col w:w="3740" w:space="720"/>
            <w:col w:w="6120"/>
          </w:cols>
          <w:pgMar w:left="520" w:top="1440" w:right="780" w:bottom="1440" w:gutter="0" w:footer="0" w:header="0"/>
        </w:sectPr>
      </w:pPr>
    </w:p>
    <w:bookmarkStart w:id="2" w:name="page3"/>
    <w:bookmarkEnd w:id="2"/>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2790825" cy="638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0825" cy="6386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0"/>
          <w:szCs w:val="40"/>
          <w:color w:val="FFFFFF"/>
        </w:rPr>
        <w:t>Letter to</w:t>
      </w:r>
    </w:p>
    <w:p>
      <w:pPr>
        <w:spacing w:after="0"/>
        <w:rPr>
          <w:sz w:val="20"/>
          <w:szCs w:val="20"/>
          <w:color w:val="auto"/>
        </w:rPr>
      </w:pPr>
      <w:r>
        <w:rPr>
          <w:rFonts w:ascii="Times New Roman" w:cs="Times New Roman" w:eastAsia="Times New Roman" w:hAnsi="Times New Roman"/>
          <w:sz w:val="40"/>
          <w:szCs w:val="40"/>
          <w:color w:val="FFFFFF"/>
        </w:rPr>
        <w:t>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FFFFFF"/>
        </w:rPr>
        <w:t>Marc Winterhoff</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B68948"/>
        </w:rPr>
        <w:t>INTERIM CHIEF EXECUTIVE OFFICER</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-613410</wp:posOffset>
            </wp:positionV>
            <wp:extent cx="159829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8295" cy="124460"/>
                    </a:xfrm>
                    <a:prstGeom prst="rect">
                      <a:avLst/>
                    </a:prstGeom>
                    <a:noFill/>
                  </pic:spPr>
                </pic:pic>
              </a:graphicData>
            </a:graphic>
          </wp:anchor>
        </w:drawing>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This is an exciting time at Lucid Group — our journey to advance the state of the art of EV technology for the benefit of all continues. In 2024, we achieved noteworthy milestones and gained significant momentum. We expanded our production capabilities, introduced groundbreaking advancements in EV technology, launched the Lucid Gravity, achieved four consecutive record quarters of deliveries, and saw significant improvements in several financial metrics. The Lucid Air continues to set new standards in range, performance, and efficiency and we are highly enthusiastic about the early reception of the Lucid Gravity.</w:t>
      </w:r>
    </w:p>
    <w:p>
      <w:pPr>
        <w:spacing w:after="0" w:line="229"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These significant achievements would not have been possible without breakthroughs in our Lucid powertrain, engineering, design, and software technologies, which enabled us to further grow our lead against competitors. Our journey to redefine electric mobility has been marked by relentless progress and I am proud of the technology and business advancements we continue to make.</w:t>
      </w:r>
    </w:p>
    <w:p>
      <w:pPr>
        <w:spacing w:after="0" w:line="227"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Looking ahead, our focus remains on scaling production, optimizing efficiencies, expanding our partnerships, and continuing to innovate at the highest level. Our midsize vehicles represent the next phase of our mission and our teams are hard at work to bring these vehicles and their supporting technologies to the market.</w:t>
      </w:r>
    </w:p>
    <w:p>
      <w:pPr>
        <w:spacing w:after="0" w:line="225"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We also remain fully focused on the long-term goal of creating superior technology to provide solutions that not only meet the needs of today’s consumers but also exceed their expectations. We are committed to bringing to market vehicles that are not just environmentally friendly but also technologically advanced, offering unmatched performance and user experience.</w:t>
      </w:r>
    </w:p>
    <w:p>
      <w:pPr>
        <w:spacing w:after="0" w:line="22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 want to extend my deepest gratitude to our employees for their dedication, our customers for their trust, our stockholders for your confidence in our mission, and the Public Investment Fund for their continued long-term support and partnership. Together, we are shaping the future of electric mobility.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being a part of this journey.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Marc Winterhoff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ectPr>
          <w:pgSz w:w="11880" w:h="15480" w:orient="portrait"/>
          <w:cols w:equalWidth="0" w:num="2">
            <w:col w:w="3740" w:space="720"/>
            <w:col w:w="6160"/>
          </w:cols>
          <w:pgMar w:left="520" w:top="1440" w:right="740" w:bottom="1440" w:gutter="0" w:footer="0" w:header="0"/>
        </w:sectPr>
      </w:pPr>
    </w:p>
    <w:bookmarkStart w:id="3" w:name="page4"/>
    <w:bookmarkEnd w:id="3"/>
    <w:p>
      <w:pPr>
        <w:ind w:left="2"/>
        <w:spacing w:after="0"/>
        <w:rPr>
          <w:sz w:val="20"/>
          <w:szCs w:val="20"/>
          <w:color w:val="auto"/>
        </w:rPr>
      </w:pPr>
      <w:r>
        <w:rPr>
          <w:rFonts w:ascii="Times New Roman" w:cs="Times New Roman" w:eastAsia="Times New Roman" w:hAnsi="Times New Roman"/>
          <w:sz w:val="40"/>
          <w:szCs w:val="40"/>
          <w:color w:val="auto"/>
        </w:rPr>
        <w:t>Lucid Group, Inc.</w:t>
      </w:r>
    </w:p>
    <w:p>
      <w:pPr>
        <w:spacing w:after="0" w:line="219" w:lineRule="exact"/>
        <w:rPr>
          <w:sz w:val="20"/>
          <w:szCs w:val="20"/>
          <w:color w:val="auto"/>
        </w:rPr>
      </w:pPr>
    </w:p>
    <w:p>
      <w:pPr>
        <w:ind w:left="2" w:right="3660"/>
        <w:spacing w:after="0" w:line="242" w:lineRule="auto"/>
        <w:rPr>
          <w:sz w:val="20"/>
          <w:szCs w:val="20"/>
          <w:color w:val="auto"/>
        </w:rPr>
      </w:pPr>
      <w:r>
        <w:rPr>
          <w:rFonts w:ascii="Times New Roman" w:cs="Times New Roman" w:eastAsia="Times New Roman" w:hAnsi="Times New Roman"/>
          <w:sz w:val="40"/>
          <w:szCs w:val="40"/>
          <w:color w:val="auto"/>
        </w:rPr>
        <w:t>Notice of Annual Meeting of Stockholders to Be Held on June 5, 2025</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2025</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Stockholder:</w:t>
      </w:r>
    </w:p>
    <w:p>
      <w:pPr>
        <w:spacing w:after="0" w:line="272" w:lineRule="exact"/>
        <w:rPr>
          <w:sz w:val="20"/>
          <w:szCs w:val="20"/>
          <w:color w:val="auto"/>
        </w:rPr>
      </w:pPr>
    </w:p>
    <w:p>
      <w:pPr>
        <w:jc w:val="both"/>
        <w:ind w:left="2" w:right="40"/>
        <w:spacing w:after="0" w:line="285" w:lineRule="auto"/>
        <w:rPr>
          <w:sz w:val="20"/>
          <w:szCs w:val="20"/>
          <w:color w:val="auto"/>
        </w:rPr>
      </w:pPr>
      <w:r>
        <w:rPr>
          <w:rFonts w:ascii="Arial" w:cs="Arial" w:eastAsia="Arial" w:hAnsi="Arial"/>
          <w:sz w:val="18"/>
          <w:szCs w:val="18"/>
          <w:color w:val="auto"/>
        </w:rPr>
        <w:t>You are cordially invited to attend the 2025 Annual Meeting of Stockholders (the “Annual Meeting”) of Lucid Group, Inc., a Delaware corporation (“we,” “us,” “Lucid Group,” “Lucid” or the “Company”). The Annual Meeting will be held virtually on June 5, 2025 at 9:00 a.m. (Pacific Time) to consider and vote on the following proposals:</w:t>
      </w:r>
    </w:p>
    <w:p>
      <w:pPr>
        <w:spacing w:after="0" w:line="220" w:lineRule="exact"/>
        <w:rPr>
          <w:sz w:val="20"/>
          <w:szCs w:val="20"/>
          <w:color w:val="auto"/>
        </w:rPr>
      </w:pPr>
    </w:p>
    <w:p>
      <w:pPr>
        <w:ind w:left="362" w:right="200" w:hanging="362"/>
        <w:spacing w:after="0" w:line="292" w:lineRule="auto"/>
        <w:tabs>
          <w:tab w:leader="none" w:pos="36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the eight nominees to serve as directors, to hold office until the 2026 annual meeting of stockholders and until their successors are duly elected and qualified, or until their earlier death, resignation or removal;</w:t>
      </w:r>
    </w:p>
    <w:p>
      <w:pPr>
        <w:spacing w:after="0" w:line="214" w:lineRule="exact"/>
        <w:rPr>
          <w:rFonts w:ascii="Arial" w:cs="Arial" w:eastAsia="Arial" w:hAnsi="Arial"/>
          <w:sz w:val="18"/>
          <w:szCs w:val="18"/>
          <w:color w:val="auto"/>
        </w:rPr>
      </w:pPr>
    </w:p>
    <w:p>
      <w:pPr>
        <w:ind w:left="362" w:right="220" w:hanging="362"/>
        <w:spacing w:after="0" w:line="292"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the fiscal year ending December 31, 2025;</w:t>
      </w:r>
    </w:p>
    <w:p>
      <w:pPr>
        <w:spacing w:after="0" w:line="214" w:lineRule="exact"/>
        <w:rPr>
          <w:rFonts w:ascii="Arial" w:cs="Arial" w:eastAsia="Arial" w:hAnsi="Arial"/>
          <w:sz w:val="18"/>
          <w:szCs w:val="18"/>
          <w:color w:val="auto"/>
        </w:rPr>
      </w:pPr>
    </w:p>
    <w:p>
      <w:pPr>
        <w:ind w:left="362" w:hanging="362"/>
        <w:spacing w:after="0"/>
        <w:tabs>
          <w:tab w:leader="none" w:pos="36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on an advisory basis, the compensation for our named executive officers;</w:t>
      </w:r>
    </w:p>
    <w:p>
      <w:pPr>
        <w:spacing w:after="0" w:line="272" w:lineRule="exact"/>
        <w:rPr>
          <w:rFonts w:ascii="Arial" w:cs="Arial" w:eastAsia="Arial" w:hAnsi="Arial"/>
          <w:sz w:val="18"/>
          <w:szCs w:val="18"/>
          <w:color w:val="auto"/>
        </w:rPr>
      </w:pPr>
    </w:p>
    <w:p>
      <w:pPr>
        <w:ind w:left="362" w:right="200" w:hanging="362"/>
        <w:spacing w:after="0" w:line="292"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amendment and restatement of the Lucid Group, Inc. Amended and Restated 2021 Stock Incentive Plan; and</w:t>
      </w:r>
    </w:p>
    <w:p>
      <w:pPr>
        <w:spacing w:after="0" w:line="214" w:lineRule="exact"/>
        <w:rPr>
          <w:rFonts w:ascii="Arial" w:cs="Arial" w:eastAsia="Arial" w:hAnsi="Arial"/>
          <w:sz w:val="18"/>
          <w:szCs w:val="18"/>
          <w:color w:val="auto"/>
        </w:rPr>
      </w:pPr>
    </w:p>
    <w:p>
      <w:pPr>
        <w:ind w:left="362" w:hanging="362"/>
        <w:spacing w:after="0"/>
        <w:tabs>
          <w:tab w:leader="none" w:pos="36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conduct such other business as may properly come before the Annual Meeting or any adjournment thereof.</w:t>
      </w:r>
    </w:p>
    <w:p>
      <w:pPr>
        <w:spacing w:after="0" w:line="272" w:lineRule="exact"/>
        <w:rPr>
          <w:sz w:val="20"/>
          <w:szCs w:val="20"/>
          <w:color w:val="auto"/>
        </w:rPr>
      </w:pPr>
    </w:p>
    <w:p>
      <w:pPr>
        <w:ind w:left="2" w:right="100"/>
        <w:spacing w:after="0" w:line="292" w:lineRule="auto"/>
        <w:rPr>
          <w:sz w:val="20"/>
          <w:szCs w:val="20"/>
          <w:color w:val="auto"/>
        </w:rPr>
      </w:pPr>
      <w:r>
        <w:rPr>
          <w:rFonts w:ascii="Arial" w:cs="Arial" w:eastAsia="Arial" w:hAnsi="Arial"/>
          <w:sz w:val="18"/>
          <w:szCs w:val="18"/>
          <w:color w:val="auto"/>
        </w:rPr>
        <w:t>These items of business are more fully described in the proxy statement accompanying this Notice of Annual Meeting of Stockholders (the “Proxy Statement”).</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record date for the Annual Meeting is April 7, 2025 (the “Record Date”). Only stockholders of record of shares of our</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Class A common stock, par value $0.0001 per share, shares of our Series A convertible preferred stock, par value</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$0.0001 per share, or shares of our Series B convertible preferred stock, par value $0.0001 per share at the close of</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business on the Record Date may vote at the Annual Meeting or any postponement or adjournment thereof. You will be</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able to attend the Annual Meeting remotely by registering at www.proxydocs.com/LCID. Upon completing your</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registration, you will receive further instructions via email, including a unique link that will allow you access to the Annual</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Meeting and to vote and submit questions. As part of the registration process, you must enter the control number</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located on your proxy card, voting instruction form, or Important Notice Regarding the Availability of Proxy Materials.</w:t>
      </w:r>
    </w:p>
    <w:p>
      <w:pPr>
        <w:spacing w:after="0" w:line="27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Important Notice Regarding the Availability of Proxy Materials for the Annual Meeting to be held on</w:t>
      </w:r>
    </w:p>
    <w:p>
      <w:pPr>
        <w:spacing w:after="0" w:line="272"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June 5, 2025 at 9:00 a.m. (Pacific Time)</w:t>
      </w:r>
    </w:p>
    <w:p>
      <w:pPr>
        <w:spacing w:after="0" w:line="27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via the internet at www.proxydocs.com/LCID</w:t>
      </w:r>
    </w:p>
    <w:p>
      <w:pPr>
        <w:spacing w:after="0" w:line="27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The Proxy Statement and the Company’s Annual Report to Stockholders are available at: www.proxydocs.com/LCID.</w:t>
      </w:r>
    </w:p>
    <w:p>
      <w:pPr>
        <w:spacing w:after="0" w:line="273" w:lineRule="exact"/>
        <w:rPr>
          <w:sz w:val="20"/>
          <w:szCs w:val="20"/>
          <w:color w:val="auto"/>
        </w:rPr>
      </w:pPr>
    </w:p>
    <w:p>
      <w:pPr>
        <w:jc w:val="both"/>
        <w:ind w:left="2" w:right="80"/>
        <w:spacing w:after="0" w:line="285" w:lineRule="auto"/>
        <w:rPr>
          <w:sz w:val="20"/>
          <w:szCs w:val="20"/>
          <w:color w:val="auto"/>
        </w:rPr>
      </w:pPr>
      <w:r>
        <w:rPr>
          <w:rFonts w:ascii="Arial" w:cs="Arial" w:eastAsia="Arial" w:hAnsi="Arial"/>
          <w:sz w:val="18"/>
          <w:szCs w:val="18"/>
          <w:color w:val="auto"/>
        </w:rPr>
        <w:t>We have determined that the Annual Meeting will be held in a virtual meeting format only, via the internet. If you plan to participate in the virtual meeting, please see the Questions and Answers section below. Stockholders will be able to attend, vote and submit questions (both before, and for a portion of, the meeting) via the internet.</w:t>
      </w:r>
    </w:p>
    <w:p>
      <w:pPr>
        <w:sectPr>
          <w:pgSz w:w="11880" w:h="15480" w:orient="portrait"/>
          <w:cols w:equalWidth="0" w:num="1">
            <w:col w:w="10422"/>
          </w:cols>
          <w:pgMar w:left="718" w:top="876" w:right="740" w:bottom="1440" w:gutter="0" w:footer="0" w:header="0"/>
        </w:sectPr>
      </w:pPr>
    </w:p>
    <w:bookmarkStart w:id="4" w:name="page5"/>
    <w:bookmarkEnd w:id="4"/>
    <w:p>
      <w:pPr>
        <w:spacing w:after="0" w:line="282" w:lineRule="auto"/>
        <w:rPr>
          <w:sz w:val="20"/>
          <w:szCs w:val="20"/>
          <w:color w:val="auto"/>
        </w:rPr>
      </w:pPr>
      <w:r>
        <w:rPr>
          <w:rFonts w:ascii="Arial" w:cs="Arial" w:eastAsia="Arial" w:hAnsi="Arial"/>
          <w:sz w:val="18"/>
          <w:szCs w:val="18"/>
          <w:color w:val="auto"/>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Brian K. Tomkiel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Newark, California</w:t>
      </w:r>
    </w:p>
    <w:p>
      <w:pPr>
        <w:spacing w:after="0" w:line="271"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ALL STOCKHOLDERS ARE CORDIALLY INVITED TO VIRTUALLY ATTEND THE ANNUAL MEETING. WHETHER OR NOT YOU EXPECT TO ATTEND THE ANNUAL MEETING, PLEASE COMPLETE, DATE, SIGN AND RETURN THE PROXY CARD, OR VOTE OVER THE TELEPHONE OR INTERNET AS INSTRUCTED IN THOSE MATERIALS, AS PROMPTLY AS POSSIBLE IN ORDER TO ENSURE YOUR REPRESENTATION AT THE ANNUAL MEETING. EVEN IF YOU HAVE VOTED BY PROXY, YOU MAY STILL VOTE AT THE ANNUAL MEETING IF YOU ATTEND.</w:t>
      </w:r>
    </w:p>
    <w:p>
      <w:pPr>
        <w:sectPr>
          <w:pgSz w:w="11880" w:h="15480" w:orient="portrait"/>
          <w:cols w:equalWidth="0" w:num="1">
            <w:col w:w="10400"/>
          </w:cols>
          <w:pgMar w:left="720" w:top="943" w:right="76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FFFFFF"/>
        </w:rPr>
        <w:t>Table of Contents</w:t>
      </w:r>
    </w:p>
    <w:p>
      <w:pPr>
        <w:sectPr>
          <w:pgSz w:w="11880" w:h="15480" w:orient="portrait"/>
          <w:cols w:equalWidth="0" w:num="1">
            <w:col w:w="10420"/>
          </w:cols>
          <w:pgMar w:left="720" w:top="1440" w:right="7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Page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FFFFFF"/>
        </w:rPr>
        <w:t>Questions and Answers About These Proxy Materials</w:t>
      </w:r>
    </w:p>
    <w:p>
      <w:pPr>
        <w:spacing w:after="0" w:line="12" w:lineRule="exact"/>
        <w:rPr>
          <w:sz w:val="20"/>
          <w:szCs w:val="20"/>
          <w:color w:val="auto"/>
        </w:rPr>
      </w:pPr>
    </w:p>
    <w:p>
      <w:pPr>
        <w:ind w:right="60"/>
        <w:spacing w:after="0" w:line="416" w:lineRule="auto"/>
        <w:rPr>
          <w:sz w:val="20"/>
          <w:szCs w:val="20"/>
          <w:color w:val="auto"/>
        </w:rPr>
      </w:pPr>
      <w:r>
        <w:rPr>
          <w:rFonts w:ascii="Arial" w:cs="Arial" w:eastAsia="Arial" w:hAnsi="Arial"/>
          <w:sz w:val="16"/>
          <w:szCs w:val="16"/>
          <w:color w:val="FFFFFF"/>
        </w:rPr>
        <w:t>and Voting . . . . . . . . . . . . . . . . . . . . . . . . . . . . . . . . . . . . . . . . . . . . . . 1 Proposal No. 1: Election of Directors . . . . . . . . . . . . . . . . . . . 9</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FFFFFF"/>
        </w:rPr>
        <w:t>Information Regarding the Board of Directors and Corporate Governance . . . . . . . . . . . . . . . . . . . . . . . . . . . . . . . . . 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FFFFFF"/>
        </w:rPr>
        <w:t>Report of the Audit Committee of the Board of</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FFFFFF"/>
        </w:rPr>
        <w:t>Directors . . . . . . . . . . . . . . . . . . . . . . . . . . . . . . . . . . . . . . . . . . . . . . . . 24</w:t>
      </w:r>
    </w:p>
    <w:p>
      <w:pPr>
        <w:spacing w:after="0" w:line="14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FFFFFF"/>
        </w:rPr>
        <w:t>Proposal No. 2: Ratification of the Selection of the Independent Registered Public Accounting Firm . . . . . . 25</w:t>
      </w:r>
    </w:p>
    <w:p>
      <w:pPr>
        <w:spacing w:after="0" w:line="7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FFFFFF"/>
        </w:rPr>
        <w:t>Proposal No. 3: Approval, on an Advisory Basis, of the Compensation of Our Named Executive Officers . . . . . . 28</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FFFFFF"/>
        </w:rPr>
        <w:t>Proposal No. 4: Approval of the Amendment and Restatement of the Lucid Group, Inc. Amended and Restated 2021 Stock Incentive Plan . . . . . . . . . . . . . . . . . . . . 30</w:t>
      </w:r>
    </w:p>
    <w:p>
      <w:pPr>
        <w:spacing w:after="0" w:line="83" w:lineRule="exact"/>
        <w:rPr>
          <w:sz w:val="20"/>
          <w:szCs w:val="20"/>
          <w:color w:val="auto"/>
        </w:rPr>
      </w:pPr>
    </w:p>
    <w:p>
      <w:pPr>
        <w:jc w:val="both"/>
        <w:ind w:right="60"/>
        <w:spacing w:after="0" w:line="392" w:lineRule="auto"/>
        <w:rPr>
          <w:sz w:val="20"/>
          <w:szCs w:val="20"/>
          <w:color w:val="auto"/>
        </w:rPr>
      </w:pPr>
      <w:r>
        <w:rPr>
          <w:rFonts w:ascii="Arial" w:cs="Arial" w:eastAsia="Arial" w:hAnsi="Arial"/>
          <w:sz w:val="17"/>
          <w:szCs w:val="17"/>
          <w:color w:val="FFFFFF"/>
        </w:rPr>
        <w:t>Equity Compensation Plan Information . . . . . . . . . . . . . . . . . 32 Executive Officers . . . . . . . . . . . . . . . . . . . . . . . . . . . . . . . . . . . . . . 41 Compensation Discussion and Analysis . . . . . . . . . . . . . . . . 44</w:t>
      </w:r>
    </w:p>
    <w:p>
      <w:pPr>
        <w:ind w:left="180"/>
        <w:spacing w:after="0"/>
        <w:rPr>
          <w:sz w:val="20"/>
          <w:szCs w:val="20"/>
          <w:color w:val="auto"/>
        </w:rPr>
      </w:pPr>
      <w:r>
        <w:rPr>
          <w:rFonts w:ascii="Arial" w:cs="Arial" w:eastAsia="Arial" w:hAnsi="Arial"/>
          <w:sz w:val="18"/>
          <w:szCs w:val="18"/>
          <w:color w:val="FFFFFF"/>
        </w:rPr>
        <w:t>Compensation and Human Capital Committee</w:t>
      </w:r>
    </w:p>
    <w:p>
      <w:pPr>
        <w:spacing w:after="0" w:line="12" w:lineRule="exact"/>
        <w:rPr>
          <w:sz w:val="20"/>
          <w:szCs w:val="20"/>
          <w:color w:val="auto"/>
        </w:rPr>
      </w:pPr>
    </w:p>
    <w:p>
      <w:pPr>
        <w:ind w:left="180" w:right="60"/>
        <w:spacing w:after="0" w:line="463" w:lineRule="auto"/>
        <w:rPr>
          <w:sz w:val="20"/>
          <w:szCs w:val="20"/>
          <w:color w:val="auto"/>
        </w:rPr>
      </w:pPr>
      <w:r>
        <w:rPr>
          <w:rFonts w:ascii="Arial" w:cs="Arial" w:eastAsia="Arial" w:hAnsi="Arial"/>
          <w:sz w:val="16"/>
          <w:szCs w:val="16"/>
          <w:color w:val="FFFFFF"/>
        </w:rPr>
        <w:t>Report . . . . . . . . . . . . . . . . . . . . . . . . . . . . . . . . . . . . . . . . . . . . . . . . 61 2024 Summary Compensation Table . . . . . . . . . . . . . . . . .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Page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color w:val="FFFFFF"/>
        </w:rPr>
        <w:t>Grants of Plan-Based Awards . . . . . . . . . . . . . . . . . . . . . . . . . 64</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Outstanding Equity Awards at Fiscal Year-End . . . . . . . 65</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Option Exercises and Stock Vested . . . . . . . . . . . . . . . . . . 67</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Potential Payments Upon Termination or Change in</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5"/>
          <w:szCs w:val="15"/>
          <w:color w:val="FFFFFF"/>
        </w:rPr>
        <w:t>Control . . . . . . . . . . . . . . . . . . . . . . . . . . . . . . . . . . . . . . . . . . . . . . . . 68</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FFFFFF"/>
        </w:rPr>
        <w:t>Director Compensation . . . . . . . . . . . . . . . . . . . . . . . . . . . . . . . . . 70</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FFFFFF"/>
        </w:rPr>
        <w:t>CEO Pay Ratio . . . . . . . . . . . . . . . . . . . . . . . . . . . . . . . . . . . . . . . . . . . 72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FFFFFF"/>
        </w:rPr>
        <w:t>Pay Versus Performance . . . . . . . . . . . . . . . . . . . . . . . . . . . . . . . . 73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FFFFFF"/>
        </w:rPr>
        <w:t>Security Ownership of Certain Beneficial Owners and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FFFFFF"/>
        </w:rPr>
        <w:t>Management . . . . . . . . . . . . . . . . . . . . . . . . . . . . . . . . . . . . . . . . . . . . 76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FFFFFF"/>
        </w:rPr>
        <w:t>Certain Relationships and Related Party Transactions . 78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FFFFFF"/>
        </w:rPr>
        <w:t>Householding of Proxy Materials; Availability of Annual</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FFFFFF"/>
        </w:rPr>
        <w:t>Report . . . . . . . . . . . . . . . . . . . . . . . . . . . . . . . . . . . . . . . . . . . . . . . . . . . 82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FFFFFF"/>
        </w:rPr>
        <w:t>Other Matters . . . . . . . . . . . . . . . . . . . . . . . . . . . . . . . . . . . . . . . . . . . 82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FFFFFF"/>
        </w:rPr>
        <w:t>Annex A — Lucid Group, Inc. Amended and Restated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FFFF"/>
        </w:rPr>
        <w:t>2021 Stock Incentive Plan . . . . . . . . . . . . . . . . . . . . . . . . . . . . . .A-1</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FFFFFF"/>
        </w:rPr>
        <w:t>Annex B — GAAP Reconciliation . . . . . . . . . . . . . . . . . . . . . . . .B-1</w:t>
      </w:r>
    </w:p>
    <w:p>
      <w:pPr>
        <w:sectPr>
          <w:pgSz w:w="11880" w:h="15480" w:orient="portrait"/>
          <w:cols w:equalWidth="0" w:num="2">
            <w:col w:w="5040" w:space="320"/>
            <w:col w:w="5060"/>
          </w:cols>
          <w:pgMar w:left="720" w:top="1440" w:right="7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39"/>
          <w:szCs w:val="39"/>
          <w:color w:val="auto"/>
        </w:rPr>
        <w:t>Questions and Answers About These Proxy Materials and Voting</w:t>
      </w:r>
    </w:p>
    <w:p>
      <w:pPr>
        <w:spacing w:after="0" w:line="200" w:lineRule="exact"/>
        <w:rPr>
          <w:sz w:val="20"/>
          <w:szCs w:val="20"/>
          <w:color w:val="auto"/>
        </w:rPr>
      </w:pPr>
    </w:p>
    <w:p>
      <w:pPr>
        <w:spacing w:after="0" w:line="256"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color w:val="auto"/>
        </w:rPr>
        <w:t>WHY DID I RECEIVE A ONE -PAGE NOTICE IN THE MAIL REGARDING THE INTERNET AVAILABILITY OF PROXY MATERIALS INSTEAD OF A FULL SET OF PROXY MATERIALS?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as of April 7, 2025.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p>
    <w:p>
      <w:pPr>
        <w:spacing w:after="0" w:line="18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expect that this Proxy Statement and the other proxy materials will be available to stockholders on or about April 24, 2025.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WHY ARE YOU HAVING A VIRTUAL ANNUAL MEETING?</w:t>
      </w:r>
    </w:p>
    <w:p>
      <w:pPr>
        <w:spacing w:after="0" w:line="197"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color w:val="auto"/>
        </w:rPr>
        <w:t>We believe that a virtual Annual Meeting allows for participation by a broader group of stockholders and reduces the costs to stockholders associated with holding an in-person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HOW CAN I ATTEND THE VIRTUAL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on June 5, 2025 at 9:00 a.m. (Pacific Time) via live webcast.</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Only stockholders of record and beneficial owners of shares of our Class A common stock, par value $0.0001 per share (the “Common Stock”), together with stockholders of record and beneficial owners of shares of our Series A convertible preferred stock, par value $0.0001 per share (the “Series A Convertible Preferred Stock”), and stockholders of record and beneficial owners of shares of our Series B convertible preferred stock, par value $0.0001 per share (the “Series B Convertible Preferred Stock,” and together with the Series A Convertible Preferred Stock, the “Convertible Preferred Stock”) (who vote on an as converted to Common Stock basis), as of the close of business on April 7, 2025, the Record Date, may participate in the Annual Meeting, including voting and asking questions.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In order to attend the Annual Meeting, you must register at www.proxydocs.com/LCID. Upon completing your registration, you will receive further instructions via email, including a unique link that will allow you access to the Annual Meeting and to vote and submit questions.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registration process, you must enter the control number located on your proxy card, voting instruction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or Proxy Availability Notice. If you are a beneficial owner of shares registered in the name of a broker, bank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nominee, you will also need to provide the registered name on your account and the name of your broker, bank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nominee as part of the registration process. If you are having trouble registering online, please use the link “Having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trouble registering” at the bottom of the registration page to access the FAQ or email DSMSupport@mediantonline.com.</w:t>
      </w:r>
    </w:p>
    <w:p>
      <w:pPr>
        <w:spacing w:after="0" w:line="214"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color w:val="auto"/>
        </w:rPr>
        <w:t>Whether or not you plan to attend the Annual Meeting, we urge you to vote and submit your proxy in advance of the meeting by one of the methods described in these proxy materials.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CAN I ASK QUESTIONS AT THE VIRTUAL ANNUAL MEETING?</w:t>
      </w:r>
    </w:p>
    <w:p>
      <w:pPr>
        <w:spacing w:after="0" w:line="19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Stockholders of record and beneficial owners of our Common Stock or Convertible Preferred Stock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WHAT DOES IT MEAN IF I RECEIVE MORE THAN ONE PROXY AVAILABILITY NOTICE?</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If you receive more than one Proxy Availability Notice, your shares may be registered at the same address but in more than one name or in different accounts. Please follow the voting instructions on each Proxy Availability Notice to ensure that all of your shares are voted.</w:t>
      </w:r>
    </w:p>
    <w:p>
      <w:pPr>
        <w:sectPr>
          <w:pgSz w:w="11880" w:h="15480" w:orient="portrait"/>
          <w:cols w:equalWidth="0" w:num="1">
            <w:col w:w="10440"/>
          </w:cols>
          <w:pgMar w:left="720" w:top="876" w:right="720" w:bottom="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tabs>
          <w:tab w:leader="none" w:pos="103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w:t>
      </w:r>
    </w:p>
    <w:p>
      <w:pPr>
        <w:sectPr>
          <w:pgSz w:w="11880" w:h="15480" w:orient="portrait"/>
          <w:cols w:equalWidth="0" w:num="1">
            <w:col w:w="10440"/>
          </w:cols>
          <w:pgMar w:left="720" w:top="876" w:right="720" w:bottom="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WILL I RECEIVE ANY OTHER PROXY MATERIALS BY MAIL?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may send you a proxy card, along with a Proxy Availability Notice, by mail on or after April 24, 2025.</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WHO CAN VOTE AT THE ANNUAL MEETING?</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Only stockholders of record of our Common Stock or Convertible Preferred Stock at the close of business on the Record Date of April 7, 2025 will be entitled to vote at the Annual Meeting. On the Record Date, there were 3,048,846,066 shares of Common Stock outstanding and entitled to vote, and 100,000 shares of Series A Convertible Preferred Stock and 75,000 shares of Series B Convertible Preferred Stock outstanding and entitled to vote, which are convertible, in the aggregate, into 486,199,982 shares of Common Stock. Accordingly, on the Record Date, the stockholders of our Common Stock and Convertible Preferred Stock are entitled to an aggregate of 3,535,046,048 votes in respect of such shares of Common Stock and Convertible Preferred Stock (on an as converted to Common Stock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Shares Registered in Your Name</w:t>
      </w:r>
    </w:p>
    <w:p>
      <w:pPr>
        <w:spacing w:after="0" w:line="193" w:lineRule="exact"/>
        <w:rPr>
          <w:sz w:val="20"/>
          <w:szCs w:val="20"/>
          <w:color w:val="auto"/>
        </w:rPr>
      </w:pPr>
    </w:p>
    <w:p>
      <w:pPr>
        <w:jc w:val="both"/>
        <w:ind w:right="120"/>
        <w:spacing w:after="0" w:line="285" w:lineRule="auto"/>
        <w:rPr>
          <w:sz w:val="20"/>
          <w:szCs w:val="20"/>
          <w:color w:val="auto"/>
        </w:rPr>
      </w:pPr>
      <w:r>
        <w:rPr>
          <w:rFonts w:ascii="Arial" w:cs="Arial" w:eastAsia="Arial" w:hAnsi="Arial"/>
          <w:sz w:val="18"/>
          <w:szCs w:val="18"/>
          <w:color w:val="auto"/>
        </w:rPr>
        <w:t>If, on April 7, 2025, your shares were registered directly in your name with our transfer agent, Equiniti Trust Company or on the Company’s stock ledger, then you are a stockholder of record. As a stockholder of record of Common Stock or Convertible Preferred Stock, you may vote at the Annual Meeting or vote by proxy.</w:t>
      </w:r>
    </w:p>
    <w:p>
      <w:pPr>
        <w:spacing w:after="0" w:line="220"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Whether or not you plan to attend the Annual Meeting, we urge you to vote by proxy over the telephone or on the internet as instructed below (see “How do I vote?”) or complete, date, sign and return the proxy card mailed to you to ensure your vote is counted.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Shares Registered in the Name of a Broker, Bank or Other Nominee</w:t>
      </w:r>
    </w:p>
    <w:p>
      <w:pPr>
        <w:spacing w:after="0" w:line="193"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If, on April 7, 2025, your shares were held in an account at a brokerage firm, bank, dealer or other similar organization, but not directly in your name,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the virtual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WHAT AM I VOTING 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matters scheduled for a vote: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w:t>
      </w:r>
    </w:p>
    <w:p>
      <w:pPr>
        <w:spacing w:after="0" w:line="182" w:lineRule="exact"/>
        <w:rPr>
          <w:sz w:val="20"/>
          <w:szCs w:val="20"/>
          <w:color w:val="auto"/>
        </w:rPr>
      </w:pPr>
    </w:p>
    <w:p>
      <w:pPr>
        <w:ind w:left="180" w:right="560"/>
        <w:spacing w:after="0" w:line="292" w:lineRule="auto"/>
        <w:rPr>
          <w:sz w:val="20"/>
          <w:szCs w:val="20"/>
          <w:color w:val="auto"/>
        </w:rPr>
      </w:pPr>
      <w:r>
        <w:rPr>
          <w:rFonts w:ascii="Arial" w:cs="Arial" w:eastAsia="Arial" w:hAnsi="Arial"/>
          <w:sz w:val="18"/>
          <w:szCs w:val="18"/>
          <w:color w:val="auto"/>
        </w:rPr>
        <w:t>Ratification of the selection of KPMG LLP as our independent registered public accounting firm for the fiscal year ending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Approval, on an advisory basis, of the compensation of our named executive officers; and</w:t>
      </w:r>
    </w:p>
    <w:p>
      <w:pPr>
        <w:spacing w:after="0" w:line="182" w:lineRule="exact"/>
        <w:rPr>
          <w:sz w:val="20"/>
          <w:szCs w:val="20"/>
          <w:color w:val="auto"/>
        </w:rPr>
      </w:pPr>
    </w:p>
    <w:p>
      <w:pPr>
        <w:ind w:left="180" w:right="360"/>
        <w:spacing w:after="0" w:line="266" w:lineRule="auto"/>
        <w:rPr>
          <w:sz w:val="20"/>
          <w:szCs w:val="20"/>
          <w:color w:val="auto"/>
        </w:rPr>
      </w:pPr>
      <w:r>
        <w:rPr>
          <w:rFonts w:ascii="Arial" w:cs="Arial" w:eastAsia="Arial" w:hAnsi="Arial"/>
          <w:sz w:val="18"/>
          <w:szCs w:val="18"/>
          <w:color w:val="auto"/>
        </w:rPr>
        <w:t>Approval of the amendment and restatement of the Lucid Group, Inc. Amended and Restated 2021 Stock Incentive Plan.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WHAT IF ANOTHER MATTER IS PROPERLY BROUGHT BEFORE THE ANNUAL MEETING?</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w:t>
      </w:r>
    </w:p>
    <w:p>
      <w:pPr>
        <w:sectPr>
          <w:pgSz w:w="11880" w:h="15480" w:orient="portrait"/>
          <w:cols w:equalWidth="0" w:num="1">
            <w:col w:w="10440"/>
          </w:cols>
          <w:pgMar w:left="720" w:top="94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0"/>
          </w:cols>
          <w:pgMar w:left="720" w:top="942" w:right="720" w:bottom="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t>WHAT IS THE B OARD’S VOTING RECOMMENDATION?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 your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the election of each of the nominees for director;</w:t>
      </w:r>
    </w:p>
    <w:p>
      <w:pPr>
        <w:spacing w:after="0" w:line="128" w:lineRule="exact"/>
        <w:rPr>
          <w:sz w:val="20"/>
          <w:szCs w:val="20"/>
          <w:color w:val="auto"/>
        </w:rPr>
      </w:pPr>
    </w:p>
    <w:p>
      <w:pPr>
        <w:ind w:left="180" w:right="480"/>
        <w:spacing w:after="0" w:line="282" w:lineRule="auto"/>
        <w:rPr>
          <w:sz w:val="20"/>
          <w:szCs w:val="20"/>
          <w:color w:val="auto"/>
        </w:rPr>
      </w:pPr>
      <w:r>
        <w:rPr>
          <w:rFonts w:ascii="Arial" w:cs="Arial" w:eastAsia="Arial" w:hAnsi="Arial"/>
          <w:sz w:val="18"/>
          <w:szCs w:val="18"/>
          <w:color w:val="auto"/>
        </w:rPr>
        <w:t>“For” the ratification of KPMG LLP as our independent registered public accounting firm for the fiscal year ending December 31, 2025;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“For” the approval, on an advisory basis, of the compensation of our named executive officers; and</w:t>
      </w:r>
    </w:p>
    <w:p>
      <w:pPr>
        <w:spacing w:after="0" w:line="128" w:lineRule="exact"/>
        <w:rPr>
          <w:sz w:val="20"/>
          <w:szCs w:val="20"/>
          <w:color w:val="auto"/>
        </w:rPr>
      </w:pPr>
    </w:p>
    <w:p>
      <w:pPr>
        <w:ind w:left="180" w:right="360"/>
        <w:spacing w:after="0" w:line="282" w:lineRule="auto"/>
        <w:rPr>
          <w:sz w:val="20"/>
          <w:szCs w:val="20"/>
          <w:color w:val="auto"/>
        </w:rPr>
      </w:pPr>
      <w:r>
        <w:rPr>
          <w:rFonts w:ascii="Arial" w:cs="Arial" w:eastAsia="Arial" w:hAnsi="Arial"/>
          <w:sz w:val="18"/>
          <w:szCs w:val="18"/>
          <w:color w:val="auto"/>
        </w:rPr>
        <w:t>“For” the approval of the amendment and restatement of the Lucid Group, Inc. Amended and Restated 2021 Stock Incentive Plan.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HOW DO I VOTE?</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Regarding the election of directors, you may either vote “For” the nominees to the Board or you may “Withhold” your vote for any nominee you specify. For any other matters to be voted on, you may vote “For” or “Against,” or abstain from voting. The procedures for voting depend on whether your shares are registered in your name or are held by a bank, broker or other nominee.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Shares Registered in Your Name</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p>
    <w:p>
      <w:pPr>
        <w:spacing w:after="0" w:line="200" w:lineRule="exact"/>
        <w:rPr>
          <w:sz w:val="20"/>
          <w:szCs w:val="20"/>
          <w:color w:val="auto"/>
        </w:rPr>
      </w:pPr>
    </w:p>
    <w:p>
      <w:pPr>
        <w:spacing w:after="0" w:line="261"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By Internet</w:t>
      </w:r>
      <w:r>
        <w:rPr>
          <w:sz w:val="20"/>
          <w:szCs w:val="20"/>
          <w:color w:val="auto"/>
        </w:rPr>
        <w:tab/>
      </w:r>
      <w:r>
        <w:rPr>
          <w:rFonts w:ascii="Arial" w:cs="Arial" w:eastAsia="Arial" w:hAnsi="Arial"/>
          <w:sz w:val="18"/>
          <w:szCs w:val="18"/>
          <w:color w:val="auto"/>
        </w:rPr>
        <w:t>Go to www.proxypush.com/LCID, which is available 24 hours a day, 7 days a week until</w:t>
      </w:r>
    </w:p>
    <w:p>
      <w:pPr>
        <w:spacing w:after="0" w:line="34" w:lineRule="exact"/>
        <w:rPr>
          <w:sz w:val="20"/>
          <w:szCs w:val="20"/>
          <w:color w:val="auto"/>
        </w:rPr>
      </w:pPr>
    </w:p>
    <w:p>
      <w:pPr>
        <w:ind w:left="2140" w:right="100"/>
        <w:spacing w:after="0" w:line="300" w:lineRule="auto"/>
        <w:rPr>
          <w:sz w:val="20"/>
          <w:szCs w:val="20"/>
          <w:color w:val="auto"/>
        </w:rPr>
      </w:pPr>
      <w:r>
        <w:rPr>
          <w:rFonts w:ascii="Arial" w:cs="Arial" w:eastAsia="Arial" w:hAnsi="Arial"/>
          <w:sz w:val="18"/>
          <w:szCs w:val="18"/>
          <w:color w:val="auto"/>
        </w:rPr>
        <w:t>11:59 p.m. (Eastern Time) on June 4, 2025, and follow the instructions on the proxy card or in the Proxy Availability Notice. If you vote via the internet, you do not need to return a proxy card by mail.</w:t>
      </w:r>
    </w:p>
    <w:p>
      <w:pPr>
        <w:spacing w:after="0" w:line="200" w:lineRule="exact"/>
        <w:rPr>
          <w:sz w:val="20"/>
          <w:szCs w:val="20"/>
          <w:color w:val="auto"/>
        </w:rPr>
      </w:pPr>
    </w:p>
    <w:p>
      <w:pPr>
        <w:spacing w:after="0" w:line="23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By Telephone</w:t>
      </w:r>
      <w:r>
        <w:rPr>
          <w:sz w:val="20"/>
          <w:szCs w:val="20"/>
          <w:color w:val="auto"/>
        </w:rPr>
        <w:tab/>
      </w:r>
      <w:r>
        <w:rPr>
          <w:rFonts w:ascii="Arial" w:cs="Arial" w:eastAsia="Arial" w:hAnsi="Arial"/>
          <w:sz w:val="18"/>
          <w:szCs w:val="18"/>
          <w:color w:val="auto"/>
        </w:rPr>
        <w:t>On a touch-tone telephone, dial toll-free 1-866-883-3382, which is available 24 hours a day,</w:t>
      </w:r>
    </w:p>
    <w:p>
      <w:pPr>
        <w:spacing w:after="0" w:line="3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7 days a week until 11:59 p.m. (Eastern Time) on June 4, 2025, and follow the instructions on</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proxy card or in the Proxy Availability Notice. If you vote by telephone, you do not need to</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return a proxy card by mail.</w:t>
      </w:r>
    </w:p>
    <w:p>
      <w:pPr>
        <w:spacing w:after="0" w:line="271"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By Mail</w:t>
      </w:r>
      <w:r>
        <w:rPr>
          <w:sz w:val="20"/>
          <w:szCs w:val="20"/>
          <w:color w:val="auto"/>
        </w:rPr>
        <w:tab/>
      </w:r>
      <w:r>
        <w:rPr>
          <w:rFonts w:ascii="Arial" w:cs="Arial" w:eastAsia="Arial" w:hAnsi="Arial"/>
          <w:sz w:val="18"/>
          <w:szCs w:val="18"/>
          <w:color w:val="auto"/>
        </w:rPr>
        <w:t>Complete, sign, date, and mail your proxy card in the enclosed, postage-prepaid envelope. If</w:t>
      </w:r>
    </w:p>
    <w:p>
      <w:pPr>
        <w:spacing w:after="0" w:line="3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mailed, your completed and signed proxy card must be received by June 4, 2025.</w:t>
      </w:r>
    </w:p>
    <w:p>
      <w:pPr>
        <w:spacing w:after="0" w:line="271"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At the Virtual Meeting</w:t>
      </w:r>
      <w:r>
        <w:rPr>
          <w:sz w:val="20"/>
          <w:szCs w:val="20"/>
          <w:color w:val="auto"/>
        </w:rPr>
        <w:tab/>
      </w:r>
      <w:r>
        <w:rPr>
          <w:rFonts w:ascii="Arial" w:cs="Arial" w:eastAsia="Arial" w:hAnsi="Arial"/>
          <w:sz w:val="18"/>
          <w:szCs w:val="18"/>
          <w:color w:val="auto"/>
        </w:rPr>
        <w:t>You may also vote by attending the meeting virtually through www.proxydocs.com/LCID. To</w:t>
      </w:r>
    </w:p>
    <w:p>
      <w:pPr>
        <w:spacing w:after="0" w:line="3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attend the Annual Meeting and vote your shares, you must register for the Annual Meeting and</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provide the control number located on your proxy card, voting instruction form, or Proxy</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Availability Notice. Even if you plan to attend and participate in our virtual Annual Meeting, we</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encourage you to vote over the internet or by telephone as described above, or by returning a</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proxy card following your request of paper copies. This will ensure that your vote will be</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counted if you are unable to, or later decide not to, participate in the virtual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Shares Registered in the Name of Broker, Bank or Other Nominee</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HOW MANY VOTES DO I HAVE?</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On each matter to be voted upon, stockholders of Common Stock have one vote for each share of Common Stock they own as of April 7, 2025, the Record Date, and stockholders of Convertible Preferred Stock have one vote for each share of Common Stock in which the Convertible Preferred Stock they own as of the Record Date is convertible into.</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tabs>
          <w:tab w:leader="none" w:pos="103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w:t>
      </w:r>
    </w:p>
    <w:p>
      <w:pPr>
        <w:sectPr>
          <w:pgSz w:w="11880" w:h="15480" w:orient="portrait"/>
          <w:cols w:equalWidth="0" w:num="1">
            <w:col w:w="10420"/>
          </w:cols>
          <w:pgMar w:left="720" w:top="942" w:right="740"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Stockholders of Convertible Preferred Stock are entitled to notice of any meeting of stockholders and to vote together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as a single class with stockholders of Common Stock, except as otherwise required by law. In addition, for each series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Preferred Stock, as long as at least 10% of the aggregate number of shares of such series issued 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their respective initial issue date remain outstanding, and subject to certain other conditions, stockholders of such series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of Convertible Preferred Stock will be entitled to a separate class vote with respect to, among other things, amendments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to the Company’s organizational documents that have an adverse effect on such series, authorizations or issuances by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 capital stock of the Company that ranks senior or equal to such series with respect to dividends or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liquidation or the terms of which provide for cash dividends (other than the Common Stock), winding-up</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and dissolution, and decreases in the number of authorized shares of such series.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WHAT IF I RETURN A PROXY CARD OR OTHERWISE VOTE BUT DO NOT MAKE SPECIFIC CHOICES?</w:t>
      </w:r>
    </w:p>
    <w:p>
      <w:pPr>
        <w:spacing w:after="0" w:line="19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each of the nominees for director, “For” the ratification of KPMG LLP as our independent registered public accounting firm, “For” the approval, on an advisory basis, of the compensation of our named executive officers, and “For” the amendment and restatement of the Lucid Group, Inc. Amended and Restated 2021 Stock Incentive Plan. If any other matter is properly presented at the Annual Meeting, your proxy holder (one of the individuals named on your proxy card) will vote your shares using his or her best judgment.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WILL MY VOTE BE KEPT CONFIDENTIAL?</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This information will not be disclosed, except as required by law.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WHO IS PAYING FOR THIS PROXY SOLICITATION?</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CAN I CHANGE MY VOTE AFTER SUBMITTING MY PROXY?</w:t>
      </w:r>
    </w:p>
    <w:p>
      <w:pPr>
        <w:spacing w:after="0" w:line="197" w:lineRule="exact"/>
        <w:rPr>
          <w:sz w:val="20"/>
          <w:szCs w:val="20"/>
          <w:color w:val="auto"/>
        </w:rPr>
      </w:pPr>
    </w:p>
    <w:p>
      <w:pPr>
        <w:ind w:right="360"/>
        <w:spacing w:after="0" w:line="290"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the following ways: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may grant a subsequent proxy via the internet or telephone.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You may submit another properly completed proxy card with a later date.</w:t>
      </w:r>
    </w:p>
    <w:p>
      <w:pPr>
        <w:spacing w:after="0" w:line="180" w:lineRule="exact"/>
        <w:rPr>
          <w:sz w:val="20"/>
          <w:szCs w:val="20"/>
          <w:color w:val="auto"/>
        </w:rPr>
      </w:pPr>
    </w:p>
    <w:p>
      <w:pPr>
        <w:ind w:left="180" w:right="560"/>
        <w:spacing w:after="0" w:line="290" w:lineRule="auto"/>
        <w:rPr>
          <w:sz w:val="20"/>
          <w:szCs w:val="20"/>
          <w:color w:val="auto"/>
        </w:rPr>
      </w:pPr>
      <w:r>
        <w:rPr>
          <w:rFonts w:ascii="Arial" w:cs="Arial" w:eastAsia="Arial" w:hAnsi="Arial"/>
          <w:sz w:val="18"/>
          <w:szCs w:val="18"/>
          <w:color w:val="auto"/>
        </w:rPr>
        <w:t>You may send a timely written notice that you are revoking your proxy to our Secretary at Lucid Group, Inc., 7373 Gateway Boulevard, Newark, CA 94560, which must be received by June 4, 2025.</w:t>
      </w:r>
    </w:p>
    <w:p>
      <w:pPr>
        <w:spacing w:after="0" w:line="124" w:lineRule="exact"/>
        <w:rPr>
          <w:sz w:val="20"/>
          <w:szCs w:val="20"/>
          <w:color w:val="auto"/>
        </w:rPr>
      </w:pPr>
    </w:p>
    <w:p>
      <w:pPr>
        <w:ind w:left="180" w:right="320"/>
        <w:spacing w:after="0" w:line="265" w:lineRule="auto"/>
        <w:rPr>
          <w:sz w:val="20"/>
          <w:szCs w:val="20"/>
          <w:color w:val="auto"/>
        </w:rPr>
      </w:pPr>
      <w:r>
        <w:rPr>
          <w:rFonts w:ascii="Arial" w:cs="Arial" w:eastAsia="Arial" w:hAnsi="Arial"/>
          <w:sz w:val="18"/>
          <w:szCs w:val="18"/>
          <w:color w:val="auto"/>
        </w:rPr>
        <w:t>You may attend and vote at the Annual Meeting. Simply attending the Annual Meeting will not, by itself, revoke your proxy.</w:t>
      </w:r>
    </w:p>
    <w:p>
      <w:pPr>
        <w:spacing w:after="0" w:line="200" w:lineRule="exact"/>
        <w:rPr>
          <w:sz w:val="20"/>
          <w:szCs w:val="20"/>
          <w:color w:val="auto"/>
        </w:rPr>
      </w:pPr>
    </w:p>
    <w:p>
      <w:pPr>
        <w:spacing w:after="0" w:line="28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Your most current proxy card or telephone or internet proxy is the one that is counted, so long as it is provided by the applicable deadline. If your shares are held by your broker, banker or other nominee, you should follow the instructions provided by your broker, bank or other nominee to change your vote or revoke your proxy or you may attend and vote at the Annual Meeting.</w:t>
      </w:r>
    </w:p>
    <w:p>
      <w:pPr>
        <w:spacing w:after="0" w:line="200" w:lineRule="exact"/>
        <w:rPr>
          <w:sz w:val="20"/>
          <w:szCs w:val="20"/>
          <w:color w:val="auto"/>
        </w:rPr>
      </w:pPr>
    </w:p>
    <w:p>
      <w:pPr>
        <w:spacing w:after="0" w:line="270"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WHEN ARE STOCKHOLDER PROPOSALS FOR INCLUSION IN OUR PROXY STATEMENT FOR NEXT YEAR’S ANNUAL MEETING DUE?</w:t>
      </w:r>
    </w:p>
    <w:p>
      <w:pPr>
        <w:spacing w:after="0" w:line="381"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Stockholders wishing to present proposals for inclusion in our Proxy Statement for the 2026 annual meeting of stockholders (the “2026 Annual Meeting”) pursuant to Rule 14a-8 of the Securities Exchange Act of 1934, as amended (the “Exchange Act”), must submit their proposals so that they are received by us at our principal executive offices no later than December 25, 2025. Proposals should be sent to our Secretary at Lucid Group, Inc., 7373 Gateway Boulevard, Newark, CA 94560.</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WHEN ARE OTHER PROPOSALS AND STOCKHOLDER NOMINATIONS FOR THE 2025 ANNUAL MEETING DUE?</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With respect to proposals and nominations not to be included in our Proxy Statement pursuant to Rule 14a-8 of the Exchange Act, our second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p>
    <w:p>
      <w:pPr>
        <w:spacing w:after="0" w:line="200" w:lineRule="exact"/>
        <w:rPr>
          <w:sz w:val="20"/>
          <w:szCs w:val="20"/>
          <w:color w:val="auto"/>
        </w:rPr>
      </w:pPr>
    </w:p>
    <w:p>
      <w:pPr>
        <w:spacing w:after="0" w:line="26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Stockholders wishing to present nominations for director or proposals for consideration at the 2026 Annual Meeting under these provisions of our Bylaws (including nominations pursuant to Rule 14a-19 under the Exchange Act) must submit their nominations or proposals so that they are received at our principal executive offices not later than March 7, 2026 and not earlier than February 5, 2026 in order to be considered. In the event that the date of the 2026 Annual Meeting is advanced more than 30 days prior to such anniversary date or delayed more than 70 days after such anniversary date then to be timely such notice must be received by the Company no earlier than 120 days prior to the 2026 Annual Meeting and no later than the later of 70 days prior to the date of the 2026 Annual Meeting or the 10th day following the day on which public announcement of the date of the 2026 Annual Meeting was first made by the Company.</w:t>
      </w:r>
    </w:p>
    <w:p>
      <w:pPr>
        <w:spacing w:after="0" w:line="22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Nominations or proposals should be sent in writing to our Secretary at Lucid Group, Inc., 7373 Gateway Boulevard, Newark, CA 94560. A stockholder’s notice to nominate a director or bring any other business before the Annual Meeting or the 2026 Annual Meeting must set forth certain information, which is specified in our Bylaws. A complete copy of our Bylaws is included as Exhibit 3.2 to our Current Report on Form 8-K filed with the SEC on March 3, 2023.</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HOW ARE VOTES COUNTED?</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votes “For,” votes to “Withhold” and broker non-votes for the proposal to elect directors. With respect to other proposals, the inspector of election will separately count votes “For,” votes “Against,” votes to “Abstain” and broker non-votes (if applicable).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WHAT ARE “BROKER NON-VOTES”?</w:t>
      </w:r>
    </w:p>
    <w:p>
      <w:pPr>
        <w:spacing w:after="0" w:line="19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Brokers, banks or other nominees have discretionary authority to vote shares for which their customers do not provide voting instructions on matters that are considered “routine.” On non-routine proposals, such “uninstructed shares” may not be voted by such brokers, banks or nominees.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WHAT IS THE EFFECT OF ABSTENTIONS, VOTES TO WITHHOLD AND BROKER NON-VOTES?</w:t>
      </w:r>
    </w:p>
    <w:p>
      <w:pPr>
        <w:spacing w:after="0" w:line="19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Abstentions</w:t>
      </w:r>
      <w:r>
        <w:rPr>
          <w:rFonts w:ascii="Arial" w:cs="Arial" w:eastAsia="Arial" w:hAnsi="Arial"/>
          <w:sz w:val="18"/>
          <w:szCs w:val="18"/>
          <w:color w:val="auto"/>
        </w:rPr>
        <w:t>: Under Delaware law (under which we are incorporated), abstentions are counted as shares present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or Proposal No. 4: The approval of the amendment and restatement of the Lucid Group, Inc. Amended and Restated 2021 Stock Incentive Plan.</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Votes to Withhold</w:t>
      </w:r>
      <w:r>
        <w:rPr>
          <w:rFonts w:ascii="Arial" w:cs="Arial" w:eastAsia="Arial" w:hAnsi="Arial"/>
          <w:sz w:val="18"/>
          <w:szCs w:val="18"/>
          <w:color w:val="auto"/>
        </w:rPr>
        <w:t>: For Proposal No. 1: Election of Directors, you may vote “For” all or some of the nominees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your vote with respect to one or more of the nominees. The eight nominees who receive the most “For” votes cast by the holders of shares either present at the Annual Meeting or represented by proxy will be elected to our Board.</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tabs>
          <w:tab w:leader="none" w:pos="103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w:t>
      </w:r>
    </w:p>
    <w:p>
      <w:pPr>
        <w:sectPr>
          <w:pgSz w:w="11880" w:h="15480" w:orient="portrait"/>
          <w:cols w:equalWidth="0" w:num="1">
            <w:col w:w="10420"/>
          </w:cols>
          <w:pgMar w:left="720" w:top="942" w:right="740" w:bottom="0" w:gutter="0" w:footer="0" w:header="0"/>
          <w:type w:val="continuous"/>
        </w:sectPr>
      </w:pPr>
    </w:p>
    <w:bookmarkStart w:id="11" w:name="page12"/>
    <w:bookmarkEnd w:id="11"/>
    <w:p>
      <w:pPr>
        <w:ind w:right="380"/>
        <w:spacing w:after="0" w:line="306" w:lineRule="auto"/>
        <w:rPr>
          <w:sz w:val="20"/>
          <w:szCs w:val="20"/>
          <w:color w:val="auto"/>
        </w:rPr>
      </w:pPr>
      <w:r>
        <w:rPr>
          <w:rFonts w:ascii="Arial" w:cs="Arial" w:eastAsia="Arial" w:hAnsi="Arial"/>
          <w:sz w:val="18"/>
          <w:szCs w:val="18"/>
          <w:color w:val="auto"/>
        </w:rPr>
        <w:t>Broker non-votes will have no effect on Proposal No. 1: Election of Directors. In an uncontested election, “Withhold” votes will not prevent a candidate from being elected.</w:t>
      </w:r>
    </w:p>
    <w:p>
      <w:pPr>
        <w:spacing w:after="0" w:line="213" w:lineRule="exact"/>
        <w:rPr>
          <w:sz w:val="20"/>
          <w:szCs w:val="20"/>
          <w:color w:val="auto"/>
        </w:rPr>
      </w:pPr>
    </w:p>
    <w:p>
      <w:pPr>
        <w:spacing w:after="0" w:line="295" w:lineRule="auto"/>
        <w:rPr>
          <w:sz w:val="20"/>
          <w:szCs w:val="20"/>
          <w:color w:val="auto"/>
        </w:rPr>
      </w:pPr>
      <w:r>
        <w:rPr>
          <w:rFonts w:ascii="Arial" w:cs="Arial" w:eastAsia="Arial" w:hAnsi="Arial"/>
          <w:sz w:val="18"/>
          <w:szCs w:val="18"/>
          <w:i w:val="1"/>
          <w:iCs w:val="1"/>
          <w:color w:val="auto"/>
        </w:rPr>
        <w:t>Broker Non-Votes</w:t>
      </w:r>
      <w:r>
        <w:rPr>
          <w:rFonts w:ascii="Arial" w:cs="Arial" w:eastAsia="Arial" w:hAnsi="Arial"/>
          <w:sz w:val="18"/>
          <w:szCs w:val="18"/>
          <w:color w:val="auto"/>
        </w:rPr>
        <w:t>: A “broker non-vote” occurs when a broker, bank or other nominee holding your shares in street name</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vote on a particular matter because you did not provide the broker, bank or other nominee voting instructions and the broker, bank or other nominee lacks discretionary voting authority to vote the shares because the matter is considered “non-routine.”. The “non-routine” matters on the agenda for the Annual Meeting are Proposal No. 1: Election of Directors, Proposal No. 3: The approval, on an advisory basis, of the compensation of our named executive officers and Proposal No. 4: The approval of the amendment and restatement of the Lucid Group, Inc. Amended and Restated 2021 Stock Incentive Plan.</w:t>
      </w:r>
    </w:p>
    <w:p>
      <w:pPr>
        <w:spacing w:after="0" w:line="200" w:lineRule="exact"/>
        <w:rPr>
          <w:sz w:val="20"/>
          <w:szCs w:val="20"/>
          <w:color w:val="auto"/>
        </w:rPr>
      </w:pPr>
    </w:p>
    <w:p>
      <w:pPr>
        <w:spacing w:after="0" w:line="27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auto"/>
        </w:rPr>
        <w:t>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and Proposal No. 4: The approval of the amendment and restatement of the Lucid Group, Inc. Amended and Restated 2021 Stock Incentive Plan.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w:t>
      </w:r>
    </w:p>
    <w:p>
      <w:pPr>
        <w:spacing w:after="0" w:line="200" w:lineRule="exact"/>
        <w:rPr>
          <w:sz w:val="20"/>
          <w:szCs w:val="20"/>
          <w:color w:val="auto"/>
        </w:rPr>
      </w:pPr>
    </w:p>
    <w:p>
      <w:pPr>
        <w:spacing w:after="0" w:line="276"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auto"/>
        </w:rPr>
        <w:t>The proposal to ratify the selection of KPMG LLP as our independent registered public accounting firm for the fiscal year ending December 31, 2025 is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HOW MANY VOTES ARE NEEDED TO APPROVE EACH PROPOSAL?</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7560" w:type="dxa"/>
            <w:vAlign w:val="bottom"/>
            <w:gridSpan w:val="2"/>
            <w:shd w:val="clear" w:color="auto" w:fill="000000"/>
          </w:tcPr>
          <w:p>
            <w:pPr>
              <w:ind w:left="180"/>
              <w:spacing w:after="0"/>
              <w:rPr>
                <w:sz w:val="20"/>
                <w:szCs w:val="20"/>
                <w:color w:val="auto"/>
              </w:rPr>
            </w:pPr>
            <w:r>
              <w:rPr>
                <w:rFonts w:ascii="Arial" w:cs="Arial" w:eastAsia="Arial" w:hAnsi="Arial"/>
                <w:sz w:val="14"/>
                <w:szCs w:val="14"/>
                <w:color w:val="FFFFFF"/>
              </w:rPr>
              <w:t>Proposal</w:t>
            </w:r>
          </w:p>
        </w:tc>
        <w:tc>
          <w:tcPr>
            <w:tcW w:w="1380" w:type="dxa"/>
            <w:vAlign w:val="bottom"/>
            <w:shd w:val="clear" w:color="auto" w:fill="000000"/>
          </w:tcPr>
          <w:p>
            <w:pPr>
              <w:ind w:left="260"/>
              <w:spacing w:after="0"/>
              <w:rPr>
                <w:sz w:val="20"/>
                <w:szCs w:val="20"/>
                <w:color w:val="auto"/>
              </w:rPr>
            </w:pPr>
            <w:r>
              <w:rPr>
                <w:rFonts w:ascii="Arial" w:cs="Arial" w:eastAsia="Arial" w:hAnsi="Arial"/>
                <w:sz w:val="14"/>
                <w:szCs w:val="14"/>
                <w:color w:val="FFFFFF"/>
              </w:rPr>
              <w:t>Vote Required</w:t>
            </w:r>
          </w:p>
        </w:tc>
        <w:tc>
          <w:tcPr>
            <w:tcW w:w="14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Discretionary</w:t>
            </w:r>
          </w:p>
        </w:tc>
      </w:tr>
      <w:tr>
        <w:trPr>
          <w:trHeight w:val="172"/>
        </w:trPr>
        <w:tc>
          <w:tcPr>
            <w:tcW w:w="400" w:type="dxa"/>
            <w:vAlign w:val="bottom"/>
            <w:shd w:val="clear" w:color="auto" w:fill="000000"/>
          </w:tcPr>
          <w:p>
            <w:pPr>
              <w:spacing w:after="0"/>
              <w:rPr>
                <w:sz w:val="14"/>
                <w:szCs w:val="14"/>
                <w:color w:val="auto"/>
              </w:rPr>
            </w:pPr>
          </w:p>
        </w:tc>
        <w:tc>
          <w:tcPr>
            <w:tcW w:w="7160" w:type="dxa"/>
            <w:vAlign w:val="bottom"/>
            <w:shd w:val="clear" w:color="auto" w:fill="000000"/>
          </w:tcPr>
          <w:p>
            <w:pPr>
              <w:spacing w:after="0"/>
              <w:rPr>
                <w:sz w:val="14"/>
                <w:szCs w:val="14"/>
                <w:color w:val="auto"/>
              </w:rPr>
            </w:pPr>
          </w:p>
        </w:tc>
        <w:tc>
          <w:tcPr>
            <w:tcW w:w="1380" w:type="dxa"/>
            <w:vAlign w:val="bottom"/>
            <w:shd w:val="clear" w:color="auto" w:fill="000000"/>
          </w:tcPr>
          <w:p>
            <w:pPr>
              <w:spacing w:after="0"/>
              <w:rPr>
                <w:sz w:val="14"/>
                <w:szCs w:val="14"/>
                <w:color w:val="auto"/>
              </w:rPr>
            </w:pPr>
          </w:p>
        </w:tc>
        <w:tc>
          <w:tcPr>
            <w:tcW w:w="14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Voting Allowed?</w:t>
            </w:r>
          </w:p>
        </w:tc>
      </w:tr>
      <w:tr>
        <w:trPr>
          <w:trHeight w:val="149"/>
        </w:trPr>
        <w:tc>
          <w:tcPr>
            <w:tcW w:w="400" w:type="dxa"/>
            <w:vAlign w:val="bottom"/>
            <w:shd w:val="clear" w:color="auto" w:fill="000000"/>
          </w:tcPr>
          <w:p>
            <w:pPr>
              <w:spacing w:after="0"/>
              <w:rPr>
                <w:sz w:val="12"/>
                <w:szCs w:val="12"/>
                <w:color w:val="auto"/>
              </w:rPr>
            </w:pPr>
          </w:p>
        </w:tc>
        <w:tc>
          <w:tcPr>
            <w:tcW w:w="7160" w:type="dxa"/>
            <w:vAlign w:val="bottom"/>
            <w:shd w:val="clear" w:color="auto" w:fill="000000"/>
          </w:tcPr>
          <w:p>
            <w:pPr>
              <w:spacing w:after="0"/>
              <w:rPr>
                <w:sz w:val="12"/>
                <w:szCs w:val="12"/>
                <w:color w:val="auto"/>
              </w:rPr>
            </w:pPr>
          </w:p>
        </w:tc>
        <w:tc>
          <w:tcPr>
            <w:tcW w:w="1380" w:type="dxa"/>
            <w:vAlign w:val="bottom"/>
            <w:shd w:val="clear" w:color="auto" w:fill="000000"/>
          </w:tcPr>
          <w:p>
            <w:pPr>
              <w:spacing w:after="0"/>
              <w:rPr>
                <w:sz w:val="12"/>
                <w:szCs w:val="12"/>
                <w:color w:val="auto"/>
              </w:rPr>
            </w:pPr>
          </w:p>
        </w:tc>
        <w:tc>
          <w:tcPr>
            <w:tcW w:w="1480" w:type="dxa"/>
            <w:vAlign w:val="bottom"/>
            <w:shd w:val="clear" w:color="auto" w:fill="000000"/>
          </w:tcPr>
          <w:p>
            <w:pPr>
              <w:spacing w:after="0"/>
              <w:rPr>
                <w:sz w:val="12"/>
                <w:szCs w:val="12"/>
                <w:color w:val="auto"/>
              </w:rPr>
            </w:pPr>
          </w:p>
        </w:tc>
      </w:tr>
      <w:tr>
        <w:trPr>
          <w:trHeight w:val="382"/>
        </w:trPr>
        <w:tc>
          <w:tcPr>
            <w:tcW w:w="400" w:type="dxa"/>
            <w:vAlign w:val="bottom"/>
          </w:tcPr>
          <w:p>
            <w:pPr>
              <w:ind w:left="180"/>
              <w:spacing w:after="0"/>
              <w:rPr>
                <w:sz w:val="20"/>
                <w:szCs w:val="20"/>
                <w:color w:val="auto"/>
              </w:rPr>
            </w:pPr>
            <w:r>
              <w:rPr>
                <w:rFonts w:ascii="Arial" w:cs="Arial" w:eastAsia="Arial" w:hAnsi="Arial"/>
                <w:sz w:val="22"/>
                <w:szCs w:val="22"/>
                <w:color w:val="auto"/>
              </w:rPr>
              <w:t>1</w:t>
            </w:r>
          </w:p>
        </w:tc>
        <w:tc>
          <w:tcPr>
            <w:tcW w:w="7160" w:type="dxa"/>
            <w:vAlign w:val="bottom"/>
          </w:tcPr>
          <w:p>
            <w:pPr>
              <w:ind w:left="100"/>
              <w:spacing w:after="0"/>
              <w:rPr>
                <w:sz w:val="20"/>
                <w:szCs w:val="20"/>
                <w:color w:val="auto"/>
              </w:rPr>
            </w:pPr>
            <w:r>
              <w:rPr>
                <w:rFonts w:ascii="Arial" w:cs="Arial" w:eastAsia="Arial" w:hAnsi="Arial"/>
                <w:sz w:val="16"/>
                <w:szCs w:val="16"/>
                <w:color w:val="auto"/>
              </w:rPr>
              <w:t>Election of Directors</w:t>
            </w:r>
          </w:p>
        </w:tc>
        <w:tc>
          <w:tcPr>
            <w:tcW w:w="1380" w:type="dxa"/>
            <w:vAlign w:val="bottom"/>
          </w:tcPr>
          <w:p>
            <w:pPr>
              <w:ind w:left="260"/>
              <w:spacing w:after="0"/>
              <w:rPr>
                <w:sz w:val="20"/>
                <w:szCs w:val="20"/>
                <w:color w:val="auto"/>
              </w:rPr>
            </w:pPr>
            <w:r>
              <w:rPr>
                <w:rFonts w:ascii="Arial" w:cs="Arial" w:eastAsia="Arial" w:hAnsi="Arial"/>
                <w:sz w:val="16"/>
                <w:szCs w:val="16"/>
                <w:color w:val="auto"/>
              </w:rPr>
              <w:t>Plurality</w:t>
            </w:r>
          </w:p>
        </w:tc>
        <w:tc>
          <w:tcPr>
            <w:tcW w:w="1480" w:type="dxa"/>
            <w:vAlign w:val="bottom"/>
          </w:tcPr>
          <w:p>
            <w:pPr>
              <w:ind w:left="120"/>
              <w:spacing w:after="0"/>
              <w:rPr>
                <w:sz w:val="20"/>
                <w:szCs w:val="20"/>
                <w:color w:val="auto"/>
              </w:rPr>
            </w:pPr>
            <w:r>
              <w:rPr>
                <w:rFonts w:ascii="Arial" w:cs="Arial" w:eastAsia="Arial" w:hAnsi="Arial"/>
                <w:sz w:val="16"/>
                <w:szCs w:val="16"/>
                <w:color w:val="auto"/>
              </w:rPr>
              <w:t>No</w:t>
            </w:r>
          </w:p>
        </w:tc>
      </w:tr>
      <w:tr>
        <w:trPr>
          <w:trHeight w:val="119"/>
        </w:trPr>
        <w:tc>
          <w:tcPr>
            <w:tcW w:w="40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360"/>
        </w:trPr>
        <w:tc>
          <w:tcPr>
            <w:tcW w:w="400" w:type="dxa"/>
            <w:vAlign w:val="bottom"/>
          </w:tcPr>
          <w:p>
            <w:pPr>
              <w:ind w:left="180"/>
              <w:spacing w:after="0"/>
              <w:rPr>
                <w:sz w:val="20"/>
                <w:szCs w:val="20"/>
                <w:color w:val="auto"/>
              </w:rPr>
            </w:pPr>
            <w:r>
              <w:rPr>
                <w:rFonts w:ascii="Arial" w:cs="Arial" w:eastAsia="Arial" w:hAnsi="Arial"/>
                <w:sz w:val="22"/>
                <w:szCs w:val="22"/>
                <w:color w:val="auto"/>
              </w:rPr>
              <w:t>2</w:t>
            </w:r>
          </w:p>
        </w:tc>
        <w:tc>
          <w:tcPr>
            <w:tcW w:w="7160" w:type="dxa"/>
            <w:vAlign w:val="bottom"/>
          </w:tcPr>
          <w:p>
            <w:pPr>
              <w:ind w:left="100"/>
              <w:spacing w:after="0"/>
              <w:rPr>
                <w:sz w:val="20"/>
                <w:szCs w:val="20"/>
                <w:color w:val="auto"/>
              </w:rPr>
            </w:pPr>
            <w:r>
              <w:rPr>
                <w:rFonts w:ascii="Arial" w:cs="Arial" w:eastAsia="Arial" w:hAnsi="Arial"/>
                <w:sz w:val="16"/>
                <w:szCs w:val="16"/>
                <w:color w:val="auto"/>
              </w:rPr>
              <w:t>Ratification of the Selection of the Independent Registered Public Accounting Firm</w:t>
            </w:r>
          </w:p>
        </w:tc>
        <w:tc>
          <w:tcPr>
            <w:tcW w:w="1380" w:type="dxa"/>
            <w:vAlign w:val="bottom"/>
          </w:tcPr>
          <w:p>
            <w:pPr>
              <w:ind w:left="260"/>
              <w:spacing w:after="0"/>
              <w:rPr>
                <w:sz w:val="20"/>
                <w:szCs w:val="20"/>
                <w:color w:val="auto"/>
              </w:rPr>
            </w:pPr>
            <w:r>
              <w:rPr>
                <w:rFonts w:ascii="Arial" w:cs="Arial" w:eastAsia="Arial" w:hAnsi="Arial"/>
                <w:sz w:val="16"/>
                <w:szCs w:val="16"/>
                <w:color w:val="auto"/>
              </w:rPr>
              <w:t>Majority Cast</w:t>
            </w:r>
          </w:p>
        </w:tc>
        <w:tc>
          <w:tcPr>
            <w:tcW w:w="1480" w:type="dxa"/>
            <w:vAlign w:val="bottom"/>
          </w:tcPr>
          <w:p>
            <w:pPr>
              <w:ind w:left="120"/>
              <w:spacing w:after="0"/>
              <w:rPr>
                <w:sz w:val="20"/>
                <w:szCs w:val="20"/>
                <w:color w:val="auto"/>
              </w:rPr>
            </w:pPr>
            <w:r>
              <w:rPr>
                <w:rFonts w:ascii="Arial" w:cs="Arial" w:eastAsia="Arial" w:hAnsi="Arial"/>
                <w:sz w:val="16"/>
                <w:szCs w:val="16"/>
                <w:color w:val="auto"/>
              </w:rPr>
              <w:t>Yes</w:t>
            </w:r>
          </w:p>
        </w:tc>
      </w:tr>
      <w:tr>
        <w:trPr>
          <w:trHeight w:val="119"/>
        </w:trPr>
        <w:tc>
          <w:tcPr>
            <w:tcW w:w="40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360"/>
        </w:trPr>
        <w:tc>
          <w:tcPr>
            <w:tcW w:w="400" w:type="dxa"/>
            <w:vAlign w:val="bottom"/>
          </w:tcPr>
          <w:p>
            <w:pPr>
              <w:ind w:left="180"/>
              <w:spacing w:after="0"/>
              <w:rPr>
                <w:sz w:val="20"/>
                <w:szCs w:val="20"/>
                <w:color w:val="auto"/>
              </w:rPr>
            </w:pPr>
            <w:r>
              <w:rPr>
                <w:rFonts w:ascii="Arial" w:cs="Arial" w:eastAsia="Arial" w:hAnsi="Arial"/>
                <w:sz w:val="22"/>
                <w:szCs w:val="22"/>
                <w:color w:val="auto"/>
              </w:rPr>
              <w:t>3</w:t>
            </w:r>
          </w:p>
        </w:tc>
        <w:tc>
          <w:tcPr>
            <w:tcW w:w="7160" w:type="dxa"/>
            <w:vAlign w:val="bottom"/>
          </w:tcPr>
          <w:p>
            <w:pPr>
              <w:ind w:left="100"/>
              <w:spacing w:after="0"/>
              <w:rPr>
                <w:sz w:val="20"/>
                <w:szCs w:val="20"/>
                <w:color w:val="auto"/>
              </w:rPr>
            </w:pPr>
            <w:r>
              <w:rPr>
                <w:rFonts w:ascii="Arial" w:cs="Arial" w:eastAsia="Arial" w:hAnsi="Arial"/>
                <w:sz w:val="16"/>
                <w:szCs w:val="16"/>
                <w:color w:val="auto"/>
              </w:rPr>
              <w:t>The approval, on an advisory basis, of the compensation of our named executive officers</w:t>
            </w:r>
          </w:p>
        </w:tc>
        <w:tc>
          <w:tcPr>
            <w:tcW w:w="1380" w:type="dxa"/>
            <w:vAlign w:val="bottom"/>
          </w:tcPr>
          <w:p>
            <w:pPr>
              <w:ind w:left="260"/>
              <w:spacing w:after="0"/>
              <w:rPr>
                <w:sz w:val="20"/>
                <w:szCs w:val="20"/>
                <w:color w:val="auto"/>
              </w:rPr>
            </w:pPr>
            <w:r>
              <w:rPr>
                <w:rFonts w:ascii="Arial" w:cs="Arial" w:eastAsia="Arial" w:hAnsi="Arial"/>
                <w:sz w:val="16"/>
                <w:szCs w:val="16"/>
                <w:color w:val="auto"/>
              </w:rPr>
              <w:t>Majority Cast</w:t>
            </w:r>
          </w:p>
        </w:tc>
        <w:tc>
          <w:tcPr>
            <w:tcW w:w="1480" w:type="dxa"/>
            <w:vAlign w:val="bottom"/>
          </w:tcPr>
          <w:p>
            <w:pPr>
              <w:ind w:left="120"/>
              <w:spacing w:after="0"/>
              <w:rPr>
                <w:sz w:val="20"/>
                <w:szCs w:val="20"/>
                <w:color w:val="auto"/>
              </w:rPr>
            </w:pPr>
            <w:r>
              <w:rPr>
                <w:rFonts w:ascii="Arial" w:cs="Arial" w:eastAsia="Arial" w:hAnsi="Arial"/>
                <w:sz w:val="16"/>
                <w:szCs w:val="16"/>
                <w:color w:val="auto"/>
              </w:rPr>
              <w:t>No</w:t>
            </w:r>
          </w:p>
        </w:tc>
      </w:tr>
      <w:tr>
        <w:trPr>
          <w:trHeight w:val="119"/>
        </w:trPr>
        <w:tc>
          <w:tcPr>
            <w:tcW w:w="40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87"/>
        </w:trPr>
        <w:tc>
          <w:tcPr>
            <w:tcW w:w="400" w:type="dxa"/>
            <w:vAlign w:val="bottom"/>
          </w:tcPr>
          <w:p>
            <w:pPr>
              <w:ind w:left="180"/>
              <w:spacing w:after="0"/>
              <w:rPr>
                <w:sz w:val="20"/>
                <w:szCs w:val="20"/>
                <w:color w:val="auto"/>
              </w:rPr>
            </w:pPr>
            <w:r>
              <w:rPr>
                <w:rFonts w:ascii="Arial" w:cs="Arial" w:eastAsia="Arial" w:hAnsi="Arial"/>
                <w:sz w:val="22"/>
                <w:szCs w:val="22"/>
                <w:color w:val="auto"/>
              </w:rPr>
              <w:t>4</w:t>
            </w:r>
          </w:p>
        </w:tc>
        <w:tc>
          <w:tcPr>
            <w:tcW w:w="7160" w:type="dxa"/>
            <w:vAlign w:val="bottom"/>
          </w:tcPr>
          <w:p>
            <w:pPr>
              <w:ind w:left="100"/>
              <w:spacing w:after="0"/>
              <w:rPr>
                <w:sz w:val="20"/>
                <w:szCs w:val="20"/>
                <w:color w:val="auto"/>
              </w:rPr>
            </w:pPr>
            <w:r>
              <w:rPr>
                <w:rFonts w:ascii="Arial" w:cs="Arial" w:eastAsia="Arial" w:hAnsi="Arial"/>
                <w:sz w:val="16"/>
                <w:szCs w:val="16"/>
                <w:color w:val="auto"/>
              </w:rPr>
              <w:t>The approval of the amendment and restatement of the Lucid Group, Inc. Amended and</w:t>
            </w:r>
          </w:p>
        </w:tc>
        <w:tc>
          <w:tcPr>
            <w:tcW w:w="1380" w:type="dxa"/>
            <w:vAlign w:val="bottom"/>
          </w:tcPr>
          <w:p>
            <w:pPr>
              <w:ind w:left="260"/>
              <w:spacing w:after="0"/>
              <w:rPr>
                <w:sz w:val="20"/>
                <w:szCs w:val="20"/>
                <w:color w:val="auto"/>
              </w:rPr>
            </w:pPr>
            <w:r>
              <w:rPr>
                <w:rFonts w:ascii="Arial" w:cs="Arial" w:eastAsia="Arial" w:hAnsi="Arial"/>
                <w:sz w:val="16"/>
                <w:szCs w:val="16"/>
                <w:color w:val="auto"/>
              </w:rPr>
              <w:t>Majority Cast</w:t>
            </w:r>
          </w:p>
        </w:tc>
        <w:tc>
          <w:tcPr>
            <w:tcW w:w="1480" w:type="dxa"/>
            <w:vAlign w:val="bottom"/>
          </w:tcPr>
          <w:p>
            <w:pPr>
              <w:ind w:left="120"/>
              <w:spacing w:after="0"/>
              <w:rPr>
                <w:sz w:val="20"/>
                <w:szCs w:val="20"/>
                <w:color w:val="auto"/>
              </w:rPr>
            </w:pPr>
            <w:r>
              <w:rPr>
                <w:rFonts w:ascii="Arial" w:cs="Arial" w:eastAsia="Arial" w:hAnsi="Arial"/>
                <w:sz w:val="16"/>
                <w:szCs w:val="16"/>
                <w:color w:val="auto"/>
              </w:rPr>
              <w:t>No</w:t>
            </w:r>
          </w:p>
        </w:tc>
      </w:tr>
      <w:tr>
        <w:trPr>
          <w:trHeight w:val="197"/>
        </w:trPr>
        <w:tc>
          <w:tcPr>
            <w:tcW w:w="40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Restated 2021 Stock Incentive Plan</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38"/>
        </w:trPr>
        <w:tc>
          <w:tcPr>
            <w:tcW w:w="400" w:type="dxa"/>
            <w:vAlign w:val="bottom"/>
            <w:tcBorders>
              <w:bottom w:val="single" w:sz="8" w:color="auto"/>
            </w:tcBorders>
          </w:tcPr>
          <w:p>
            <w:pPr>
              <w:spacing w:after="0"/>
              <w:rPr>
                <w:sz w:val="11"/>
                <w:szCs w:val="11"/>
                <w:color w:val="auto"/>
              </w:rPr>
            </w:pPr>
          </w:p>
        </w:tc>
        <w:tc>
          <w:tcPr>
            <w:tcW w:w="7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bl>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A “Plurality,” with regard to the election of directors, means that the eight nominees who receive the most “For” votes cast by the holders of shares either present at the Annual Meeting or represented by proxy will be elected to our Board. A “Majority Cast,” with regard to each of Proposal No.’s 2, 3 and 4 means that, to be approved, a majority of the votes cast on the proposal must be voted “For” the proposal.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193" w:lineRule="exact"/>
        <w:rPr>
          <w:sz w:val="20"/>
          <w:szCs w:val="20"/>
          <w:color w:val="auto"/>
        </w:rPr>
      </w:pPr>
    </w:p>
    <w:p>
      <w:pPr>
        <w:ind w:left="180" w:right="40"/>
        <w:spacing w:after="0" w:line="304" w:lineRule="auto"/>
        <w:rPr>
          <w:sz w:val="20"/>
          <w:szCs w:val="20"/>
          <w:color w:val="auto"/>
        </w:rPr>
      </w:pPr>
      <w:r>
        <w:rPr>
          <w:rFonts w:ascii="Arial" w:cs="Arial" w:eastAsia="Arial" w:hAnsi="Arial"/>
          <w:sz w:val="18"/>
          <w:szCs w:val="18"/>
          <w:color w:val="auto"/>
        </w:rPr>
        <w:t>Proposal No. 1: For the election of directors, the eight nominees receiving the most “For” votes from the holders of shares present at the Annual Meeting or represented by proxy and entitled to vote on Proposal No. 1 will be elected as directors to hold office until the 2026 Annual Meeting. Only votes “For” or “Withheld” will affect the outcome. Broker non-votes will have no effect.</w:t>
      </w:r>
    </w:p>
    <w:p>
      <w:pPr>
        <w:spacing w:after="0" w:line="368" w:lineRule="exact"/>
        <w:rPr>
          <w:sz w:val="20"/>
          <w:szCs w:val="20"/>
          <w:color w:val="auto"/>
        </w:rPr>
      </w:pPr>
    </w:p>
    <w:p>
      <w:pPr>
        <w:ind w:left="180"/>
        <w:spacing w:after="0" w:line="294" w:lineRule="auto"/>
        <w:rPr>
          <w:sz w:val="20"/>
          <w:szCs w:val="20"/>
          <w:color w:val="auto"/>
        </w:rPr>
      </w:pPr>
      <w:r>
        <w:rPr>
          <w:rFonts w:ascii="Arial" w:cs="Arial" w:eastAsia="Arial" w:hAnsi="Arial"/>
          <w:sz w:val="18"/>
          <w:szCs w:val="18"/>
          <w:color w:val="auto"/>
        </w:rPr>
        <w:t>Proposal No. 2: To be approved, a majority of the total votes cast on Proposal No. 2 must be voted “For” the ratification of the selection of KPMG LLP as our independent registered public accounting firm for the fiscal year ending December 31, 2025. Broker non-votes are not applicable with respect to Proposal No. 2 as brokers generally have discretion to vote uninstructed shares on this proposal. Abstentions will have no effect.</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12" w:name="page13"/>
    <w:bookmarkEnd w:id="12"/>
    <w:p>
      <w:pPr>
        <w:ind w:left="180" w:right="80"/>
        <w:spacing w:after="0" w:line="285" w:lineRule="auto"/>
        <w:rPr>
          <w:sz w:val="20"/>
          <w:szCs w:val="20"/>
          <w:color w:val="auto"/>
        </w:rPr>
      </w:pPr>
      <w:r>
        <w:rPr>
          <w:rFonts w:ascii="Arial" w:cs="Arial" w:eastAsia="Arial" w:hAnsi="Arial"/>
          <w:sz w:val="18"/>
          <w:szCs w:val="18"/>
          <w:color w:val="auto"/>
        </w:rPr>
        <w:t>Proposal No. 3: To be approved, a majority of the total votes cast on Proposal No. 3 must be voted “For” the approval, on an advisory basis, of the compensation of our named executive officers. Only votes “For” or “Against” will affect the outcome. Broker non-votes and abstentions will have no effect.</w:t>
      </w:r>
    </w:p>
    <w:p>
      <w:pPr>
        <w:spacing w:after="0" w:line="130" w:lineRule="exact"/>
        <w:rPr>
          <w:sz w:val="20"/>
          <w:szCs w:val="20"/>
          <w:color w:val="auto"/>
        </w:rPr>
      </w:pPr>
    </w:p>
    <w:p>
      <w:pPr>
        <w:ind w:left="180" w:right="40"/>
        <w:spacing w:after="0" w:line="285" w:lineRule="auto"/>
        <w:rPr>
          <w:sz w:val="20"/>
          <w:szCs w:val="20"/>
          <w:color w:val="auto"/>
        </w:rPr>
      </w:pPr>
      <w:r>
        <w:rPr>
          <w:rFonts w:ascii="Arial" w:cs="Arial" w:eastAsia="Arial" w:hAnsi="Arial"/>
          <w:sz w:val="18"/>
          <w:szCs w:val="18"/>
          <w:color w:val="auto"/>
        </w:rPr>
        <w:t>Proposal No. 4: To be approved, a majority of the total votes cast on Proposal No. 4 must be voted “For” the approval of the amendment and restatement of the Lucid Group, Inc. Amended and Restated 2021 Stock Incentive Plan. Only votes “For” or “Against” will affect the outcome. Broker non-votes and abstentions will have no effect.</w:t>
      </w:r>
    </w:p>
    <w:p>
      <w:pPr>
        <w:spacing w:after="0" w:line="222"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None of the proposals, if approved, entitles stockholders to appraisal rights under Delaware law or our certificate of incorporation.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WHAT IS THE QUORUM REQUIREMENT?</w:t>
      </w:r>
    </w:p>
    <w:p>
      <w:pPr>
        <w:spacing w:after="0" w:line="197"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an aggregate of 3,535,046,048 shares of Common Stock and Convertible Preferred Stock (on an as converted to Common Stock basis) outstanding and entitled to vote. Virtual attendance at our Annual Meeting constitutes “presence” for purposes of a quorum at the meeting.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shares will be counted toward the quorum only if you submit a valid proxy by mail, over the phone or through the internet (or one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If the adjournment is for more than 30 days, or if after that adjournment a new record date is fixed for the adjourned Annual Meeting, a notice of the adjourned Annual Meeting shall be given to each stockholder of record entitled to vote at the adjourned Annual Meeting.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HOW CAN I FIND OUT THE RESULTS OF THE VOTING AT THE ANNUAL MEETING?</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p>
    <w:p>
      <w:pPr>
        <w:spacing w:after="0" w:line="200" w:lineRule="exact"/>
        <w:rPr>
          <w:sz w:val="20"/>
          <w:szCs w:val="20"/>
          <w:color w:val="auto"/>
        </w:rPr>
      </w:pPr>
    </w:p>
    <w:p>
      <w:pPr>
        <w:spacing w:after="0" w:line="259"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color w:val="auto"/>
        </w:rPr>
        <w:t>If you have any questions or need assistance in voting your shares, please write to Lucid Investor Relations at investor@lucidmotors.com.</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3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w:t>
      </w:r>
    </w:p>
    <w:p>
      <w:pPr>
        <w:sectPr>
          <w:pgSz w:w="11880" w:h="15480" w:orient="portrait"/>
          <w:cols w:equalWidth="0" w:num="1">
            <w:col w:w="10420"/>
          </w:cols>
          <w:pgMar w:left="720" w:top="942" w:right="7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40"/>
          <w:szCs w:val="40"/>
          <w:color w:val="auto"/>
        </w:rPr>
        <w:t>Interest of Certain Persons in Matters to Be Acted Upon</w:t>
      </w:r>
    </w:p>
    <w:p>
      <w:pPr>
        <w:spacing w:after="0" w:line="200" w:lineRule="exact"/>
        <w:rPr>
          <w:sz w:val="20"/>
          <w:szCs w:val="20"/>
          <w:color w:val="auto"/>
        </w:rPr>
      </w:pPr>
    </w:p>
    <w:p>
      <w:pPr>
        <w:spacing w:after="0" w:line="246"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Employees and non-employee directors will be eligible to receive awards under the Lucid Group, Inc. Amended and Restated 2021 Stock Incentive Plan, including as amended and restated pursuant to Proposal No. 4. Accordingly, members of our Board (including as director nominees) and our executive officers have a substantial interest in the approval of the amendment and restatement of the Lucid Group, Inc. Amended and Restated 2021 Stock Incentive Plan. The tables below under “Outstanding Equity Awards at Fiscal Year-End” and “Director Compensation” provide information concerning all outstanding awards held by a named executive officer or director as of December 31, 2024, including, but not limited to, awards made under the Lucid Group, Inc. Amended and Restated 2021 Stock Incentive Plan.</w:t>
      </w:r>
    </w:p>
    <w:p>
      <w:pPr>
        <w:spacing w:after="0" w:line="22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Other than disclosed above, none of our directors, director nominees, or executive officers has any special interest in any matter to be voted upon other than election to the Board of Directors.</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914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PROPOSAL NO. 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Election of Directors</w:t>
      </w: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Board of Directors is currently composed of eight members. All directors are elected by the stockholders at each annual meeting to serve until the next annual meeting of stockholders. The current Board of Directors is comprised of Turqi Alnowaiser, Lisa M. Lambert, Andrew Liveris, Sherif Marakby, Nichelle Maynard-Elliott, Chabi Nouri, Ori Winitzer and Janet S. Wong. Mr. Marakby will not be standing for reelection at the Annual Meeting. The Board thanks Mr. Marakby for his years of valuable leadership and service to both the Company and the Board.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Nominating and Corporate Governance Committee of the Board has recommended, and the Board has approved, the nomination of Turqi Alnowaiser, Douglas Grimm, Lisa M. Lambert, Andrew Liveris, Nichelle Maynard-Elliott, Chabi Nouri, Ori Winitzer and Janet S. Wong, as directors for a one-year term expiring at the 2026 Annual Meeting and until their respective successors are duly elected and qualified, or, if sooner, until the director’s death, resignation or removal. Each of Mr. Alnowaiser, Ms. Lambert, Mr. Liveris, Ms. Maynard-Elliott, Ms. Nouri, Mr. Winitzer and Ms. Wong is currently a director of the Company. Directors are elected by a plurality of the votes of the holders of shares present or represented by proxy and entitled to vote on the election of directors. The eight nominees receiving the highest number of “For” votes will be elected.</w:t>
      </w:r>
    </w:p>
    <w:p>
      <w:pPr>
        <w:spacing w:after="0" w:line="200" w:lineRule="exact"/>
        <w:rPr>
          <w:sz w:val="20"/>
          <w:szCs w:val="20"/>
          <w:color w:val="auto"/>
        </w:rPr>
      </w:pP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CERTAIN STOCKHOLDER RIGHTS TO NOMINATE DIRECTORS</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Investor Rights Agreement, dated as of February 22, 2021 and as amended from time to time, by and among the Company, Ayar Third Investment Company (“Ayar”) and certain other parties (the “Investor Rights Agreement”), Ayar has the right to nominate five directors to our Board of Directors.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Ayar’s right to nominate directors to our Board of Directors is subject to its (and its permitted transferees’) continued beneficial ownership of our Common Stock, including shares of Common Stock issuable from outstanding Convertible Preferred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w:t>
      </w:r>
    </w:p>
    <w:p>
      <w:pPr>
        <w:sectPr>
          <w:pgSz w:w="11880" w:h="15480" w:orient="portrait"/>
          <w:cols w:equalWidth="0" w:num="1">
            <w:col w:w="10420"/>
          </w:cols>
          <w:pgMar w:left="720" w:top="1440" w:right="740" w:bottom="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tabs>
          <w:tab w:leader="none" w:pos="103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9</w:t>
      </w:r>
    </w:p>
    <w:p>
      <w:pPr>
        <w:sectPr>
          <w:pgSz w:w="11880" w:h="15480" w:orient="portrait"/>
          <w:cols w:equalWidth="0" w:num="1">
            <w:col w:w="10420"/>
          </w:cols>
          <w:pgMar w:left="720" w:top="1440" w:right="740" w:bottom="0" w:gutter="0" w:footer="0" w:header="0"/>
          <w:type w:val="continuous"/>
        </w:sectPr>
      </w:pPr>
    </w:p>
    <w:bookmarkStart w:id="15" w:name="page16"/>
    <w:bookmarkEnd w:id="15"/>
    <w:p>
      <w:pPr>
        <w:spacing w:after="0" w:line="279" w:lineRule="auto"/>
        <w:rPr>
          <w:sz w:val="20"/>
          <w:szCs w:val="20"/>
          <w:color w:val="auto"/>
        </w:rPr>
      </w:pPr>
      <w:r>
        <w:rPr>
          <w:rFonts w:ascii="Arial" w:cs="Arial" w:eastAsia="Arial" w:hAnsi="Arial"/>
          <w:sz w:val="18"/>
          <w:szCs w:val="18"/>
          <w:color w:val="auto"/>
        </w:rPr>
        <w:t>shares of our Common Stock issued and outstanding as of the record date of such annual or special meeting of stockholders, it has the right to nominate three directors; (iv) less than 30% but greater than or equal to 20% of the shares of our Common Stock issued and outstanding as of the record date of such annual or special meeting of stockholders, it has the right to nominate two directors; (v) less than 20% but greater than or equal to 10% of the shares of our Common Stock issued and outstanding as of the record date 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p>
    <w:p>
      <w:pPr>
        <w:spacing w:after="0" w:line="200" w:lineRule="exact"/>
        <w:rPr>
          <w:sz w:val="20"/>
          <w:szCs w:val="20"/>
          <w:color w:val="auto"/>
        </w:rPr>
      </w:pPr>
    </w:p>
    <w:p>
      <w:pPr>
        <w:spacing w:after="0" w:line="268"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1∕3%) of the Common Stock then issued and outstanding, Ayar has the right to have at least one Ayar director appointed to serve on each committee of the Board. For additional information, please see the section entitled “Certain Relationships and Related Party Transactions.” In accordance with the Investor Rights Agreement, Turqi Alnowaiser, Andrew Liveris, Douglas Grimm, Nichelle Maynard-Elliott and Ori Winitzer were designated for nomination by Ayar to the Board of Directors and nominated by the Nominating and Corporate Governance Committee and the Board.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NOMINEES FOR DIRECTOR</w:t>
      </w:r>
    </w:p>
    <w:p>
      <w:pPr>
        <w:spacing w:after="0" w:line="19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names and ages as of the date of this Proxy Statement of the nominees, length of service with the Company, and Board committee memberships are set forth in the table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600" w:type="dxa"/>
            <w:vAlign w:val="bottom"/>
            <w:shd w:val="clear" w:color="auto" w:fill="000000"/>
          </w:tcPr>
          <w:p>
            <w:pPr>
              <w:ind w:left="200"/>
              <w:spacing w:after="0"/>
              <w:rPr>
                <w:sz w:val="20"/>
                <w:szCs w:val="20"/>
                <w:color w:val="auto"/>
              </w:rPr>
            </w:pPr>
            <w:r>
              <w:rPr>
                <w:rFonts w:ascii="Arial" w:cs="Arial" w:eastAsia="Arial" w:hAnsi="Arial"/>
                <w:sz w:val="14"/>
                <w:szCs w:val="14"/>
                <w:color w:val="FFFFFF"/>
              </w:rPr>
              <w:t>Age</w:t>
            </w:r>
          </w:p>
        </w:tc>
        <w:tc>
          <w:tcPr>
            <w:tcW w:w="8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Director</w:t>
            </w:r>
          </w:p>
        </w:tc>
        <w:tc>
          <w:tcPr>
            <w:tcW w:w="7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Current</w:t>
            </w:r>
          </w:p>
        </w:tc>
        <w:tc>
          <w:tcPr>
            <w:tcW w:w="21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Independent   Audit</w:t>
            </w:r>
          </w:p>
        </w:tc>
        <w:tc>
          <w:tcPr>
            <w:tcW w:w="12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Compensation</w:t>
            </w:r>
          </w:p>
        </w:tc>
        <w:tc>
          <w:tcPr>
            <w:tcW w:w="10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Nominating</w:t>
            </w:r>
          </w:p>
        </w:tc>
        <w:tc>
          <w:tcPr>
            <w:tcW w:w="9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Executive</w:t>
            </w:r>
          </w:p>
        </w:tc>
        <w:tc>
          <w:tcPr>
            <w:tcW w:w="10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Public</w:t>
            </w:r>
          </w:p>
        </w:tc>
      </w:tr>
      <w:tr>
        <w:trPr>
          <w:trHeight w:val="160"/>
        </w:trPr>
        <w:tc>
          <w:tcPr>
            <w:tcW w:w="1800" w:type="dxa"/>
            <w:vAlign w:val="bottom"/>
            <w:shd w:val="clear" w:color="auto" w:fill="000000"/>
          </w:tcPr>
          <w:p>
            <w:pPr>
              <w:spacing w:after="0"/>
              <w:rPr>
                <w:sz w:val="13"/>
                <w:szCs w:val="13"/>
                <w:color w:val="auto"/>
              </w:rPr>
            </w:pPr>
          </w:p>
        </w:tc>
        <w:tc>
          <w:tcPr>
            <w:tcW w:w="600" w:type="dxa"/>
            <w:vAlign w:val="bottom"/>
            <w:shd w:val="clear" w:color="auto" w:fill="000000"/>
          </w:tcPr>
          <w:p>
            <w:pPr>
              <w:spacing w:after="0"/>
              <w:rPr>
                <w:sz w:val="13"/>
                <w:szCs w:val="13"/>
                <w:color w:val="auto"/>
              </w:rPr>
            </w:pPr>
          </w:p>
        </w:tc>
        <w:tc>
          <w:tcPr>
            <w:tcW w:w="8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Since</w:t>
            </w:r>
          </w:p>
        </w:tc>
        <w:tc>
          <w:tcPr>
            <w:tcW w:w="7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Term</w:t>
            </w:r>
          </w:p>
        </w:tc>
        <w:tc>
          <w:tcPr>
            <w:tcW w:w="2120" w:type="dxa"/>
            <w:vAlign w:val="bottom"/>
            <w:shd w:val="clear" w:color="auto" w:fill="000000"/>
          </w:tcPr>
          <w:p>
            <w:pPr>
              <w:ind w:left="1260"/>
              <w:spacing w:after="0" w:line="160" w:lineRule="exact"/>
              <w:rPr>
                <w:sz w:val="20"/>
                <w:szCs w:val="20"/>
                <w:color w:val="auto"/>
              </w:rPr>
            </w:pPr>
            <w:r>
              <w:rPr>
                <w:rFonts w:ascii="Arial" w:cs="Arial" w:eastAsia="Arial" w:hAnsi="Arial"/>
                <w:sz w:val="14"/>
                <w:szCs w:val="14"/>
                <w:color w:val="FFFFFF"/>
              </w:rPr>
              <w:t>Committee</w:t>
            </w:r>
          </w:p>
        </w:tc>
        <w:tc>
          <w:tcPr>
            <w:tcW w:w="12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and</w:t>
            </w:r>
          </w:p>
        </w:tc>
        <w:tc>
          <w:tcPr>
            <w:tcW w:w="10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and</w:t>
            </w:r>
          </w:p>
        </w:tc>
        <w:tc>
          <w:tcPr>
            <w:tcW w:w="9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Committee</w:t>
            </w:r>
          </w:p>
        </w:tc>
        <w:tc>
          <w:tcPr>
            <w:tcW w:w="10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Company</w:t>
            </w:r>
          </w:p>
        </w:tc>
      </w:tr>
      <w:tr>
        <w:trPr>
          <w:trHeight w:val="160"/>
        </w:trPr>
        <w:tc>
          <w:tcPr>
            <w:tcW w:w="1800" w:type="dxa"/>
            <w:vAlign w:val="bottom"/>
            <w:shd w:val="clear" w:color="auto" w:fill="000000"/>
          </w:tcPr>
          <w:p>
            <w:pPr>
              <w:spacing w:after="0"/>
              <w:rPr>
                <w:sz w:val="13"/>
                <w:szCs w:val="13"/>
                <w:color w:val="auto"/>
              </w:rPr>
            </w:pPr>
          </w:p>
        </w:tc>
        <w:tc>
          <w:tcPr>
            <w:tcW w:w="60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7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Expires</w:t>
            </w:r>
          </w:p>
        </w:tc>
        <w:tc>
          <w:tcPr>
            <w:tcW w:w="2120" w:type="dxa"/>
            <w:vAlign w:val="bottom"/>
            <w:shd w:val="clear" w:color="auto" w:fill="000000"/>
          </w:tcPr>
          <w:p>
            <w:pPr>
              <w:spacing w:after="0"/>
              <w:rPr>
                <w:sz w:val="13"/>
                <w:szCs w:val="13"/>
                <w:color w:val="auto"/>
              </w:rPr>
            </w:pPr>
          </w:p>
        </w:tc>
        <w:tc>
          <w:tcPr>
            <w:tcW w:w="12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Human</w:t>
            </w:r>
          </w:p>
        </w:tc>
        <w:tc>
          <w:tcPr>
            <w:tcW w:w="10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Corporate</w:t>
            </w:r>
          </w:p>
        </w:tc>
        <w:tc>
          <w:tcPr>
            <w:tcW w:w="980" w:type="dxa"/>
            <w:vAlign w:val="bottom"/>
            <w:shd w:val="clear" w:color="auto" w:fill="000000"/>
          </w:tcPr>
          <w:p>
            <w:pPr>
              <w:spacing w:after="0"/>
              <w:rPr>
                <w:sz w:val="13"/>
                <w:szCs w:val="13"/>
                <w:color w:val="auto"/>
              </w:rPr>
            </w:pPr>
          </w:p>
        </w:tc>
        <w:tc>
          <w:tcPr>
            <w:tcW w:w="10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Boards</w:t>
            </w:r>
          </w:p>
        </w:tc>
      </w:tr>
      <w:tr>
        <w:trPr>
          <w:trHeight w:val="160"/>
        </w:trPr>
        <w:tc>
          <w:tcPr>
            <w:tcW w:w="1800" w:type="dxa"/>
            <w:vAlign w:val="bottom"/>
            <w:shd w:val="clear" w:color="auto" w:fill="000000"/>
          </w:tcPr>
          <w:p>
            <w:pPr>
              <w:spacing w:after="0"/>
              <w:rPr>
                <w:sz w:val="13"/>
                <w:szCs w:val="13"/>
                <w:color w:val="auto"/>
              </w:rPr>
            </w:pPr>
          </w:p>
        </w:tc>
        <w:tc>
          <w:tcPr>
            <w:tcW w:w="60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2120" w:type="dxa"/>
            <w:vAlign w:val="bottom"/>
            <w:shd w:val="clear" w:color="auto" w:fill="000000"/>
          </w:tcPr>
          <w:p>
            <w:pPr>
              <w:spacing w:after="0"/>
              <w:rPr>
                <w:sz w:val="13"/>
                <w:szCs w:val="13"/>
                <w:color w:val="auto"/>
              </w:rPr>
            </w:pPr>
          </w:p>
        </w:tc>
        <w:tc>
          <w:tcPr>
            <w:tcW w:w="12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Capital</w:t>
            </w:r>
          </w:p>
        </w:tc>
        <w:tc>
          <w:tcPr>
            <w:tcW w:w="10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Governance</w:t>
            </w:r>
          </w:p>
        </w:tc>
        <w:tc>
          <w:tcPr>
            <w:tcW w:w="980" w:type="dxa"/>
            <w:vAlign w:val="bottom"/>
            <w:shd w:val="clear" w:color="auto" w:fill="000000"/>
          </w:tcPr>
          <w:p>
            <w:pPr>
              <w:spacing w:after="0"/>
              <w:rPr>
                <w:sz w:val="13"/>
                <w:szCs w:val="13"/>
                <w:color w:val="auto"/>
              </w:rPr>
            </w:pPr>
          </w:p>
        </w:tc>
        <w:tc>
          <w:tcPr>
            <w:tcW w:w="10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(including</w:t>
            </w:r>
          </w:p>
        </w:tc>
      </w:tr>
      <w:tr>
        <w:trPr>
          <w:trHeight w:val="172"/>
        </w:trPr>
        <w:tc>
          <w:tcPr>
            <w:tcW w:w="180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80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2120" w:type="dxa"/>
            <w:vAlign w:val="bottom"/>
            <w:shd w:val="clear" w:color="auto" w:fill="000000"/>
          </w:tcPr>
          <w:p>
            <w:pPr>
              <w:spacing w:after="0"/>
              <w:rPr>
                <w:sz w:val="14"/>
                <w:szCs w:val="14"/>
                <w:color w:val="auto"/>
              </w:rPr>
            </w:pPr>
          </w:p>
        </w:tc>
        <w:tc>
          <w:tcPr>
            <w:tcW w:w="12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Committee</w:t>
            </w:r>
          </w:p>
        </w:tc>
        <w:tc>
          <w:tcPr>
            <w:tcW w:w="10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Committee</w:t>
            </w:r>
          </w:p>
        </w:tc>
        <w:tc>
          <w:tcPr>
            <w:tcW w:w="980" w:type="dxa"/>
            <w:vAlign w:val="bottom"/>
            <w:shd w:val="clear" w:color="auto" w:fill="000000"/>
          </w:tcPr>
          <w:p>
            <w:pPr>
              <w:spacing w:after="0"/>
              <w:rPr>
                <w:sz w:val="14"/>
                <w:szCs w:val="14"/>
                <w:color w:val="auto"/>
              </w:rPr>
            </w:pPr>
          </w:p>
        </w:tc>
        <w:tc>
          <w:tcPr>
            <w:tcW w:w="10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Lucid)</w:t>
            </w:r>
          </w:p>
        </w:tc>
      </w:tr>
      <w:tr>
        <w:trPr>
          <w:trHeight w:val="148"/>
        </w:trPr>
        <w:tc>
          <w:tcPr>
            <w:tcW w:w="18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80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2120" w:type="dxa"/>
            <w:vAlign w:val="bottom"/>
            <w:shd w:val="clear" w:color="auto" w:fill="000000"/>
          </w:tcPr>
          <w:p>
            <w:pPr>
              <w:spacing w:after="0"/>
              <w:rPr>
                <w:sz w:val="12"/>
                <w:szCs w:val="12"/>
                <w:color w:val="auto"/>
              </w:rPr>
            </w:pPr>
          </w:p>
        </w:tc>
        <w:tc>
          <w:tcPr>
            <w:tcW w:w="124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r>
      <w:tr>
        <w:trPr>
          <w:trHeight w:val="326"/>
        </w:trPr>
        <w:tc>
          <w:tcPr>
            <w:tcW w:w="1800" w:type="dxa"/>
            <w:vAlign w:val="bottom"/>
          </w:tcPr>
          <w:p>
            <w:pPr>
              <w:ind w:left="180"/>
              <w:spacing w:after="0"/>
              <w:rPr>
                <w:sz w:val="20"/>
                <w:szCs w:val="20"/>
                <w:color w:val="auto"/>
              </w:rPr>
            </w:pPr>
            <w:r>
              <w:rPr>
                <w:rFonts w:ascii="Arial" w:cs="Arial" w:eastAsia="Arial" w:hAnsi="Arial"/>
                <w:sz w:val="16"/>
                <w:szCs w:val="16"/>
                <w:color w:val="auto"/>
              </w:rPr>
              <w:t>Turqi Alnowaiser*</w:t>
            </w:r>
          </w:p>
        </w:tc>
        <w:tc>
          <w:tcPr>
            <w:tcW w:w="600" w:type="dxa"/>
            <w:vAlign w:val="bottom"/>
          </w:tcPr>
          <w:p>
            <w:pPr>
              <w:ind w:left="200"/>
              <w:spacing w:after="0"/>
              <w:rPr>
                <w:sz w:val="20"/>
                <w:szCs w:val="20"/>
                <w:color w:val="auto"/>
              </w:rPr>
            </w:pPr>
            <w:r>
              <w:rPr>
                <w:rFonts w:ascii="Arial" w:cs="Arial" w:eastAsia="Arial" w:hAnsi="Arial"/>
                <w:sz w:val="16"/>
                <w:szCs w:val="16"/>
                <w:color w:val="auto"/>
              </w:rPr>
              <w:t>48</w:t>
            </w:r>
          </w:p>
        </w:tc>
        <w:tc>
          <w:tcPr>
            <w:tcW w:w="800" w:type="dxa"/>
            <w:vAlign w:val="bottom"/>
          </w:tcPr>
          <w:p>
            <w:pPr>
              <w:ind w:left="120"/>
              <w:spacing w:after="0"/>
              <w:rPr>
                <w:sz w:val="20"/>
                <w:szCs w:val="20"/>
                <w:color w:val="auto"/>
              </w:rPr>
            </w:pPr>
            <w:r>
              <w:rPr>
                <w:rFonts w:ascii="Arial" w:cs="Arial" w:eastAsia="Arial" w:hAnsi="Arial"/>
                <w:sz w:val="16"/>
                <w:szCs w:val="16"/>
                <w:color w:val="auto"/>
              </w:rPr>
              <w:t>2019</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6"/>
                <w:szCs w:val="16"/>
                <w:color w:val="auto"/>
              </w:rPr>
              <w:t>Chair</w:t>
            </w:r>
          </w:p>
        </w:tc>
        <w:tc>
          <w:tcPr>
            <w:tcW w:w="980" w:type="dxa"/>
            <w:vAlign w:val="bottom"/>
          </w:tcPr>
          <w:p>
            <w:pPr>
              <w:ind w:left="120"/>
              <w:spacing w:after="0"/>
              <w:rPr>
                <w:sz w:val="20"/>
                <w:szCs w:val="20"/>
                <w:color w:val="auto"/>
              </w:rPr>
            </w:pPr>
            <w:r>
              <w:rPr>
                <w:rFonts w:ascii="Arial" w:cs="Arial" w:eastAsia="Arial" w:hAnsi="Arial"/>
                <w:sz w:val="16"/>
                <w:szCs w:val="16"/>
                <w:color w:val="auto"/>
              </w:rPr>
              <w:t>Chair</w:t>
            </w:r>
          </w:p>
        </w:tc>
        <w:tc>
          <w:tcPr>
            <w:tcW w:w="1060" w:type="dxa"/>
            <w:vAlign w:val="bottom"/>
          </w:tcPr>
          <w:p>
            <w:pPr>
              <w:ind w:left="120"/>
              <w:spacing w:after="0"/>
              <w:rPr>
                <w:sz w:val="20"/>
                <w:szCs w:val="20"/>
                <w:color w:val="auto"/>
              </w:rPr>
            </w:pPr>
            <w:r>
              <w:rPr>
                <w:rFonts w:ascii="Arial" w:cs="Arial" w:eastAsia="Arial" w:hAnsi="Arial"/>
                <w:sz w:val="16"/>
                <w:szCs w:val="16"/>
                <w:color w:val="auto"/>
              </w:rPr>
              <w:t>3</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Douglas Grimm</w:t>
            </w:r>
          </w:p>
        </w:tc>
        <w:tc>
          <w:tcPr>
            <w:tcW w:w="600" w:type="dxa"/>
            <w:vAlign w:val="bottom"/>
          </w:tcPr>
          <w:p>
            <w:pPr>
              <w:ind w:left="200"/>
              <w:spacing w:after="0"/>
              <w:rPr>
                <w:sz w:val="20"/>
                <w:szCs w:val="20"/>
                <w:color w:val="auto"/>
              </w:rPr>
            </w:pPr>
            <w:r>
              <w:rPr>
                <w:rFonts w:ascii="Arial" w:cs="Arial" w:eastAsia="Arial" w:hAnsi="Arial"/>
                <w:sz w:val="16"/>
                <w:szCs w:val="16"/>
                <w:color w:val="auto"/>
              </w:rPr>
              <w:t>63</w:t>
            </w:r>
          </w:p>
        </w:tc>
        <w:tc>
          <w:tcPr>
            <w:tcW w:w="8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2</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Lisa M. Lambert</w:t>
            </w:r>
          </w:p>
        </w:tc>
        <w:tc>
          <w:tcPr>
            <w:tcW w:w="600" w:type="dxa"/>
            <w:vAlign w:val="bottom"/>
          </w:tcPr>
          <w:p>
            <w:pPr>
              <w:ind w:left="200"/>
              <w:spacing w:after="0"/>
              <w:rPr>
                <w:sz w:val="20"/>
                <w:szCs w:val="20"/>
                <w:color w:val="auto"/>
              </w:rPr>
            </w:pPr>
            <w:r>
              <w:rPr>
                <w:rFonts w:ascii="Arial" w:cs="Arial" w:eastAsia="Arial" w:hAnsi="Arial"/>
                <w:sz w:val="16"/>
                <w:szCs w:val="16"/>
                <w:color w:val="auto"/>
              </w:rPr>
              <w:t>57</w:t>
            </w:r>
          </w:p>
        </w:tc>
        <w:tc>
          <w:tcPr>
            <w:tcW w:w="800" w:type="dxa"/>
            <w:vAlign w:val="bottom"/>
          </w:tcPr>
          <w:p>
            <w:pPr>
              <w:ind w:left="120"/>
              <w:spacing w:after="0"/>
              <w:rPr>
                <w:sz w:val="20"/>
                <w:szCs w:val="20"/>
                <w:color w:val="auto"/>
              </w:rPr>
            </w:pPr>
            <w:r>
              <w:rPr>
                <w:rFonts w:ascii="Arial" w:cs="Arial" w:eastAsia="Arial" w:hAnsi="Arial"/>
                <w:sz w:val="16"/>
                <w:szCs w:val="16"/>
                <w:color w:val="auto"/>
              </w:rPr>
              <w:t>2024</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3</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Andrew Liveris</w:t>
            </w:r>
          </w:p>
        </w:tc>
        <w:tc>
          <w:tcPr>
            <w:tcW w:w="600" w:type="dxa"/>
            <w:vAlign w:val="bottom"/>
          </w:tcPr>
          <w:p>
            <w:pPr>
              <w:ind w:left="200"/>
              <w:spacing w:after="0"/>
              <w:rPr>
                <w:sz w:val="20"/>
                <w:szCs w:val="20"/>
                <w:color w:val="auto"/>
              </w:rPr>
            </w:pPr>
            <w:r>
              <w:rPr>
                <w:rFonts w:ascii="Arial" w:cs="Arial" w:eastAsia="Arial" w:hAnsi="Arial"/>
                <w:sz w:val="16"/>
                <w:szCs w:val="16"/>
                <w:color w:val="auto"/>
              </w:rPr>
              <w:t>70</w:t>
            </w:r>
          </w:p>
        </w:tc>
        <w:tc>
          <w:tcPr>
            <w:tcW w:w="800" w:type="dxa"/>
            <w:vAlign w:val="bottom"/>
          </w:tcPr>
          <w:p>
            <w:pPr>
              <w:ind w:left="120"/>
              <w:spacing w:after="0"/>
              <w:rPr>
                <w:sz w:val="20"/>
                <w:szCs w:val="20"/>
                <w:color w:val="auto"/>
              </w:rPr>
            </w:pPr>
            <w:r>
              <w:rPr>
                <w:rFonts w:ascii="Arial" w:cs="Arial" w:eastAsia="Arial" w:hAnsi="Arial"/>
                <w:sz w:val="16"/>
                <w:szCs w:val="16"/>
                <w:color w:val="auto"/>
              </w:rPr>
              <w:t>2019</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Chair</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4</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87"/>
        </w:trPr>
        <w:tc>
          <w:tcPr>
            <w:tcW w:w="1800" w:type="dxa"/>
            <w:vAlign w:val="bottom"/>
          </w:tcPr>
          <w:p>
            <w:pPr>
              <w:ind w:left="180"/>
              <w:spacing w:after="0"/>
              <w:rPr>
                <w:sz w:val="20"/>
                <w:szCs w:val="20"/>
                <w:color w:val="auto"/>
              </w:rPr>
            </w:pPr>
            <w:r>
              <w:rPr>
                <w:rFonts w:ascii="Arial" w:cs="Arial" w:eastAsia="Arial" w:hAnsi="Arial"/>
                <w:sz w:val="16"/>
                <w:szCs w:val="16"/>
                <w:color w:val="auto"/>
              </w:rPr>
              <w:t>Nichelle Maynard-</w:t>
            </w:r>
          </w:p>
        </w:tc>
        <w:tc>
          <w:tcPr>
            <w:tcW w:w="600" w:type="dxa"/>
            <w:vAlign w:val="bottom"/>
          </w:tcPr>
          <w:p>
            <w:pPr>
              <w:ind w:left="200"/>
              <w:spacing w:after="0"/>
              <w:rPr>
                <w:sz w:val="20"/>
                <w:szCs w:val="20"/>
                <w:color w:val="auto"/>
              </w:rPr>
            </w:pPr>
            <w:r>
              <w:rPr>
                <w:rFonts w:ascii="Arial" w:cs="Arial" w:eastAsia="Arial" w:hAnsi="Arial"/>
                <w:sz w:val="16"/>
                <w:szCs w:val="16"/>
                <w:color w:val="auto"/>
              </w:rPr>
              <w:t>56</w:t>
            </w:r>
          </w:p>
        </w:tc>
        <w:tc>
          <w:tcPr>
            <w:tcW w:w="800" w:type="dxa"/>
            <w:vAlign w:val="bottom"/>
          </w:tcPr>
          <w:p>
            <w:pPr>
              <w:ind w:left="120"/>
              <w:spacing w:after="0"/>
              <w:rPr>
                <w:sz w:val="20"/>
                <w:szCs w:val="20"/>
                <w:color w:val="auto"/>
              </w:rPr>
            </w:pPr>
            <w:r>
              <w:rPr>
                <w:rFonts w:ascii="Arial" w:cs="Arial" w:eastAsia="Arial" w:hAnsi="Arial"/>
                <w:sz w:val="16"/>
                <w:szCs w:val="16"/>
                <w:color w:val="auto"/>
              </w:rPr>
              <w:t>2021</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2</w:t>
            </w:r>
          </w:p>
        </w:tc>
      </w:tr>
      <w:tr>
        <w:trPr>
          <w:trHeight w:val="197"/>
        </w:trPr>
        <w:tc>
          <w:tcPr>
            <w:tcW w:w="1800" w:type="dxa"/>
            <w:vAlign w:val="bottom"/>
          </w:tcPr>
          <w:p>
            <w:pPr>
              <w:ind w:left="180"/>
              <w:spacing w:after="0"/>
              <w:rPr>
                <w:sz w:val="20"/>
                <w:szCs w:val="20"/>
                <w:color w:val="auto"/>
              </w:rPr>
            </w:pPr>
            <w:r>
              <w:rPr>
                <w:rFonts w:ascii="Arial" w:cs="Arial" w:eastAsia="Arial" w:hAnsi="Arial"/>
                <w:sz w:val="16"/>
                <w:szCs w:val="16"/>
                <w:color w:val="auto"/>
              </w:rPr>
              <w:t>Elliott</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35"/>
        </w:trPr>
        <w:tc>
          <w:tcPr>
            <w:tcW w:w="1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Chabi Nouri</w:t>
            </w:r>
          </w:p>
        </w:tc>
        <w:tc>
          <w:tcPr>
            <w:tcW w:w="600" w:type="dxa"/>
            <w:vAlign w:val="bottom"/>
          </w:tcPr>
          <w:p>
            <w:pPr>
              <w:ind w:left="200"/>
              <w:spacing w:after="0"/>
              <w:rPr>
                <w:sz w:val="20"/>
                <w:szCs w:val="20"/>
                <w:color w:val="auto"/>
              </w:rPr>
            </w:pPr>
            <w:r>
              <w:rPr>
                <w:rFonts w:ascii="Arial" w:cs="Arial" w:eastAsia="Arial" w:hAnsi="Arial"/>
                <w:sz w:val="16"/>
                <w:szCs w:val="16"/>
                <w:color w:val="auto"/>
              </w:rPr>
              <w:t>51</w:t>
            </w:r>
          </w:p>
        </w:tc>
        <w:tc>
          <w:tcPr>
            <w:tcW w:w="800" w:type="dxa"/>
            <w:vAlign w:val="bottom"/>
          </w:tcPr>
          <w:p>
            <w:pPr>
              <w:ind w:left="120"/>
              <w:spacing w:after="0"/>
              <w:rPr>
                <w:sz w:val="20"/>
                <w:szCs w:val="20"/>
                <w:color w:val="auto"/>
              </w:rPr>
            </w:pPr>
            <w:r>
              <w:rPr>
                <w:rFonts w:ascii="Arial" w:cs="Arial" w:eastAsia="Arial" w:hAnsi="Arial"/>
                <w:sz w:val="16"/>
                <w:szCs w:val="16"/>
                <w:color w:val="auto"/>
              </w:rPr>
              <w:t>2023</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2</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Ori Winitzer</w:t>
            </w:r>
          </w:p>
        </w:tc>
        <w:tc>
          <w:tcPr>
            <w:tcW w:w="600" w:type="dxa"/>
            <w:vAlign w:val="bottom"/>
          </w:tcPr>
          <w:p>
            <w:pPr>
              <w:ind w:left="200"/>
              <w:spacing w:after="0"/>
              <w:rPr>
                <w:sz w:val="20"/>
                <w:szCs w:val="20"/>
                <w:color w:val="auto"/>
              </w:rPr>
            </w:pPr>
            <w:r>
              <w:rPr>
                <w:rFonts w:ascii="Arial" w:cs="Arial" w:eastAsia="Arial" w:hAnsi="Arial"/>
                <w:sz w:val="16"/>
                <w:szCs w:val="16"/>
                <w:color w:val="auto"/>
              </w:rPr>
              <w:t>49</w:t>
            </w:r>
          </w:p>
        </w:tc>
        <w:tc>
          <w:tcPr>
            <w:tcW w:w="800" w:type="dxa"/>
            <w:vAlign w:val="bottom"/>
          </w:tcPr>
          <w:p>
            <w:pPr>
              <w:ind w:left="120"/>
              <w:spacing w:after="0"/>
              <w:rPr>
                <w:sz w:val="20"/>
                <w:szCs w:val="20"/>
                <w:color w:val="auto"/>
              </w:rPr>
            </w:pPr>
            <w:r>
              <w:rPr>
                <w:rFonts w:ascii="Arial" w:cs="Arial" w:eastAsia="Arial" w:hAnsi="Arial"/>
                <w:sz w:val="16"/>
                <w:szCs w:val="16"/>
                <w:color w:val="auto"/>
              </w:rPr>
              <w:t>2023</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1</w:t>
            </w:r>
          </w:p>
        </w:tc>
      </w:tr>
      <w:tr>
        <w:trPr>
          <w:trHeight w:val="195"/>
        </w:trPr>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304"/>
        </w:trPr>
        <w:tc>
          <w:tcPr>
            <w:tcW w:w="1800" w:type="dxa"/>
            <w:vAlign w:val="bottom"/>
          </w:tcPr>
          <w:p>
            <w:pPr>
              <w:ind w:left="180"/>
              <w:spacing w:after="0"/>
              <w:rPr>
                <w:sz w:val="20"/>
                <w:szCs w:val="20"/>
                <w:color w:val="auto"/>
              </w:rPr>
            </w:pPr>
            <w:r>
              <w:rPr>
                <w:rFonts w:ascii="Arial" w:cs="Arial" w:eastAsia="Arial" w:hAnsi="Arial"/>
                <w:sz w:val="16"/>
                <w:szCs w:val="16"/>
                <w:color w:val="auto"/>
              </w:rPr>
              <w:t>Janet S. Wong</w:t>
            </w:r>
          </w:p>
        </w:tc>
        <w:tc>
          <w:tcPr>
            <w:tcW w:w="600" w:type="dxa"/>
            <w:vAlign w:val="bottom"/>
          </w:tcPr>
          <w:p>
            <w:pPr>
              <w:ind w:left="200"/>
              <w:spacing w:after="0"/>
              <w:rPr>
                <w:sz w:val="20"/>
                <w:szCs w:val="20"/>
                <w:color w:val="auto"/>
              </w:rPr>
            </w:pPr>
            <w:r>
              <w:rPr>
                <w:rFonts w:ascii="Arial" w:cs="Arial" w:eastAsia="Arial" w:hAnsi="Arial"/>
                <w:sz w:val="16"/>
                <w:szCs w:val="16"/>
                <w:color w:val="auto"/>
              </w:rPr>
              <w:t>66</w:t>
            </w:r>
          </w:p>
        </w:tc>
        <w:tc>
          <w:tcPr>
            <w:tcW w:w="800" w:type="dxa"/>
            <w:vAlign w:val="bottom"/>
          </w:tcPr>
          <w:p>
            <w:pPr>
              <w:ind w:left="120"/>
              <w:spacing w:after="0"/>
              <w:rPr>
                <w:sz w:val="20"/>
                <w:szCs w:val="20"/>
                <w:color w:val="auto"/>
              </w:rPr>
            </w:pPr>
            <w:r>
              <w:rPr>
                <w:rFonts w:ascii="Arial" w:cs="Arial" w:eastAsia="Arial" w:hAnsi="Arial"/>
                <w:sz w:val="16"/>
                <w:szCs w:val="16"/>
                <w:color w:val="auto"/>
              </w:rPr>
              <w:t>2021</w:t>
            </w:r>
          </w:p>
        </w:tc>
        <w:tc>
          <w:tcPr>
            <w:tcW w:w="740" w:type="dxa"/>
            <w:vAlign w:val="bottom"/>
          </w:tcPr>
          <w:p>
            <w:pPr>
              <w:ind w:left="120"/>
              <w:spacing w:after="0"/>
              <w:rPr>
                <w:sz w:val="20"/>
                <w:szCs w:val="20"/>
                <w:color w:val="auto"/>
              </w:rPr>
            </w:pPr>
            <w:r>
              <w:rPr>
                <w:rFonts w:ascii="Arial" w:cs="Arial" w:eastAsia="Arial" w:hAnsi="Arial"/>
                <w:sz w:val="16"/>
                <w:szCs w:val="16"/>
                <w:color w:val="auto"/>
              </w:rPr>
              <w:t>2026</w:t>
            </w:r>
          </w:p>
        </w:tc>
        <w:tc>
          <w:tcPr>
            <w:tcW w:w="2120" w:type="dxa"/>
            <w:vAlign w:val="bottom"/>
          </w:tcPr>
          <w:p>
            <w:pPr>
              <w:ind w:left="1260"/>
              <w:spacing w:after="0"/>
              <w:rPr>
                <w:sz w:val="20"/>
                <w:szCs w:val="20"/>
                <w:color w:val="auto"/>
              </w:rPr>
            </w:pPr>
            <w:r>
              <w:rPr>
                <w:rFonts w:ascii="Arial" w:cs="Arial" w:eastAsia="Arial" w:hAnsi="Arial"/>
                <w:sz w:val="16"/>
                <w:szCs w:val="16"/>
                <w:color w:val="auto"/>
              </w:rPr>
              <w:t>Chair</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2</w:t>
            </w:r>
          </w:p>
        </w:tc>
      </w:tr>
      <w:tr>
        <w:trPr>
          <w:trHeight w:val="197"/>
        </w:trPr>
        <w:tc>
          <w:tcPr>
            <w:tcW w:w="1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-2609215</wp:posOffset>
            </wp:positionV>
            <wp:extent cx="108585" cy="119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-2279650</wp:posOffset>
            </wp:positionV>
            <wp:extent cx="108585" cy="119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-2279650</wp:posOffset>
            </wp:positionV>
            <wp:extent cx="108585" cy="119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-1950085</wp:posOffset>
            </wp:positionV>
            <wp:extent cx="108585" cy="119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-1950085</wp:posOffset>
            </wp:positionV>
            <wp:extent cx="108585" cy="119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-1620520</wp:posOffset>
            </wp:positionV>
            <wp:extent cx="108585" cy="119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-1620520</wp:posOffset>
            </wp:positionV>
            <wp:extent cx="108585" cy="119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-1290955</wp:posOffset>
            </wp:positionV>
            <wp:extent cx="108585" cy="119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-1290955</wp:posOffset>
            </wp:positionV>
            <wp:extent cx="108585" cy="119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-1290955</wp:posOffset>
            </wp:positionV>
            <wp:extent cx="108585" cy="119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-1290955</wp:posOffset>
            </wp:positionV>
            <wp:extent cx="108585" cy="119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-885825</wp:posOffset>
            </wp:positionV>
            <wp:extent cx="108585" cy="119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-885825</wp:posOffset>
            </wp:positionV>
            <wp:extent cx="108585" cy="119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-556260</wp:posOffset>
            </wp:positionV>
            <wp:extent cx="108585" cy="119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-556260</wp:posOffset>
            </wp:positionV>
            <wp:extent cx="108585" cy="119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-556260</wp:posOffset>
            </wp:positionV>
            <wp:extent cx="108585" cy="119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585" cy="11938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-226695</wp:posOffset>
            </wp:positionV>
            <wp:extent cx="108585" cy="119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585" cy="11938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auto"/>
        </w:rPr>
        <w:t>* Chairman of the Board</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16" w:name="page17"/>
    <w:bookmarkEnd w:id="16"/>
    <w:p>
      <w:pPr>
        <w:jc w:val="both"/>
        <w:ind w:right="20"/>
        <w:spacing w:after="0" w:line="296" w:lineRule="auto"/>
        <w:rPr>
          <w:sz w:val="20"/>
          <w:szCs w:val="20"/>
          <w:color w:val="auto"/>
        </w:rPr>
      </w:pPr>
      <w:r>
        <w:rPr>
          <w:rFonts w:ascii="Arial" w:cs="Arial" w:eastAsia="Arial" w:hAnsi="Arial"/>
          <w:sz w:val="18"/>
          <w:szCs w:val="18"/>
          <w:color w:val="auto"/>
        </w:rPr>
        <w:t>A brief biography of each nominee is set forth below, which includes information, as of the date of this Proxy Statement, regarding specific and particular experience, qualifications, attributes or skills of each nominee that led the Nominating and Corporate Governance Committee and the Board to believe that the nominee should serve on the Board: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NOMINEES</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Arial" w:cs="Arial" w:eastAsia="Arial" w:hAnsi="Arial"/>
          <w:sz w:val="24"/>
          <w:szCs w:val="24"/>
          <w:color w:val="auto"/>
        </w:rPr>
        <w:t>Turqi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-1898650</wp:posOffset>
            </wp:positionV>
            <wp:extent cx="1517650" cy="1517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1517650"/>
                    </a:xfrm>
                    <a:prstGeom prst="rect">
                      <a:avLst/>
                    </a:prstGeom>
                    <a:noFill/>
                  </pic:spPr>
                </pic:pic>
              </a:graphicData>
            </a:graphic>
          </wp:anchor>
        </w:drawing>
      </w:r>
    </w:p>
    <w:p>
      <w:pPr>
        <w:spacing w:after="0" w:line="162" w:lineRule="exact"/>
        <w:rPr>
          <w:sz w:val="20"/>
          <w:szCs w:val="20"/>
          <w:color w:val="auto"/>
        </w:rPr>
      </w:pPr>
    </w:p>
    <w:p>
      <w:pPr>
        <w:ind w:left="360" w:right="40"/>
        <w:spacing w:after="0" w:line="250" w:lineRule="auto"/>
        <w:rPr>
          <w:sz w:val="20"/>
          <w:szCs w:val="20"/>
          <w:color w:val="auto"/>
        </w:rPr>
      </w:pPr>
      <w:r>
        <w:rPr>
          <w:rFonts w:ascii="Arial" w:cs="Arial" w:eastAsia="Arial" w:hAnsi="Arial"/>
          <w:sz w:val="16"/>
          <w:szCs w:val="16"/>
          <w:color w:val="auto"/>
        </w:rPr>
        <w:t>Chairman of the Lucid Board of Directors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48</w:t>
      </w:r>
    </w:p>
    <w:p>
      <w:pPr>
        <w:ind w:left="360"/>
        <w:spacing w:after="0"/>
        <w:rPr>
          <w:sz w:val="20"/>
          <w:szCs w:val="20"/>
          <w:color w:val="auto"/>
        </w:rPr>
      </w:pPr>
      <w:r>
        <w:rPr>
          <w:rFonts w:ascii="Arial" w:cs="Arial" w:eastAsia="Arial" w:hAnsi="Arial"/>
          <w:sz w:val="16"/>
          <w:szCs w:val="16"/>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698500</wp:posOffset>
            </wp:positionV>
            <wp:extent cx="1545590" cy="1545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559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Arial" w:cs="Arial" w:eastAsia="Arial" w:hAnsi="Arial"/>
          <w:sz w:val="24"/>
          <w:szCs w:val="24"/>
          <w:color w:val="auto"/>
        </w:rPr>
        <w:t>Douglas Grimm</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Director Nominee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Turqi Alnowaiser has served as a member of our Board of Directors since April 2019 and as Chairman of our Board since April 2023. Mr. Alnowaiser has served as Deputy Governor and Head of the International Investments Division at the Public Investment Fund of the Kingdom of Saudi Arabia, one of the largest sovereign wealth funds in the world, since June 2021, and has served as Head of International Investments at the Public Investment Fund since October 2016.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Alnowaiser has served on the board of directors of Uber Technologies, Inc., a technology platform that uses massive network to power movement from point A to point B, since November 2023 and Hapag-Lloyd AG, an international shipping and container transportation company, since February 2018.</w:t>
      </w:r>
    </w:p>
    <w:p>
      <w:pPr>
        <w:spacing w:after="0" w:line="97" w:lineRule="exact"/>
        <w:rPr>
          <w:sz w:val="20"/>
          <w:szCs w:val="20"/>
          <w:color w:val="auto"/>
        </w:rPr>
      </w:pPr>
    </w:p>
    <w:p>
      <w:pPr>
        <w:ind w:right="580"/>
        <w:spacing w:after="0" w:line="248" w:lineRule="auto"/>
        <w:rPr>
          <w:sz w:val="20"/>
          <w:szCs w:val="20"/>
          <w:color w:val="auto"/>
        </w:rPr>
      </w:pPr>
      <w:r>
        <w:rPr>
          <w:rFonts w:ascii="Arial" w:cs="Arial" w:eastAsia="Arial" w:hAnsi="Arial"/>
          <w:sz w:val="17"/>
          <w:szCs w:val="17"/>
          <w:color w:val="auto"/>
        </w:rPr>
        <w:t>Mr. Alnowaiser holds a B.A. in International Business from King Saud University and an M.B.A. from the University of San Francisco.</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We believe Mr. Alnowaiser is qualified to serve as a director due to his extensive investing experience, his leading global enterprises, and his experience in overseeing Lucid’s growth as Chairman of our Board of Directors.</w:t>
      </w:r>
    </w:p>
    <w:p>
      <w:pPr>
        <w:spacing w:after="0" w:line="200" w:lineRule="exact"/>
        <w:rPr>
          <w:sz w:val="20"/>
          <w:szCs w:val="20"/>
          <w:color w:val="auto"/>
        </w:rPr>
      </w:pPr>
    </w:p>
    <w:p>
      <w:pPr>
        <w:spacing w:after="0" w:line="229"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Douglas Grimm has served as the Chief Executive Officer of V-to-X, LLC, which is focused on advising and investing in the mobility sector, since April 2017. From December 2015 to April 2017, Mr. Grimm served as President and Chief Operating Officer of Metaldyne Performance Group, Inc., a global provider of components for use in vehicle engine, transmission, powertrain and safety systems. Previously, from January 2008, Mr. Grimm co-founded and served as Chairman, President, and CEO of Grede Holdings LLC and its predecessor, Citation Corporation, and from August 2014, he held the position of Co-President during the merger of Grede Holdings LLC, HHI Group Holdings, and Metaldyne LLC, all of which were prominent automotive suppliers. Prior to that, from 2006 to 2008, Mr. Grimm served as Vice President — Global Ford, Materials Management, Powertrain Electronics &amp; Fuel Operations at Visteon Corporation, a global automotive electronics supplier. Before Visteon Corporation, from 2001 to 2006, Mr. Grimm served as Vice President at Metaldyne LLC in various executive roles, including Commercial Operations, General Manager of Forging and Casting Operations, overseeing global purchasing and quality. Before Metaldyne, from 1994 to 2001, Mr. Grimm was with Dana Corporation, a supplier of fully integrated drivetrain and electrified propulsion systems for passenger vehicles, serving in several executive positions, including Vice</w:t>
      </w:r>
    </w:p>
    <w:p>
      <w:pPr>
        <w:spacing w:after="0" w:line="86"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President — Global Strategic Sourcing. Prior to that, he spent 10 years at Chrysler Corporation in progressively responsible management roles. Mr. Grimm serves as Chairman of the Board of Blue Bird Corporation, a manufacturer of school buses, and Electrical Components International, Inc., a supplier of electrical distribution systems, control box assemblies and other electrical components, and director of Lumileds, an automative lighting company, and Pangea Corporation, an automative leather supplier. Mr. Grimm holds a B.A. degree in Economics and Management from Hiram College, and an M.B.A. degree from the University of Detroit.</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740"/>
        <w:spacing w:after="0" w:line="248" w:lineRule="auto"/>
        <w:rPr>
          <w:sz w:val="20"/>
          <w:szCs w:val="20"/>
          <w:color w:val="auto"/>
        </w:rPr>
      </w:pPr>
      <w:r>
        <w:rPr>
          <w:rFonts w:ascii="Arial" w:cs="Arial" w:eastAsia="Arial" w:hAnsi="Arial"/>
          <w:sz w:val="17"/>
          <w:szCs w:val="17"/>
          <w:color w:val="auto"/>
        </w:rPr>
        <w:t>Mr. Grimm has been selected to serve on our board of directors based on his extensive executive experience in the automotive industry.</w:t>
      </w:r>
    </w:p>
    <w:p>
      <w:pPr>
        <w:spacing w:after="0" w:line="200" w:lineRule="exact"/>
        <w:rPr>
          <w:sz w:val="20"/>
          <w:szCs w:val="20"/>
          <w:color w:val="auto"/>
        </w:rPr>
      </w:pPr>
    </w:p>
    <w:p>
      <w:pPr>
        <w:sectPr>
          <w:pgSz w:w="11880" w:h="15480" w:orient="portrait"/>
          <w:cols w:equalWidth="0" w:num="2">
            <w:col w:w="2760" w:space="720"/>
            <w:col w:w="6940"/>
          </w:cols>
          <w:pgMar w:left="720" w:top="943"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11</w:t>
      </w:r>
    </w:p>
    <w:p>
      <w:pPr>
        <w:sectPr>
          <w:pgSz w:w="11880" w:h="15480" w:orient="portrait"/>
          <w:cols w:equalWidth="0" w:num="1">
            <w:col w:w="10420"/>
          </w:cols>
          <w:pgMar w:left="720" w:top="943" w:right="74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684530</wp:posOffset>
            </wp:positionH>
            <wp:positionV relativeFrom="page">
              <wp:posOffset>862330</wp:posOffset>
            </wp:positionV>
            <wp:extent cx="1545590" cy="1545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4559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24"/>
          <w:szCs w:val="24"/>
          <w:color w:val="auto"/>
        </w:rPr>
        <w:t>Lisa M. Lambert</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57</w:t>
      </w:r>
    </w:p>
    <w:p>
      <w:pPr>
        <w:ind w:left="360"/>
        <w:spacing w:after="0"/>
        <w:rPr>
          <w:sz w:val="20"/>
          <w:szCs w:val="20"/>
          <w:color w:val="auto"/>
        </w:rPr>
      </w:pPr>
      <w:r>
        <w:rPr>
          <w:rFonts w:ascii="Arial" w:cs="Arial" w:eastAsia="Arial" w:hAnsi="Arial"/>
          <w:sz w:val="16"/>
          <w:szCs w:val="16"/>
          <w:color w:val="auto"/>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2016760</wp:posOffset>
            </wp:positionV>
            <wp:extent cx="1544320" cy="154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4320" cy="154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Arial" w:cs="Arial" w:eastAsia="Arial" w:hAnsi="Arial"/>
          <w:sz w:val="24"/>
          <w:szCs w:val="24"/>
          <w:color w:val="auto"/>
        </w:rPr>
        <w:t>Andrew Liveris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70</w:t>
      </w:r>
    </w:p>
    <w:p>
      <w:pPr>
        <w:ind w:left="360"/>
        <w:spacing w:after="0"/>
        <w:rPr>
          <w:sz w:val="20"/>
          <w:szCs w:val="20"/>
          <w:color w:val="auto"/>
        </w:rPr>
      </w:pPr>
      <w:r>
        <w:rPr>
          <w:rFonts w:ascii="Arial" w:cs="Arial" w:eastAsia="Arial" w:hAnsi="Arial"/>
          <w:sz w:val="16"/>
          <w:szCs w:val="16"/>
          <w:color w:val="auto"/>
        </w:rPr>
        <w:t>Director Since: 2019</w:t>
      </w:r>
    </w:p>
    <w:p>
      <w:pPr>
        <w:spacing w:after="0" w:line="20" w:lineRule="exact"/>
        <w:rPr>
          <w:sz w:val="20"/>
          <w:szCs w:val="20"/>
          <w:color w:val="auto"/>
        </w:rPr>
      </w:pPr>
      <w:r>
        <w:rPr>
          <w:sz w:val="20"/>
          <w:szCs w:val="20"/>
          <w:color w:val="auto"/>
        </w:rPr>
        <w:br w:type="column"/>
      </w:r>
    </w:p>
    <w:p>
      <w:pPr>
        <w:ind w:right="540"/>
        <w:spacing w:after="0" w:line="233" w:lineRule="auto"/>
        <w:rPr>
          <w:sz w:val="20"/>
          <w:szCs w:val="20"/>
          <w:color w:val="auto"/>
        </w:rPr>
      </w:pPr>
      <w:r>
        <w:rPr>
          <w:rFonts w:ascii="Arial" w:cs="Arial" w:eastAsia="Arial" w:hAnsi="Arial"/>
          <w:sz w:val="17"/>
          <w:szCs w:val="17"/>
          <w:color w:val="auto"/>
        </w:rPr>
        <w:t>Lisa M. Lambert has served as a member of our Board of Directors since April 2024. Ms. Lambert has served as Chief Investment Officer of Private Markets of George Kaiser Family Foundation, a charitable organization, since December 2023. Between July 2023 and November 2023, Ms. Lambert served as Interim Chief Executive Officer of Vital Energy Technology, an entity commercializing digital technologies invented by Vital Energy, Inc., an independent energy company. Between January 2018 and July 2023,</w:t>
      </w:r>
    </w:p>
    <w:p>
      <w:pPr>
        <w:ind w:right="380"/>
        <w:spacing w:after="0"/>
        <w:rPr>
          <w:sz w:val="20"/>
          <w:szCs w:val="20"/>
          <w:color w:val="auto"/>
        </w:rPr>
      </w:pPr>
      <w:r>
        <w:rPr>
          <w:rFonts w:ascii="Arial" w:cs="Arial" w:eastAsia="Arial" w:hAnsi="Arial"/>
          <w:sz w:val="17"/>
          <w:szCs w:val="17"/>
          <w:color w:val="auto"/>
        </w:rPr>
        <w:t>Ms. Lambert served as Chief Technology and Innovation Officer at National Grid Plc, a multinational electricity and gas utility company, and as Founder and President of National Grid Partners, the venture and innovation arm of National Grid plc. Prior to that, she served as the Managing Partner of the Westly Group, a venture capital company, from May 2016 to January 2018. Between June 1997 and May 2016, Ms. Lambert served in various leadership positions at Intel Corporation, a multinational technology corporation, including as Vice President and Managing Director of the Software and Services Fund for Intel Capital, the investment arm of Intel Corporation, and as Founder and Managing Director of the Intel Capital Diversity Fund, which invests in technology startups. She has served on the board of directors of Vital Energy, Inc. since August 2020, and UL Solutions, Inc., a global private safety company, since July 2021. Ms. Lambert has served on the board of directors for several private companies associated with her investment responsibilities, mostly recently on the board of directors for Cyolo, a cybersecurity startup, from June 2022 to June 2023, Pathr.ai, a spacial intelligence startup, from April 2021 to June 2023, and Pixeom, a software-defined edge computing platform, from December 2018 to November 2019. Ms. Lambert is the founder and chair of UPWARD, a non-profit advancing the careers of executive women. Ms. Lambert holds a B.S. in management information systems from Pennsylvania State University and an M.B.A. from Harvard University.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We believe Ms. Lambert is qualified to serve as a director due to her extensive experience overseeing a wide range of public companies and her deep financial knowledge.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Andrew Liveris has served as a member of our Board of Directors since</w:t>
      </w:r>
    </w:p>
    <w:p>
      <w:pPr>
        <w:ind w:right="380"/>
        <w:spacing w:after="0"/>
        <w:rPr>
          <w:sz w:val="20"/>
          <w:szCs w:val="20"/>
          <w:color w:val="auto"/>
        </w:rPr>
      </w:pPr>
      <w:r>
        <w:rPr>
          <w:rFonts w:ascii="Arial" w:cs="Arial" w:eastAsia="Arial" w:hAnsi="Arial"/>
          <w:sz w:val="17"/>
          <w:szCs w:val="17"/>
          <w:color w:val="auto"/>
        </w:rPr>
        <w:t>April 2019. Previously, Mr. Liveris served as the Chairman and Chief Executive Officer of The Dow Chemical Company, a chemical corporation, from November 2004 to September 2017, when he transitioned to the Executive Chairman of Dow DuPont Inc., a position he held until his retirement in July 2018. Mr. Liveris has served on the boards of directors of International Business Machines Corp., a technology company, since 2010, Saudi Aramco, an integrated energy and chemicals company, since 2018, and WorleyParsons Limited, an engineering company, since September 2018. He is also on the advisory board of NEOM, an initiative driven by Saudi Vision 2030. Furthermore, Mr. Liveris was appointed as the President of the 2032 Brisbane Olympics and Paralympic Games Organizing Committee. Mr. Liveris holds a B.S. in Chemical Engineering from the University of Queensland and received an honorary Ph.D. in Science from his alma mater in 2005.</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440"/>
        <w:spacing w:after="0" w:line="237" w:lineRule="auto"/>
        <w:rPr>
          <w:sz w:val="20"/>
          <w:szCs w:val="20"/>
          <w:color w:val="auto"/>
        </w:rPr>
      </w:pPr>
      <w:r>
        <w:rPr>
          <w:rFonts w:ascii="Arial" w:cs="Arial" w:eastAsia="Arial" w:hAnsi="Arial"/>
          <w:sz w:val="17"/>
          <w:szCs w:val="17"/>
          <w:color w:val="auto"/>
        </w:rPr>
        <w:t>We believe Mr. Liveris is qualified to serve as a director due to his decades of experience leading and overseeing large, complex global industrial enterprises, his knowledge of the technology, energy and chemical sectors, his extensive public policy expertise and his experience overseeing our growth as a member of our Board of Directors since 2019.</w:t>
      </w:r>
    </w:p>
    <w:p>
      <w:pPr>
        <w:spacing w:after="0" w:line="200" w:lineRule="exact"/>
        <w:rPr>
          <w:sz w:val="20"/>
          <w:szCs w:val="20"/>
          <w:color w:val="auto"/>
        </w:rPr>
      </w:pPr>
    </w:p>
    <w:p>
      <w:pPr>
        <w:sectPr>
          <w:pgSz w:w="11880" w:h="15480" w:orient="portrait"/>
          <w:cols w:equalWidth="0" w:num="2">
            <w:col w:w="2760" w:space="720"/>
            <w:col w:w="6940"/>
          </w:cols>
          <w:pgMar w:left="720" w:top="131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311" w:right="74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690880</wp:posOffset>
            </wp:positionH>
            <wp:positionV relativeFrom="page">
              <wp:posOffset>862330</wp:posOffset>
            </wp:positionV>
            <wp:extent cx="1545590" cy="1545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54559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right="260"/>
        <w:spacing w:after="0" w:line="259" w:lineRule="auto"/>
        <w:rPr>
          <w:sz w:val="20"/>
          <w:szCs w:val="20"/>
          <w:color w:val="auto"/>
        </w:rPr>
      </w:pPr>
      <w:r>
        <w:rPr>
          <w:rFonts w:ascii="Arial" w:cs="Arial" w:eastAsia="Arial" w:hAnsi="Arial"/>
          <w:sz w:val="24"/>
          <w:szCs w:val="24"/>
          <w:color w:val="auto"/>
        </w:rPr>
        <w:t>Nichelle Maynard-Elliott</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56</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460375</wp:posOffset>
            </wp:positionV>
            <wp:extent cx="1548130" cy="1548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8130"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spacing w:after="0"/>
        <w:rPr>
          <w:sz w:val="20"/>
          <w:szCs w:val="20"/>
          <w:color w:val="auto"/>
        </w:rPr>
      </w:pPr>
      <w:r>
        <w:rPr>
          <w:rFonts w:ascii="Arial" w:cs="Arial" w:eastAsia="Arial" w:hAnsi="Arial"/>
          <w:sz w:val="24"/>
          <w:szCs w:val="24"/>
          <w:color w:val="auto"/>
        </w:rPr>
        <w:t>Chabi Nouri</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Director Since: 2023</w:t>
      </w:r>
    </w:p>
    <w:p>
      <w:pPr>
        <w:spacing w:after="0" w:line="20" w:lineRule="exact"/>
        <w:rPr>
          <w:sz w:val="20"/>
          <w:szCs w:val="20"/>
          <w:color w:val="auto"/>
        </w:rPr>
      </w:pPr>
      <w:r>
        <w:rPr>
          <w:sz w:val="20"/>
          <w:szCs w:val="20"/>
          <w:color w:val="auto"/>
        </w:rPr>
        <w:br w:type="column"/>
      </w:r>
    </w:p>
    <w:p>
      <w:pPr>
        <w:ind w:right="460"/>
        <w:spacing w:after="0" w:line="232" w:lineRule="auto"/>
        <w:rPr>
          <w:sz w:val="20"/>
          <w:szCs w:val="20"/>
          <w:color w:val="auto"/>
        </w:rPr>
      </w:pPr>
      <w:r>
        <w:rPr>
          <w:rFonts w:ascii="Arial" w:cs="Arial" w:eastAsia="Arial" w:hAnsi="Arial"/>
          <w:sz w:val="17"/>
          <w:szCs w:val="17"/>
          <w:color w:val="auto"/>
        </w:rPr>
        <w:t>Nichelle Maynard-Elliott has been a member of our Board of Directors since July 2021. Ms. Maynard-Elliott has served as the Founder and CEO of Dunamis Transaction Advisors LLC, a consultancy firm, since November 2019.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on the board of directors of Xerox Holdings Corporation, a workplace technology company, since May 2021, and served as a director of Element Solutions Inc., a specialty chemicals company, from August 2018 to June 2024. Ms. Maynard-Elliott has served as trustee of The Advisors’ Inner Circle Fund III, including four of its affiliated funds and director of Chiron Capital Allocation Fund Ltd. since</w:t>
      </w:r>
    </w:p>
    <w:p>
      <w:pPr>
        <w:spacing w:after="0" w:line="9" w:lineRule="exact"/>
        <w:rPr>
          <w:sz w:val="20"/>
          <w:szCs w:val="20"/>
          <w:color w:val="auto"/>
        </w:rPr>
      </w:pPr>
    </w:p>
    <w:p>
      <w:pPr>
        <w:ind w:right="480"/>
        <w:spacing w:after="0" w:line="248" w:lineRule="auto"/>
        <w:rPr>
          <w:sz w:val="20"/>
          <w:szCs w:val="20"/>
          <w:color w:val="auto"/>
        </w:rPr>
      </w:pPr>
      <w:r>
        <w:rPr>
          <w:rFonts w:ascii="Arial" w:cs="Arial" w:eastAsia="Arial" w:hAnsi="Arial"/>
          <w:sz w:val="17"/>
          <w:szCs w:val="17"/>
          <w:color w:val="auto"/>
        </w:rPr>
        <w:t>June 2021. She holds a B.A. in Economics from Brown University and a J.D. from Columbia University School of Law.</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500"/>
        <w:spacing w:after="0" w:line="238" w:lineRule="auto"/>
        <w:rPr>
          <w:sz w:val="20"/>
          <w:szCs w:val="20"/>
          <w:color w:val="auto"/>
        </w:rPr>
      </w:pPr>
      <w:r>
        <w:rPr>
          <w:rFonts w:ascii="Arial" w:cs="Arial" w:eastAsia="Arial" w:hAnsi="Arial"/>
          <w:sz w:val="17"/>
          <w:szCs w:val="17"/>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Chabi Nouri has been a member of our Board of Directors since April 2023.</w:t>
      </w:r>
    </w:p>
    <w:p>
      <w:pPr>
        <w:ind w:right="400"/>
        <w:spacing w:after="0"/>
        <w:rPr>
          <w:sz w:val="20"/>
          <w:szCs w:val="20"/>
          <w:color w:val="auto"/>
        </w:rPr>
      </w:pPr>
      <w:r>
        <w:rPr>
          <w:rFonts w:ascii="Arial" w:cs="Arial" w:eastAsia="Arial" w:hAnsi="Arial"/>
          <w:sz w:val="17"/>
          <w:szCs w:val="17"/>
          <w:color w:val="auto"/>
        </w:rPr>
        <w:t>Ms. Nouri has served as the Chief Executive Officer of Bonhams, an international auction house, since October 2024. Ms. Nouri has previously served as co-manager of a private equity fund focused on the Lifestyle, Impact, Innovation franchise within Mirabaud Asset Management since March 2022. She previously served as the global Chief Executive Officer at Piaget SA, a luxury watch and jewelry brand, a branch of Richemont Group, from April 2017 to June 2021 and as Piaget SA’s Chief Marketing Officer from October 2014 to March 2017. Prior to Piaget SA, Ms. Nouri served in various leadership positions at British American Tobacco Plc, a multinational tobacco company, where she led globally the Vogue Cigarettes brand, and at Cartier International SNC, a luxury-goods conglomerate, in merchandising, retail and product development, where she led globally High Jewellery and Creative Jewellery. Ms. Nouri has served as a non-executive director and a member of the ESG committee of Watches of Switzerland Group PLC, a luxury watch retailer, since May 2022. She holds an M.A. in Marketing and Economics from the University of Fribourg and has earned certificates from the Massachusetts Institute of Technology on the Digital Future and the International Institute for Management Development on ESG.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We believe Ms. Nouri is qualified to serve as a director because of her extensive experience in the luxury and consumer goods industries through her various roles at leading international luxury brands.</w:t>
      </w:r>
    </w:p>
    <w:p>
      <w:pPr>
        <w:spacing w:after="0" w:line="200" w:lineRule="exact"/>
        <w:rPr>
          <w:sz w:val="20"/>
          <w:szCs w:val="20"/>
          <w:color w:val="auto"/>
        </w:rPr>
      </w:pPr>
    </w:p>
    <w:p>
      <w:pPr>
        <w:sectPr>
          <w:pgSz w:w="11880" w:h="15480" w:orient="portrait"/>
          <w:cols w:equalWidth="0" w:num="2">
            <w:col w:w="2760" w:space="720"/>
            <w:col w:w="6940"/>
          </w:cols>
          <w:pgMar w:left="720" w:top="131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13</w:t>
      </w:r>
    </w:p>
    <w:p>
      <w:pPr>
        <w:sectPr>
          <w:pgSz w:w="11880" w:h="15480" w:orient="portrait"/>
          <w:cols w:equalWidth="0" w:num="1">
            <w:col w:w="10420"/>
          </w:cols>
          <w:pgMar w:left="720" w:top="1311" w:right="74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690880</wp:posOffset>
            </wp:positionH>
            <wp:positionV relativeFrom="page">
              <wp:posOffset>863600</wp:posOffset>
            </wp:positionV>
            <wp:extent cx="1544320" cy="154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44320" cy="154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24"/>
          <w:szCs w:val="24"/>
          <w:color w:val="auto"/>
        </w:rPr>
        <w:t>Ori Winitzer</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49</w:t>
      </w:r>
    </w:p>
    <w:p>
      <w:pPr>
        <w:ind w:left="360"/>
        <w:spacing w:after="0"/>
        <w:rPr>
          <w:sz w:val="20"/>
          <w:szCs w:val="20"/>
          <w:color w:val="auto"/>
        </w:rPr>
      </w:pPr>
      <w:r>
        <w:rPr>
          <w:rFonts w:ascii="Arial" w:cs="Arial" w:eastAsia="Arial" w:hAnsi="Arial"/>
          <w:sz w:val="16"/>
          <w:szCs w:val="16"/>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464185</wp:posOffset>
            </wp:positionV>
            <wp:extent cx="1544320" cy="154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4320" cy="154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spacing w:after="0"/>
        <w:rPr>
          <w:sz w:val="20"/>
          <w:szCs w:val="20"/>
          <w:color w:val="auto"/>
        </w:rPr>
      </w:pPr>
      <w:r>
        <w:rPr>
          <w:rFonts w:ascii="Arial" w:cs="Arial" w:eastAsia="Arial" w:hAnsi="Arial"/>
          <w:sz w:val="24"/>
          <w:szCs w:val="24"/>
          <w:color w:val="auto"/>
        </w:rPr>
        <w:t>Janet S. Wong</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Member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66</w:t>
      </w:r>
    </w:p>
    <w:p>
      <w:pPr>
        <w:ind w:left="360"/>
        <w:spacing w:after="0"/>
        <w:rPr>
          <w:sz w:val="20"/>
          <w:szCs w:val="20"/>
          <w:color w:val="auto"/>
        </w:rPr>
      </w:pPr>
      <w:r>
        <w:rPr>
          <w:rFonts w:ascii="Arial" w:cs="Arial" w:eastAsia="Arial" w:hAnsi="Arial"/>
          <w:sz w:val="16"/>
          <w:szCs w:val="16"/>
          <w:color w:val="auto"/>
        </w:rPr>
        <w:t>Director Since: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Ori Winitzer has been a member of our Board of Directors since April 2023.</w:t>
      </w:r>
    </w:p>
    <w:p>
      <w:pPr>
        <w:ind w:right="380"/>
        <w:spacing w:after="0"/>
        <w:rPr>
          <w:sz w:val="20"/>
          <w:szCs w:val="20"/>
          <w:color w:val="auto"/>
        </w:rPr>
      </w:pPr>
      <w:r>
        <w:rPr>
          <w:rFonts w:ascii="Arial" w:cs="Arial" w:eastAsia="Arial" w:hAnsi="Arial"/>
          <w:sz w:val="17"/>
          <w:szCs w:val="17"/>
          <w:color w:val="auto"/>
        </w:rPr>
        <w:t>Mr. Winitzer is a founding member and has served as Partner of Integrated Media Company, a TPG Inc. platform dedicated to the digital media ecosystem, since October 2018. He previously served as Senior Managing Director at Guggenheim Partners, a global investment and advisory firm, from July 2017 to September 2018, where he led the digital media practice. Prior to Guggenheim Partners, Mr. Winitzer served in various investment banking positions at LionTree LLC, a boutique investment and merchant bank that focus on the technology, media and telecommunications industries, and Rothschild &amp; Co, a multinational private and alternative assets investor. Mr. Winitzer currently serves on the boards of directors of Toon Boom Animation, a company that provides development and production of animation and storyboarding software, and FootballCo, a family of media properties dedicated to football (soccer).</w:t>
      </w:r>
    </w:p>
    <w:p>
      <w:pPr>
        <w:spacing w:after="0" w:line="125" w:lineRule="exact"/>
        <w:rPr>
          <w:sz w:val="20"/>
          <w:szCs w:val="20"/>
          <w:color w:val="auto"/>
        </w:rPr>
      </w:pPr>
    </w:p>
    <w:p>
      <w:pPr>
        <w:ind w:right="1400"/>
        <w:spacing w:after="0" w:line="248" w:lineRule="auto"/>
        <w:rPr>
          <w:sz w:val="20"/>
          <w:szCs w:val="20"/>
          <w:color w:val="auto"/>
        </w:rPr>
      </w:pPr>
      <w:r>
        <w:rPr>
          <w:rFonts w:ascii="Arial" w:cs="Arial" w:eastAsia="Arial" w:hAnsi="Arial"/>
          <w:sz w:val="17"/>
          <w:szCs w:val="17"/>
          <w:color w:val="auto"/>
        </w:rPr>
        <w:t>Mr. Winitzer holds a B.A. in History and French from the University of Wisconsin — Madison and an M.B.A. from Columbia University.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680"/>
        <w:spacing w:after="0"/>
        <w:rPr>
          <w:sz w:val="20"/>
          <w:szCs w:val="20"/>
          <w:color w:val="auto"/>
        </w:rPr>
      </w:pPr>
      <w:r>
        <w:rPr>
          <w:rFonts w:ascii="Arial" w:cs="Arial" w:eastAsia="Arial" w:hAnsi="Arial"/>
          <w:sz w:val="17"/>
          <w:szCs w:val="17"/>
          <w:color w:val="auto"/>
        </w:rPr>
        <w:t>We believe Mr. Winitzer is qualified to serve as a director due to his extensive experience in investment and advisory roles as well as his deep financial knowledge.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Janet S. Wong has been a member of our Board of Directors since July 2021. Ms. Wong is a licensed Certified Public Accountant with more than 30 years of public accounting experience. She is a partner (retired) with KPMG LLP, an international professional services firm, where she served as a National Industry Practice Lead Partner. Ms. Wong has served as a director of TWFG Inc., an independent distribution platform for personal and commercial insurance, since July 2024. She previously served as a director of Enviva Inc., a global energy company, from May 2015 to December 2024, Lumentum Holdings Inc., a market-leading designer and manufacturer of innovative optical and photonic products for cloud/AI and networking, from September 2020 to November 2024, Shine Technologies, a private company focusing on nuclear technology and clean energy, from April 2021 to August 2022, and Allegiance Bancshares, Inc., a commercial banking organization, from April 2020 to October 2022. In addition, she served on the advisory board of Big Controls Inc., a business intelligence and analytics company, from May 2016 to May 2020. She also serves on the non-profit board of the Louisiana Tech University Foundation.</w:t>
      </w:r>
    </w:p>
    <w:p>
      <w:pPr>
        <w:spacing w:after="0" w:line="103"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color w:val="auto"/>
        </w:rPr>
        <w:t>Ms. Wong is an established thought leader on board governance, risk and regulatory matters (including AI and cyber oversight, M&amp;A, and strategy). She holds a Master of Professional Accountancy from Louisiana Tech University and a Master of Taxation from Golden Gate University. She is an NACD (National Association of Corporate Directors) Certified® Director, a professional credential supporting her qualifications and experience as a corporate board director.</w:t>
      </w:r>
    </w:p>
    <w:p>
      <w:pPr>
        <w:spacing w:after="0" w:line="4" w:lineRule="exact"/>
        <w:rPr>
          <w:sz w:val="20"/>
          <w:szCs w:val="20"/>
          <w:color w:val="auto"/>
        </w:rPr>
      </w:pPr>
    </w:p>
    <w:p>
      <w:pPr>
        <w:ind w:right="720"/>
        <w:spacing w:after="0" w:line="248" w:lineRule="auto"/>
        <w:rPr>
          <w:sz w:val="20"/>
          <w:szCs w:val="20"/>
          <w:color w:val="auto"/>
        </w:rPr>
      </w:pPr>
      <w:r>
        <w:rPr>
          <w:rFonts w:ascii="Arial" w:cs="Arial" w:eastAsia="Arial" w:hAnsi="Arial"/>
          <w:sz w:val="17"/>
          <w:szCs w:val="17"/>
          <w:color w:val="auto"/>
        </w:rPr>
        <w:t>Ms. Wong has completed Executive Education Programs at Harvard Business School and Stanford Law School.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Skills and Qualifications</w:t>
      </w:r>
    </w:p>
    <w:p>
      <w:pPr>
        <w:spacing w:after="0" w:line="175"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We believe Ms. Wong is qualified to serve as a director because of her many years of public accounting experience serving global companies, her deep financial and enterprise risk management expertise, and her experience advising sophisticated enterprises in the consumer markets, energy, manufacturing, and technology sectors as well as her governance experience serving public company and private company boards.</w:t>
      </w:r>
    </w:p>
    <w:p>
      <w:pPr>
        <w:spacing w:after="0" w:line="200" w:lineRule="exact"/>
        <w:rPr>
          <w:sz w:val="20"/>
          <w:szCs w:val="20"/>
          <w:color w:val="auto"/>
        </w:rPr>
      </w:pPr>
    </w:p>
    <w:p>
      <w:pPr>
        <w:sectPr>
          <w:pgSz w:w="11880" w:h="15480" w:orient="portrait"/>
          <w:cols w:equalWidth="0" w:num="2">
            <w:col w:w="2760" w:space="720"/>
            <w:col w:w="6940"/>
          </w:cols>
          <w:pgMar w:left="720" w:top="1306" w:right="740" w:bottom="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VOTE REQUIRED</w:t>
      </w:r>
    </w:p>
    <w:p>
      <w:pPr>
        <w:spacing w:after="0" w:line="197"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For the election of directors, the eight nominees receiving the most “For” votes from the holders of shares present at the Annual Meeting or represented by proxy and entitled to vote on Proposal No. 1 will be elected as directors to hold</w:t>
      </w:r>
    </w:p>
    <w:p>
      <w:pPr>
        <w:sectPr>
          <w:pgSz w:w="11880" w:h="15480" w:orient="portrait"/>
          <w:cols w:equalWidth="0" w:num="1">
            <w:col w:w="10420"/>
          </w:cols>
          <w:pgMar w:left="720" w:top="1306"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306" w:right="740" w:bottom="0" w:gutter="0" w:footer="0" w:header="0"/>
          <w:type w:val="continuous"/>
        </w:sectPr>
      </w:pPr>
    </w:p>
    <w:bookmarkStart w:id="20" w:name="page21"/>
    <w:bookmarkEnd w:id="20"/>
    <w:p>
      <w:pPr>
        <w:jc w:val="both"/>
        <w:ind w:right="180"/>
        <w:spacing w:after="0" w:line="285" w:lineRule="auto"/>
        <w:rPr>
          <w:sz w:val="20"/>
          <w:szCs w:val="20"/>
          <w:color w:val="auto"/>
        </w:rPr>
      </w:pPr>
      <w:r>
        <w:rPr>
          <w:rFonts w:ascii="Arial" w:cs="Arial" w:eastAsia="Arial" w:hAnsi="Arial"/>
          <w:sz w:val="18"/>
          <w:szCs w:val="18"/>
          <w:color w:val="auto"/>
        </w:rPr>
        <w:t>office until the 2026 Annual Meeting and until their respective successors are duly elected and qualified, or, if sooner, until the director’s death, resignation or removal. Only votes “For” or “Withheld” will affect the outcome. Broker non-votes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478790</wp:posOffset>
                </wp:positionV>
                <wp:extent cx="6614160" cy="68389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683895"/>
                        </a:xfrm>
                        <a:prstGeom prst="rect">
                          <a:avLst/>
                        </a:prstGeom>
                        <a:solidFill>
                          <a:srgbClr val="000000"/>
                        </a:solidFill>
                      </wps:spPr>
                      <wps:bodyPr/>
                    </wps:wsp>
                  </a:graphicData>
                </a:graphic>
              </wp:anchor>
            </w:drawing>
          </mc:Choice>
          <mc:Fallback>
            <w:pict>
              <v:rect id="Shape 33" o:spid="_x0000_s1058" style="position:absolute;margin-left:-0.0499pt;margin-top:37.7pt;width:520.8pt;height:5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900" w:right="1600"/>
        <w:spacing w:after="0" w:line="255" w:lineRule="auto"/>
        <w:rPr>
          <w:sz w:val="20"/>
          <w:szCs w:val="20"/>
          <w:color w:val="auto"/>
        </w:rPr>
      </w:pPr>
      <w:r>
        <w:rPr>
          <w:rFonts w:ascii="Arial" w:cs="Arial" w:eastAsia="Arial" w:hAnsi="Arial"/>
          <w:sz w:val="24"/>
          <w:szCs w:val="24"/>
          <w:color w:val="FFFFFF"/>
        </w:rPr>
        <w:t>THE BOARD OF DIRECTORS RECOMMENDS A VOTE “FOR” EACH NAMED DIRECTOR NOMINEE (PROPOSAL NO. 1)</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15</w:t>
      </w:r>
    </w:p>
    <w:p>
      <w:pPr>
        <w:sectPr>
          <w:pgSz w:w="11880" w:h="15480" w:orient="portrait"/>
          <w:cols w:equalWidth="0" w:num="1">
            <w:col w:w="10420"/>
          </w:cols>
          <w:pgMar w:left="720" w:top="943" w:right="740" w:bottom="0" w:gutter="0" w:footer="0" w:header="0"/>
          <w:type w:val="continuous"/>
        </w:sectPr>
      </w:pPr>
    </w:p>
    <w:bookmarkStart w:id="21" w:name="page22"/>
    <w:bookmarkEnd w:id="21"/>
    <w:p>
      <w:pPr>
        <w:ind w:right="720"/>
        <w:spacing w:after="0" w:line="239" w:lineRule="auto"/>
        <w:rPr>
          <w:sz w:val="20"/>
          <w:szCs w:val="20"/>
          <w:color w:val="auto"/>
        </w:rPr>
      </w:pPr>
      <w:r>
        <w:rPr>
          <w:rFonts w:ascii="Times New Roman" w:cs="Times New Roman" w:eastAsia="Times New Roman" w:hAnsi="Times New Roman"/>
          <w:sz w:val="40"/>
          <w:szCs w:val="40"/>
          <w:color w:val="auto"/>
        </w:rPr>
        <w:t>Information Regarding the Board of Directors and Corporate Governance</w:t>
      </w:r>
    </w:p>
    <w:p>
      <w:pPr>
        <w:spacing w:after="0" w:line="200" w:lineRule="exact"/>
        <w:rPr>
          <w:sz w:val="20"/>
          <w:szCs w:val="20"/>
          <w:color w:val="auto"/>
        </w:rPr>
      </w:pP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https://ir.lucidmotors.com/governance/documents-and-charters. Alternatively, you can request a copy of any of these documents free of charge by writing to: Secretary at Lucid Group, Inc., 7373 Gateway Boulevard, Newark, CA 94560. Information on or accessible through our website is not incorporated by reference in this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CONTROLLED COMPANY</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Common Stock is listed on The Nasdaq Stock Market LLC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Nasdaq’s rules and corporate governance standards for non-controlled companies within the applicable transition periods.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BOARD COMPOSITION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consists of eight members. Turqi Alnowaiser is the Chairman of our Board. The primary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of our Board are to provide oversight, strategic guidance, counseling and direction to management.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Board meets on a regular basis and additionally, as required. In accordance with the Investor Rights Agreement, Turqi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Alnowaiser, Andrew Liveris, Douglas Grimm, Nichelle Maynard-Elliott and Ori Winitzer were designated for nomination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Ayar to the Board of Directors and nominated by the Nominating and Corporate Governance Committee and the Board.</w:t>
      </w:r>
    </w:p>
    <w:p>
      <w:pPr>
        <w:spacing w:after="0" w:line="26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All directors will be elected at each annual meeting of our stockholders. Each director’s term continues until the election and qualification of their successor, or such director’s earlier death, resignation or removal.</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DIRECTOR INDEPENDENCE</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Board has affirmatively determined that all of the nominees are independent directors within the meaning of the applicable Nasdaq listing standards and that each such nominee is free of any relationship that would impair his or her individual exercise of independent judgment with regard to our Company (the “Independent Directors”). In making these determinations, our Board of Directors considered the current and prior relationships that each Independent Director has with our Company and all other facts and circumstances our Board of Directors deemed relevant in determining their independence, including the beneficial ownership of our capital stock by each Independent Director, and the transactions involving them described in the section entitled “Certain Relationships and Related Party Transactions.” There are no family relationships among any current director, director nominee and/or any of our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BOARD LEADERSHIP STRUCTURE</w:t>
      </w:r>
    </w:p>
    <w:p>
      <w:pPr>
        <w:spacing w:after="0" w:line="197" w:lineRule="exact"/>
        <w:rPr>
          <w:sz w:val="20"/>
          <w:szCs w:val="20"/>
          <w:color w:val="auto"/>
        </w:rPr>
      </w:pPr>
    </w:p>
    <w:p>
      <w:pPr>
        <w:jc w:val="both"/>
        <w:ind w:right="440"/>
        <w:spacing w:after="0" w:line="287" w:lineRule="auto"/>
        <w:rPr>
          <w:sz w:val="20"/>
          <w:szCs w:val="20"/>
          <w:color w:val="auto"/>
        </w:rPr>
      </w:pPr>
      <w:r>
        <w:rPr>
          <w:rFonts w:ascii="Arial" w:cs="Arial" w:eastAsia="Arial" w:hAnsi="Arial"/>
          <w:sz w:val="18"/>
          <w:szCs w:val="18"/>
          <w:color w:val="auto"/>
        </w:rPr>
        <w:t>The Board reviews its leadership structure periodically as part of its annual self-assessment process. In addition, the Board continues to monitor developments in corporate governance as well as the approaches our peers undertake.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it is important to retain the flexibility to allocate the responsibilities of the offices of Chairman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Board and Chief Executive Officer in any manner that it determines to be in the best interests of the Company at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any point in time. Our Chairman of the Board is currently Turqi Alnowaiser. The Chairman of the Board and our Interim Chief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are currently separate. Our Board of Directors does not currently have a policy as to whether the role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of Chairman of the Board and the Chief Executive Officer should be separate. Our Board of Directors believes that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stockholders are best served by maintaining the flexibility to determine whether the Chairman of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Board and Chief Executive Officer positions should be separated or combined at a given point in time in order to provide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appropriate leadership for us at that time. At any time the Company is not availing itself of the “controlled company”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exemptions under Nasdaq rules, in order to maintain the independent integrity of the Board, if the Chairman of the</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22" w:name="page23"/>
    <w:bookmarkEnd w:id="22"/>
    <w:p>
      <w:pPr>
        <w:spacing w:after="0" w:line="275" w:lineRule="auto"/>
        <w:rPr>
          <w:sz w:val="20"/>
          <w:szCs w:val="20"/>
          <w:color w:val="auto"/>
        </w:rPr>
      </w:pPr>
      <w:r>
        <w:rPr>
          <w:rFonts w:ascii="Arial" w:cs="Arial" w:eastAsia="Arial" w:hAnsi="Arial"/>
          <w:sz w:val="18"/>
          <w:szCs w:val="18"/>
          <w:color w:val="auto"/>
        </w:rPr>
        <w:t>Board is not an independent director, the Board shall appoint a lead director who must be independent. Our Corporate Governance Guidelines note that all directors are elected by the stockholders and all have an equal voice. The Chairman of the Board and the Chief Executive Officer are free, as is the Board of Directors as a whole, to call upon any one or more directors to provide leadership in a given situation should a special need arise.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Additionally, pursuant to the Investor Rights Agreement, and subject to Ayar’s continued beneficial ownership of specified amounts of our Common Stock (as described above), Ayar is entitled to select the Chairman of the Board.</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and Human Capital Committee are Independent Directors, and the committee chairs have authority to hold executive sessions without management and non-Independent Directors present.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ROLE OF THE BOARD IN RISK OVERSIGHT</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is responsible for the day-to-day operations and management of the Company. The Audit Committee monitors compliance with legal and regulatory requirements, monitors product safety, cybersecurity and privacy risks, and reviews our policies and practices with respect to risk assessment and risk management, including discussing with management our major financial risk exposures and the steps that have been taken to monitor and control such exposures. The Nominating and Corporate Governance Committee monitors the effectiveness of our Corporate Governance Guidelines and policies. The Compensation and Human Capital Committee assesses and monitors whether any of our compensation policies and programs has the potential to encourage excessive risk-taking.</w:t>
      </w:r>
    </w:p>
    <w:p>
      <w:pPr>
        <w:spacing w:after="0" w:line="200" w:lineRule="exact"/>
        <w:rPr>
          <w:sz w:val="20"/>
          <w:szCs w:val="20"/>
          <w:color w:val="auto"/>
        </w:rPr>
      </w:pPr>
    </w:p>
    <w:p>
      <w:pPr>
        <w:spacing w:after="0" w:line="26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It is the responsibility of the committee chairs to report findings regarding material risk exposures to the Board as quickly as possible. Our Interim Chief Executive Officer, Chief Financial Officer, and General Counsel coordinate between the Board and management with regard to the determination and implementation of responses to any risk management issues.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MEETINGS OF THE BOARD OF DIRECTORS</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Board oversees our business. It establishes overall policies and standards and reviews the performance of management. During the fiscal year ended December 31, 2024, the Board held seven meetings. Each Board member attended 80% or more of the aggregate meetings of the Board and of the committees on which they served during the period for which they were a director or committee member. Our directors are encouraged to attend our annual meetings of stockholders, but we do not currently have a policy relating to director attendance. Lisa M. Lambert, Sherif Marakby, Chabi Nouri, Peter Rawlinson, Ori Winitzer, and Janet Wong, as representatives of the Board, attended the 2024 Annual Meeting of Stockholders.</w:t>
      </w:r>
    </w:p>
    <w:p>
      <w:pPr>
        <w:spacing w:after="0" w:line="200" w:lineRule="exact"/>
        <w:rPr>
          <w:sz w:val="20"/>
          <w:szCs w:val="20"/>
          <w:color w:val="auto"/>
        </w:rPr>
      </w:pPr>
    </w:p>
    <w:p>
      <w:pPr>
        <w:spacing w:after="0" w:line="260"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Our Independent Directors meet from time to time in executive session. The Board and each of our standing independent committees typically hold an executive session of non-management directors (all of whom are Independent Directors) as a part of every regularly scheduled quarterly meeting.</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COMMITTEES OF THE BOARD OF DIRECTORS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Board has a number of committees that perform certain functions for the Board. The current committees of the Board are the Audit Committee, the Compensation and Human Capital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and Human Capital Committee and the Nominating and Corporate Governance Committee meets the applicable Nasdaq listing standards and that each member is free of any relationship that would impair his or her individual exercise of independent judgment with regard to our Company.</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17</w:t>
      </w:r>
    </w:p>
    <w:p>
      <w:pPr>
        <w:sectPr>
          <w:pgSz w:w="11880" w:h="15480" w:orient="portrait"/>
          <w:cols w:equalWidth="0" w:num="1">
            <w:col w:w="10420"/>
          </w:cols>
          <w:pgMar w:left="720" w:top="943" w:right="74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Audit Committee</w:t>
      </w:r>
    </w:p>
    <w:p>
      <w:pPr>
        <w:spacing w:after="0" w:line="19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For the term ending at the Annual Meeting, our Audit Committee consists of Janet S. Wong, Lisa M. Lambert and Nichelle Maynard-Elliott, with Janet S. Wong serving as chairperson. Our Board has determined (i) that each of Janet S. Wong, Lisa M. Lambert and Nichelle Maynard-Elliott satisfied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selecting and hiring our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evaluating the performance and independence of our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pre-approving the audit and any non-audit services to be performed by our registered public accounting firm;</w:t>
      </w:r>
    </w:p>
    <w:p>
      <w:pPr>
        <w:spacing w:after="0" w:line="182" w:lineRule="exact"/>
        <w:rPr>
          <w:sz w:val="20"/>
          <w:szCs w:val="20"/>
          <w:color w:val="auto"/>
        </w:rPr>
      </w:pPr>
    </w:p>
    <w:p>
      <w:pPr>
        <w:ind w:left="180" w:right="680"/>
        <w:spacing w:after="0" w:line="292" w:lineRule="auto"/>
        <w:rPr>
          <w:sz w:val="20"/>
          <w:szCs w:val="20"/>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124" w:lineRule="exact"/>
        <w:rPr>
          <w:sz w:val="20"/>
          <w:szCs w:val="20"/>
          <w:color w:val="auto"/>
        </w:rPr>
      </w:pPr>
    </w:p>
    <w:p>
      <w:pPr>
        <w:ind w:left="180" w:right="140"/>
        <w:spacing w:after="0" w:line="292" w:lineRule="auto"/>
        <w:rPr>
          <w:sz w:val="20"/>
          <w:szCs w:val="20"/>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124" w:lineRule="exact"/>
        <w:rPr>
          <w:sz w:val="20"/>
          <w:szCs w:val="20"/>
          <w:color w:val="auto"/>
        </w:rPr>
      </w:pPr>
    </w:p>
    <w:p>
      <w:pPr>
        <w:ind w:left="180" w:right="320"/>
        <w:spacing w:after="0" w:line="266" w:lineRule="auto"/>
        <w:rPr>
          <w:sz w:val="20"/>
          <w:szCs w:val="20"/>
          <w:color w:val="auto"/>
        </w:rPr>
      </w:pPr>
      <w:r>
        <w:rPr>
          <w:rFonts w:ascii="Arial" w:cs="Arial" w:eastAsia="Arial" w:hAnsi="Arial"/>
          <w:sz w:val="18"/>
          <w:szCs w:val="18"/>
          <w:color w:val="auto"/>
        </w:rPr>
        <w:t>overseeing procedures for the treatment of complaints relating to accounting, internal accounting controls or audit matters;</w:t>
      </w:r>
    </w:p>
    <w:p>
      <w:pPr>
        <w:spacing w:after="0" w:line="399" w:lineRule="exact"/>
        <w:rPr>
          <w:sz w:val="20"/>
          <w:szCs w:val="20"/>
          <w:color w:val="auto"/>
        </w:rPr>
      </w:pPr>
    </w:p>
    <w:p>
      <w:pPr>
        <w:ind w:left="180" w:right="180"/>
        <w:spacing w:after="0" w:line="292" w:lineRule="auto"/>
        <w:rPr>
          <w:sz w:val="20"/>
          <w:szCs w:val="20"/>
          <w:color w:val="auto"/>
        </w:rPr>
      </w:pPr>
      <w:r>
        <w:rPr>
          <w:rFonts w:ascii="Arial" w:cs="Arial" w:eastAsia="Arial" w:hAnsi="Arial"/>
          <w:sz w:val="18"/>
          <w:szCs w:val="18"/>
          <w:color w:val="auto"/>
        </w:rPr>
        <w:t>reviewing and discussing with management and the registered public accounting firm the results of the annual audit, our quarterly financial statements and our publicly filed reports;</w:t>
      </w:r>
    </w:p>
    <w:p>
      <w:pPr>
        <w:spacing w:after="0" w:line="124" w:lineRule="exact"/>
        <w:rPr>
          <w:sz w:val="20"/>
          <w:szCs w:val="20"/>
          <w:color w:val="auto"/>
        </w:rPr>
      </w:pPr>
    </w:p>
    <w:p>
      <w:pPr>
        <w:ind w:left="180" w:right="500"/>
        <w:spacing w:after="0" w:line="266" w:lineRule="auto"/>
        <w:rPr>
          <w:sz w:val="20"/>
          <w:szCs w:val="20"/>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399" w:lineRule="exact"/>
        <w:rPr>
          <w:sz w:val="20"/>
          <w:szCs w:val="20"/>
          <w:color w:val="auto"/>
        </w:rPr>
      </w:pPr>
    </w:p>
    <w:p>
      <w:pPr>
        <w:ind w:left="180" w:right="200"/>
        <w:spacing w:after="0" w:line="300" w:lineRule="auto"/>
        <w:rPr>
          <w:sz w:val="20"/>
          <w:szCs w:val="20"/>
          <w:color w:val="auto"/>
        </w:rPr>
      </w:pPr>
      <w:r>
        <w:rPr>
          <w:rFonts w:ascii="Arial" w:cs="Arial" w:eastAsia="Arial" w:hAnsi="Arial"/>
          <w:sz w:val="18"/>
          <w:szCs w:val="18"/>
          <w:color w:val="auto"/>
        </w:rPr>
        <w:t>reviewing our policies and practices with respect to risk assessment and risk management, including discussing with management our major financial risk exposures and the steps that have been taken to monitor and control such exposures;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reviewing and approving in advance any proposed related-person transactions;</w:t>
      </w:r>
    </w:p>
    <w:p>
      <w:pPr>
        <w:spacing w:after="0" w:line="182" w:lineRule="exact"/>
        <w:rPr>
          <w:sz w:val="20"/>
          <w:szCs w:val="20"/>
          <w:color w:val="auto"/>
        </w:rPr>
      </w:pPr>
    </w:p>
    <w:p>
      <w:pPr>
        <w:ind w:left="180" w:right="700"/>
        <w:spacing w:after="0" w:line="292" w:lineRule="auto"/>
        <w:rPr>
          <w:sz w:val="20"/>
          <w:szCs w:val="20"/>
          <w:color w:val="auto"/>
        </w:rPr>
      </w:pPr>
      <w:r>
        <w:rPr>
          <w:rFonts w:ascii="Arial" w:cs="Arial" w:eastAsia="Arial" w:hAnsi="Arial"/>
          <w:sz w:val="18"/>
          <w:szCs w:val="18"/>
          <w:color w:val="auto"/>
        </w:rPr>
        <w:t>reviewing key cybersecurity, privacy, product safety, and other information technology risks such as artificial intelligence;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preparing the audit committee report that the SEC requires in our annual proxy statement.</w:t>
      </w:r>
    </w:p>
    <w:p>
      <w:pPr>
        <w:spacing w:after="0" w:line="272"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In 2024, the Audit Committee met six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2" w:right="740" w:bottom="0" w:gutter="0" w:footer="0" w:header="0"/>
          <w:type w:val="continuous"/>
        </w:sectPr>
      </w:pPr>
    </w:p>
    <w:bookmarkStart w:id="24" w:name="page25"/>
    <w:bookmarkEnd w:id="24"/>
    <w:p>
      <w:pPr>
        <w:ind w:right="80"/>
        <w:spacing w:after="0" w:line="293" w:lineRule="auto"/>
        <w:rPr>
          <w:sz w:val="20"/>
          <w:szCs w:val="20"/>
          <w:color w:val="auto"/>
        </w:rPr>
      </w:pPr>
      <w:r>
        <w:rPr>
          <w:rFonts w:ascii="Arial" w:cs="Arial" w:eastAsia="Arial" w:hAnsi="Arial"/>
          <w:sz w:val="18"/>
          <w:szCs w:val="18"/>
          <w:color w:val="auto"/>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Human Capital Committee</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Compensation and Human Capital Committee consists of Andrew Liveris, Nichelle Maynard-Elliott, and Ori Winitzer, with Andrew Liveris serving as chairperson. Our Board has determined that each of Andrew Liveris, Nichelle Maynard-Elliott, and Ori Winitzer satisfies the requirements for independence under the applicable Nasdaq listing standards. Our Compensation and Human Capital Committee is responsible for, among other things:</w:t>
      </w:r>
    </w:p>
    <w:p>
      <w:pPr>
        <w:spacing w:after="0" w:line="133" w:lineRule="exact"/>
        <w:rPr>
          <w:sz w:val="20"/>
          <w:szCs w:val="20"/>
          <w:color w:val="auto"/>
        </w:rPr>
      </w:pPr>
    </w:p>
    <w:p>
      <w:pPr>
        <w:ind w:left="180" w:right="160"/>
        <w:spacing w:after="0" w:line="297" w:lineRule="auto"/>
        <w:rPr>
          <w:sz w:val="20"/>
          <w:szCs w:val="20"/>
          <w:color w:val="auto"/>
        </w:rPr>
      </w:pPr>
      <w:r>
        <w:rPr>
          <w:rFonts w:ascii="Arial" w:cs="Arial" w:eastAsia="Arial" w:hAnsi="Arial"/>
          <w:sz w:val="18"/>
          <w:szCs w:val="18"/>
          <w:color w:val="auto"/>
        </w:rPr>
        <w:t>determining, or recommending to the Board for determination, the compensation of our executive officers, including our 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administering our equity compensation plans;</w:t>
      </w:r>
    </w:p>
    <w:p>
      <w:pPr>
        <w:spacing w:after="0" w:line="186" w:lineRule="exact"/>
        <w:rPr>
          <w:sz w:val="20"/>
          <w:szCs w:val="20"/>
          <w:color w:val="auto"/>
        </w:rPr>
      </w:pPr>
    </w:p>
    <w:p>
      <w:pPr>
        <w:ind w:left="180"/>
        <w:spacing w:after="0" w:line="297" w:lineRule="auto"/>
        <w:rPr>
          <w:sz w:val="20"/>
          <w:szCs w:val="20"/>
          <w:color w:val="auto"/>
        </w:rPr>
      </w:pPr>
      <w:r>
        <w:rPr>
          <w:rFonts w:ascii="Arial" w:cs="Arial" w:eastAsia="Arial" w:hAnsi="Arial"/>
          <w:sz w:val="18"/>
          <w:szCs w:val="18"/>
          <w:color w:val="auto"/>
        </w:rPr>
        <w:t>overseeing our overall compensation policies and practices, compensation plans, benefits programs, and compensation recoupment policy;</w:t>
      </w:r>
    </w:p>
    <w:p>
      <w:pPr>
        <w:spacing w:after="0" w:line="124" w:lineRule="exact"/>
        <w:rPr>
          <w:sz w:val="20"/>
          <w:szCs w:val="20"/>
          <w:color w:val="auto"/>
        </w:rPr>
      </w:pPr>
    </w:p>
    <w:p>
      <w:pPr>
        <w:ind w:left="180" w:right="700"/>
        <w:spacing w:after="0" w:line="297" w:lineRule="auto"/>
        <w:rPr>
          <w:sz w:val="20"/>
          <w:szCs w:val="20"/>
          <w:color w:val="auto"/>
        </w:rPr>
      </w:pPr>
      <w:r>
        <w:rPr>
          <w:rFonts w:ascii="Arial" w:cs="Arial" w:eastAsia="Arial" w:hAnsi="Arial"/>
          <w:sz w:val="18"/>
          <w:szCs w:val="18"/>
          <w:color w:val="auto"/>
        </w:rPr>
        <w:t>reviewing our executive officer succession planning, as well as periodic reports, metrics, and initiatives from management on employee programs and practices;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overseeing the preparation of the compensation committee report that the SEC requires in our annual proxy statement.</w:t>
      </w:r>
    </w:p>
    <w:p>
      <w:pPr>
        <w:spacing w:after="0" w:line="27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Compensation and Human Capital Committee operates under a written charter that satisfies the applicable rules of the SEC and the listing standards of Nasdaq. During 2024, the Compensation and Human Capital Committee met 15 times. The Compensation and Human Capital Committee charter can be found in the Governance section of the Investors section of our website at https://ir.lucidmotors.com/governance/documents-and-charters. Information on or accessible through our website is not incorporated by reference in this Proxy Statement. The Compensation and Human Capital Committee charter grants the Compensation and Human Capital Committee sole authority to retain or obtain the advice of compensation consultants, legal counsel, or other advisors, including the authority to approve a consultant’s reasonable compensation. The Compensation and Human Capital Committee may select such advisors, or receive advice from any other advisor, only after taking into consideration all factors relevant to that person’s independence from management, including those independence factors enumerated by Nasdaq rules.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Under the Compensation and Human Capital Committee charter, the Compensation and Human Capital Committee may, in its discretion, delegate its duties to a subcommittee or to the Chair of the Compensation and Human Capital Committee.</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As required by its charter, the Compensation and Human Capital Committee conducts a self-evaluation at least annually. The Compensation and Human Capital Committee also annually reviews and assesses the adequacy of its charter and recommends any proposed changes to the Board for its consideration.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HUMAN CAPITAL COMMITTEE PROCESSES AND PROCEDURES</w:t>
      </w:r>
    </w:p>
    <w:p>
      <w:pPr>
        <w:spacing w:after="0" w:line="19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implementation of our compensation philosophy is carried out under the supervision of the Compensation and Human Capital Committee. The Compensation and Human Capital Committee charter requires that the Compensation and Human Capital Committee meet as often as it determines is appropriate to carry out its responsibilities under the charter. The agenda for each meeting is usually developed by the Chair of the Compensation and Human Capital Committee, in consultation with other Compensation and Human Capital Committee members, management and the Compensation and Human Capital Committee’s independent advisors. The Compensation and Human Capital Committee also meets regularly in executive session. Meetings may, at the discretion of the Compensation and Human Capital Committee, include other directors or members of management in addition to the Compensation and Human Capital Committee’s independent advisors, for the purpose of providing analysis and information to assist management with their recommendations on various compensation matters. Management does not participate in the executive sessions of the Compensation and Human Capital Committee. For a description of the role of our management and any compensation consultants for executive compensation decisions for fiscal year 2024, please see the section entitled “Compensation Discussion and Analysis.”</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19</w:t>
      </w:r>
    </w:p>
    <w:p>
      <w:pPr>
        <w:sectPr>
          <w:pgSz w:w="11880" w:h="15480" w:orient="portrait"/>
          <w:cols w:equalWidth="0" w:num="1">
            <w:col w:w="10420"/>
          </w:cols>
          <w:pgMar w:left="720" w:top="943" w:right="740" w:bottom="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COMPENSATION AND HUMAN CAPITAL COMMITTEE INTERLOCKS AND INSIDER PARTICIPATION</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Andrew Liveris, Nichelle Maynard-Elliott, and Ori Winitzer served as members of the Compensation and Human Capital Committee during 2024. None of such persons is or was formerly an officer or an employee of Lucid. Please see the section entitled “Certain Relationships and Related Party Transactions” for certain transactions involving Lucid in which members of the Compensation and Human Capital Committee may potentially be deemed to have an indirect interest.</w:t>
      </w:r>
    </w:p>
    <w:p>
      <w:pPr>
        <w:spacing w:after="0" w:line="22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None of our executive officers currently serves, or has served during the last year, as a member of the board of directors or compensation committee of any entity that has one or more executive officers serving as a member of our Board or Compensation and Human Capital Committee.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Nominating and Corporate Governance Committee is generally responsible for identifying qualified Board candidates, recommending director nominees and appointments to Board committees, evaluating Board performance, and overseeing our Corporate Governance Guidelines. For the term ending at the Annual Meeting, our Nominating and Corporate Governance Committee consists of Turqi Alnowaiser, Nichelle Maynard-Elliott and Chabi Nouri, with Turqi Alnowaiser serving as chairperson. Our Board has determined that each of Turqi Alnowaiser, Nichelle Maynard-Elliott and Chabi Nouri satisfied the requirements for independence under the applicable Nasdaq listing standards. Our Nominating and Corporate Governance Committee is responsible for, among other things:</w:t>
      </w:r>
    </w:p>
    <w:p>
      <w:pPr>
        <w:spacing w:after="0" w:line="136" w:lineRule="exact"/>
        <w:rPr>
          <w:sz w:val="20"/>
          <w:szCs w:val="20"/>
          <w:color w:val="auto"/>
        </w:rPr>
      </w:pPr>
    </w:p>
    <w:p>
      <w:pPr>
        <w:ind w:left="180" w:right="420"/>
        <w:spacing w:after="0" w:line="285" w:lineRule="auto"/>
        <w:rPr>
          <w:sz w:val="20"/>
          <w:szCs w:val="20"/>
          <w:color w:val="auto"/>
        </w:rPr>
      </w:pPr>
      <w:r>
        <w:rPr>
          <w:rFonts w:ascii="Arial" w:cs="Arial" w:eastAsia="Arial" w:hAnsi="Arial"/>
          <w:sz w:val="18"/>
          <w:szCs w:val="18"/>
          <w:color w:val="auto"/>
        </w:rPr>
        <w:t>identifying and recommending candidates for membership on our Board, including the consideration of nominees submitted by stockholders, and to each of the Board’s committees;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making recommendations to the Board as to determinations of director independence;</w:t>
      </w:r>
    </w:p>
    <w:p>
      <w:pPr>
        <w:spacing w:after="0" w:line="176" w:lineRule="exact"/>
        <w:rPr>
          <w:sz w:val="20"/>
          <w:szCs w:val="20"/>
          <w:color w:val="auto"/>
        </w:rPr>
      </w:pPr>
    </w:p>
    <w:p>
      <w:pPr>
        <w:ind w:left="180" w:right="160"/>
        <w:spacing w:after="0" w:line="285" w:lineRule="auto"/>
        <w:rPr>
          <w:sz w:val="20"/>
          <w:szCs w:val="20"/>
          <w:color w:val="auto"/>
        </w:rPr>
      </w:pPr>
      <w:r>
        <w:rPr>
          <w:rFonts w:ascii="Arial" w:cs="Arial" w:eastAsia="Arial" w:hAnsi="Arial"/>
          <w:sz w:val="18"/>
          <w:szCs w:val="18"/>
          <w:color w:val="auto"/>
        </w:rPr>
        <w:t>evaluating and making recommendations regarding the composition, organization, and governance of our Board and its committees;</w:t>
      </w:r>
    </w:p>
    <w:p>
      <w:pPr>
        <w:spacing w:after="0" w:line="127" w:lineRule="exact"/>
        <w:rPr>
          <w:sz w:val="20"/>
          <w:szCs w:val="20"/>
          <w:color w:val="auto"/>
        </w:rPr>
      </w:pPr>
    </w:p>
    <w:p>
      <w:pPr>
        <w:ind w:left="180" w:right="340"/>
        <w:spacing w:after="0" w:line="287" w:lineRule="auto"/>
        <w:rPr>
          <w:sz w:val="20"/>
          <w:szCs w:val="20"/>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125" w:lineRule="exact"/>
        <w:rPr>
          <w:sz w:val="20"/>
          <w:szCs w:val="20"/>
          <w:color w:val="auto"/>
        </w:rPr>
      </w:pPr>
    </w:p>
    <w:p>
      <w:pPr>
        <w:ind w:left="180" w:right="240"/>
        <w:spacing w:after="0" w:line="287" w:lineRule="auto"/>
        <w:rPr>
          <w:sz w:val="20"/>
          <w:szCs w:val="20"/>
          <w:color w:val="auto"/>
        </w:rPr>
      </w:pPr>
      <w:r>
        <w:rPr>
          <w:rFonts w:ascii="Arial" w:cs="Arial" w:eastAsia="Arial" w:hAnsi="Arial"/>
          <w:sz w:val="18"/>
          <w:szCs w:val="18"/>
          <w:color w:val="auto"/>
        </w:rPr>
        <w:t>overseeing and periodically reviewing our policies and programs concerning environmental sustainability, corporate social responsibility, and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making recommendations to the Board regarding non-employee director compensation;</w:t>
      </w:r>
    </w:p>
    <w:p>
      <w:pPr>
        <w:spacing w:after="0" w:line="178" w:lineRule="exact"/>
        <w:rPr>
          <w:sz w:val="20"/>
          <w:szCs w:val="20"/>
          <w:color w:val="auto"/>
        </w:rPr>
      </w:pPr>
    </w:p>
    <w:p>
      <w:pPr>
        <w:ind w:left="180" w:right="700"/>
        <w:spacing w:after="0" w:line="287" w:lineRule="auto"/>
        <w:rPr>
          <w:sz w:val="20"/>
          <w:szCs w:val="20"/>
          <w:color w:val="auto"/>
        </w:rPr>
      </w:pPr>
      <w:r>
        <w:rPr>
          <w:rFonts w:ascii="Arial" w:cs="Arial" w:eastAsia="Arial" w:hAnsi="Arial"/>
          <w:sz w:val="18"/>
          <w:szCs w:val="18"/>
          <w:color w:val="auto"/>
        </w:rPr>
        <w:t>reviewing conflicts of interest of our directors and officers and proposed waivers of our Corporate Governance Guidelines and Code of Business Conduct and Ethics; and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evaluating the performance of our Board and its committees.</w:t>
      </w:r>
    </w:p>
    <w:p>
      <w:pPr>
        <w:spacing w:after="0" w:line="268"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During 2024, the Nominating and Corporate Governance Committee met once. Our Nominating and Corporate Governance Committee operates under a written charter that satisfies the applicable rules of the SEC and the listing standards of Nasdaq. A detailed discussion of the Nominating and Corporate Governance Committee’s procedures for recommending candidates for election as a director appears below under the caption “Procedures of the Nominating and Corporate Governance Committee.”</w:t>
      </w:r>
    </w:p>
    <w:p>
      <w:pPr>
        <w:spacing w:after="0" w:line="200" w:lineRule="exact"/>
        <w:rPr>
          <w:sz w:val="20"/>
          <w:szCs w:val="20"/>
          <w:color w:val="auto"/>
        </w:rPr>
      </w:pP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Nominating and Corporate Governance Committee charter can be found in the Governance section of the Investors section of our website at https://ir.lucidmotors.com/governance/documents-and-charters. The Nominating and Corporate Governance 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advisors, including search firms to identify director candidates, compensation consultants as to director compensation, and legal counsel, including sole authority to approve all such advisors’ fees and other retention terms.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PROCEDURES OF THE NOMINATING AND CORPORATE GOVERNANCE COMMITTEE</w:t>
      </w:r>
    </w:p>
    <w:p>
      <w:pPr>
        <w:spacing w:after="0" w:line="197"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auto"/>
        </w:rPr>
        <w:t>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2" w:right="740" w:bottom="0" w:gutter="0" w:footer="0" w:header="0"/>
          <w:type w:val="continuous"/>
        </w:sectPr>
      </w:pPr>
    </w:p>
    <w:bookmarkStart w:id="26" w:name="page27"/>
    <w:bookmarkEnd w:id="26"/>
    <w:p>
      <w:pPr>
        <w:ind w:right="240"/>
        <w:spacing w:after="0" w:line="278" w:lineRule="auto"/>
        <w:rPr>
          <w:sz w:val="20"/>
          <w:szCs w:val="20"/>
          <w:color w:val="auto"/>
        </w:rPr>
      </w:pPr>
      <w:r>
        <w:rPr>
          <w:rFonts w:ascii="Arial" w:cs="Arial" w:eastAsia="Arial" w:hAnsi="Arial"/>
          <w:sz w:val="18"/>
          <w:szCs w:val="18"/>
          <w:color w:val="auto"/>
        </w:rPr>
        <w:t>committees. In support of this process, the Board has determined that the Board as a whole must have the right mix of characteristics, skills, perspectives and experiences for the optimal functioning of the Board in its oversight of our Company. The Board considers the following factors and qualifications, without limitation: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appropriate size and the mix of characteristics and perspectives of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needs of the Board with respect to the particular talents and experience of its directors;</w:t>
      </w:r>
    </w:p>
    <w:p>
      <w:pPr>
        <w:spacing w:after="0" w:line="176" w:lineRule="exact"/>
        <w:rPr>
          <w:sz w:val="20"/>
          <w:szCs w:val="20"/>
          <w:color w:val="auto"/>
        </w:rPr>
      </w:pPr>
    </w:p>
    <w:p>
      <w:pPr>
        <w:ind w:left="180"/>
        <w:spacing w:after="0" w:line="278" w:lineRule="auto"/>
        <w:rPr>
          <w:sz w:val="20"/>
          <w:szCs w:val="20"/>
          <w:color w:val="auto"/>
        </w:rPr>
      </w:pPr>
      <w:r>
        <w:rPr>
          <w:rFonts w:ascii="Arial" w:cs="Arial" w:eastAsia="Arial" w:hAnsi="Arial"/>
          <w:sz w:val="18"/>
          <w:szCs w:val="18"/>
          <w:color w:val="auto"/>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familiarity with domestic and international business matters;</w:t>
      </w:r>
    </w:p>
    <w:p>
      <w:pPr>
        <w:spacing w:after="0" w:line="176" w:lineRule="exact"/>
        <w:rPr>
          <w:sz w:val="20"/>
          <w:szCs w:val="20"/>
          <w:color w:val="auto"/>
        </w:rPr>
      </w:pPr>
    </w:p>
    <w:p>
      <w:pPr>
        <w:ind w:left="180" w:right="4200"/>
        <w:spacing w:after="0" w:line="459" w:lineRule="auto"/>
        <w:rPr>
          <w:sz w:val="20"/>
          <w:szCs w:val="20"/>
          <w:color w:val="auto"/>
        </w:rPr>
      </w:pPr>
      <w:r>
        <w:rPr>
          <w:rFonts w:ascii="Arial" w:cs="Arial" w:eastAsia="Arial" w:hAnsi="Arial"/>
          <w:sz w:val="18"/>
          <w:szCs w:val="18"/>
          <w:color w:val="auto"/>
        </w:rPr>
        <w:t>familiarity and experience with legal and regulatory requirements; and experience with accounting rules and practices.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CONSIDERATIONS IN EVALUATING DIRECTOR NOMINEES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inclusiveness, skills, background, and experience. Although the Nominating and Corporate Governance Committee does not have a formal policy regarding inclusiveness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and stock exchange listing standards.</w:t>
      </w:r>
    </w:p>
    <w:p>
      <w:pPr>
        <w:spacing w:after="0" w:line="200" w:lineRule="exact"/>
        <w:rPr>
          <w:sz w:val="20"/>
          <w:szCs w:val="20"/>
          <w:color w:val="auto"/>
        </w:rPr>
      </w:pPr>
    </w:p>
    <w:p>
      <w:pPr>
        <w:spacing w:after="0" w:line="25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Once the Nominating and Corporate Governance Committee and the Board determine that it is appropriate to add a new director, either as a replacement or as an additional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p>
    <w:p>
      <w:pPr>
        <w:spacing w:after="0" w:line="200" w:lineRule="exact"/>
        <w:rPr>
          <w:sz w:val="20"/>
          <w:szCs w:val="20"/>
          <w:color w:val="auto"/>
        </w:rPr>
      </w:pPr>
    </w:p>
    <w:p>
      <w:pPr>
        <w:spacing w:after="0" w:line="26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STOCKHOLDER NOMINATIONS TO THE BOARD OF DIRECTORS</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order for a stockholder to have a candidate considered by the Nominating and Corporate Governance Committee, a stockholder should submit a written recommendation that includes (A) as to each person whom the stockholder proposes</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21</w:t>
      </w:r>
    </w:p>
    <w:p>
      <w:pPr>
        <w:sectPr>
          <w:pgSz w:w="11880" w:h="15480" w:orient="portrait"/>
          <w:cols w:equalWidth="0" w:num="1">
            <w:col w:w="10420"/>
          </w:cols>
          <w:pgMar w:left="720" w:top="943" w:right="740" w:bottom="0" w:gutter="0" w:footer="0" w:header="0"/>
          <w:type w:val="continuous"/>
        </w:sectPr>
      </w:pPr>
    </w:p>
    <w:bookmarkStart w:id="27" w:name="page28"/>
    <w:bookmarkEnd w:id="27"/>
    <w:p>
      <w:pPr>
        <w:ind w:left="2" w:right="20"/>
        <w:spacing w:after="0" w:line="274" w:lineRule="auto"/>
        <w:rPr>
          <w:sz w:val="20"/>
          <w:szCs w:val="20"/>
          <w:color w:val="auto"/>
        </w:rPr>
      </w:pPr>
      <w:r>
        <w:rPr>
          <w:rFonts w:ascii="Arial" w:cs="Arial" w:eastAsia="Arial" w:hAnsi="Arial"/>
          <w:sz w:val="18"/>
          <w:szCs w:val="18"/>
          <w:color w:val="auto"/>
        </w:rPr>
        <w:t>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 (3) the information required under Section 2.09(c) of the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200" w:lineRule="exact"/>
        <w:rPr>
          <w:sz w:val="20"/>
          <w:szCs w:val="20"/>
          <w:color w:val="auto"/>
        </w:rPr>
      </w:pPr>
    </w:p>
    <w:p>
      <w:pPr>
        <w:spacing w:after="0" w:line="238" w:lineRule="exact"/>
        <w:rPr>
          <w:sz w:val="20"/>
          <w:szCs w:val="20"/>
          <w:color w:val="auto"/>
        </w:rPr>
      </w:pPr>
    </w:p>
    <w:p>
      <w:pPr>
        <w:ind w:left="362" w:right="20" w:hanging="362"/>
        <w:spacing w:after="0" w:line="280" w:lineRule="auto"/>
        <w:tabs>
          <w:tab w:leader="none" w:pos="3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the name and address of any such beneficial owner, and of any affiliates, associates, or others acting in concert with such stockholder or such beneficial owner (any such person other than the stockholder, a “Stockholder Associated Person”);</w:t>
      </w:r>
    </w:p>
    <w:p>
      <w:pPr>
        <w:spacing w:after="0" w:line="195" w:lineRule="exact"/>
        <w:rPr>
          <w:rFonts w:ascii="Arial" w:cs="Arial" w:eastAsia="Arial" w:hAnsi="Arial"/>
          <w:sz w:val="18"/>
          <w:szCs w:val="18"/>
          <w:color w:val="auto"/>
        </w:rPr>
      </w:pPr>
    </w:p>
    <w:p>
      <w:pPr>
        <w:ind w:left="362" w:hanging="362"/>
        <w:spacing w:after="0" w:line="287" w:lineRule="auto"/>
        <w:tabs>
          <w:tab w:leader="none" w:pos="3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class or series, the number of shares of capital stock of the Company that are held of record or are beneficially owned by such stockholder and by any Stockholder Associated Person;</w:t>
      </w:r>
    </w:p>
    <w:p>
      <w:pPr>
        <w:spacing w:after="0" w:line="189" w:lineRule="exact"/>
        <w:rPr>
          <w:rFonts w:ascii="Arial" w:cs="Arial" w:eastAsia="Arial" w:hAnsi="Arial"/>
          <w:sz w:val="18"/>
          <w:szCs w:val="18"/>
          <w:color w:val="auto"/>
        </w:rPr>
      </w:pPr>
    </w:p>
    <w:p>
      <w:pPr>
        <w:ind w:left="362" w:right="60" w:hanging="362"/>
        <w:spacing w:after="0" w:line="280"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any agreement, arrangement, relationship or understanding (whether written or oral) between or among such stockholder or Stockholder Associated Person and any other person in connection with the proposal of such nomination or other business;</w:t>
      </w:r>
    </w:p>
    <w:p>
      <w:pPr>
        <w:spacing w:after="0" w:line="195" w:lineRule="exact"/>
        <w:rPr>
          <w:rFonts w:ascii="Arial" w:cs="Arial" w:eastAsia="Arial" w:hAnsi="Arial"/>
          <w:sz w:val="18"/>
          <w:szCs w:val="18"/>
          <w:color w:val="auto"/>
        </w:rPr>
      </w:pPr>
    </w:p>
    <w:p>
      <w:pPr>
        <w:ind w:left="362" w:hanging="362"/>
        <w:spacing w:after="0" w:line="276"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Company’s securities;</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362" w:right="40" w:hanging="362"/>
        <w:spacing w:after="0" w:line="293"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Company entitled to vote at such meeting and intends to appear in person or by proxy at the meeting to bring such nomination or other business before the meeting;</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362" w:hanging="362"/>
        <w:spacing w:after="0" w:line="276"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Stockholder Associated Person intends or is part of a group that intends to (i) deliver a proxy statement and/or form of proxy to holders of at least the percentage of the voting power of the Company’s outstanding capital stock required to approve or adopt the proposal or to elect each such nominee, (ii) otherwise solicit proxies from stockholders in support of such proposal or nomination and/or (iii) solicit holders of shares representing at least 67% of the outstanding securities of the Company generally entitled to vote on the election of directors in support of director nominees other than the Company’s nominees in accordance with Rule 14a-19 promulgated under the Exchange Act;</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362" w:right="40" w:hanging="362"/>
        <w:spacing w:after="0" w:line="277"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Stockholder Associated Person has complied with all applicable legal requirements in connection with its acquisition of shares or other securities of the Company, and any other information reasonably requested by the Company, including with respect to determining whether such person has complied with this Section 2.09(a) of the Bylaws;</w:t>
      </w:r>
    </w:p>
    <w:p>
      <w:pPr>
        <w:spacing w:after="0" w:line="199" w:lineRule="exact"/>
        <w:rPr>
          <w:rFonts w:ascii="Arial" w:cs="Arial" w:eastAsia="Arial" w:hAnsi="Arial"/>
          <w:sz w:val="18"/>
          <w:szCs w:val="18"/>
          <w:color w:val="auto"/>
        </w:rPr>
      </w:pPr>
    </w:p>
    <w:p>
      <w:pPr>
        <w:ind w:left="362" w:right="20" w:hanging="362"/>
        <w:spacing w:after="0" w:line="282"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362" w:hanging="362"/>
        <w:spacing w:after="0" w:line="287" w:lineRule="auto"/>
        <w:tabs>
          <w:tab w:leader="none" w:pos="3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information relating to any proposed item of business as the Company may reasonably require determining whether such proposed item of business is a proper matter for stockholder action.</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28" w:name="page29"/>
    <w:bookmarkEnd w:id="28"/>
    <w:p>
      <w:pPr>
        <w:ind w:right="60"/>
        <w:spacing w:after="0" w:line="292" w:lineRule="auto"/>
        <w:rPr>
          <w:sz w:val="20"/>
          <w:szCs w:val="20"/>
          <w:color w:val="auto"/>
        </w:rPr>
      </w:pPr>
      <w:r>
        <w:rPr>
          <w:rFonts w:ascii="Arial" w:cs="Arial" w:eastAsia="Arial" w:hAnsi="Arial"/>
          <w:sz w:val="18"/>
          <w:szCs w:val="18"/>
          <w:color w:val="auto"/>
        </w:rPr>
        <w:t>Stockholder recommendations should be addressed to the Nominating and Corporate Governance Committee in care of our Secretary at Lucid Group, Inc., 7373 Gateway Boulevard, Newark, CA 94560.</w:t>
      </w:r>
    </w:p>
    <w:p>
      <w:pPr>
        <w:spacing w:after="0" w:line="21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Each of the director nominees has been recommended by the Nominating and Corporate Governance Committee to the Board for election as our directors at the Annual Meeting, and the Board has approved such recommendations.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Executive Committee</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Executive Committee consists of Turqi Alnowaiser, Andrew Liveris, and Ori Winitzer, with Turqi Alnowaiser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 In 2024, the Executive Committee met 11 times.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STOCKHOLDER COMMUNICATIONS WITH THE BOARD OF DIRECTORS</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200" w:lineRule="exact"/>
        <w:rPr>
          <w:sz w:val="20"/>
          <w:szCs w:val="20"/>
          <w:color w:val="auto"/>
        </w:rPr>
      </w:pPr>
    </w:p>
    <w:p>
      <w:pPr>
        <w:spacing w:after="0" w:line="2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Board has adopted a process for stockholders and others to send communications to the Board or any director. All such communications should be sent by mail addressed to the Board or any particular director at Lucid Group, Inc., 7373 Gateway Boulevard, Newark, CA 94560, c/o General Counsel &amp; Secretary. All communications received by our General Counsel &amp; Secretary will be sent directly to the Board or any particular director.</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CODE OF BUSINESS CONDUCT AND ETHICS</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INSIDER TRADING POLICY</w:t>
      </w:r>
    </w:p>
    <w:p>
      <w:pPr>
        <w:spacing w:after="0" w:line="19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have adopted an Insider Trading Policy that we believe is reasonably designed to promote compliance with insider trading laws, rules and regulations, and any listing standards applicable to the Company. Under this policy, directors, officers and other employees and contractors of the Company and its subsidiaries and other persons who may have access to material nonpublic information are prohibited from engaging in certain transactions relating to Company securities. The foregoing summary of the Insider Trading Policy does not purport to be complete and is qualified in its entirety by reference to the full text of the Insider Trading Policy attached as Exhibit 19.1 to our Annual Report on Form 10-K for the fiscal year ended December 31,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INVOLVEMENT IN CERTAIN LEGAL PROCEEDINGS</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There are no material proceedings to which any director, officer or affiliate of the Company, any owner of record or beneficially of more than 5% of any class of voting securities of the Company, or any associate of any such director, officer, affiliate of the Company, or security holder is a party adverse to the Company or any of its subsidiaries or has a material interest adverse to the Company or any of its subsidiaries.</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23</w:t>
      </w:r>
    </w:p>
    <w:p>
      <w:pPr>
        <w:sectPr>
          <w:pgSz w:w="11880" w:h="15480" w:orient="portrait"/>
          <w:cols w:equalWidth="0" w:num="1">
            <w:col w:w="10420"/>
          </w:cols>
          <w:pgMar w:left="720" w:top="943" w:right="74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40"/>
          <w:szCs w:val="40"/>
          <w:color w:val="auto"/>
        </w:rPr>
        <w:t>Report of the Audit Committee of the Board of Directors</w:t>
      </w:r>
    </w:p>
    <w:p>
      <w:pPr>
        <w:spacing w:after="0" w:line="200" w:lineRule="exact"/>
        <w:rPr>
          <w:sz w:val="20"/>
          <w:szCs w:val="20"/>
          <w:color w:val="auto"/>
        </w:rPr>
      </w:pP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2024, the Audit Committee met and held discussions with management and KPMG LLP (“KPMG”), the Company’s independent registered public accounting firm. Management has represented to the Audit Committee that the Company’s consolidated financial statements for the fiscal year ended December 31, 2024, were prepared in accordance with U.S. generally accepted accounting principles, and the Audit Committee has reviewed and discussed the audited financial statements of the Company with management of the Company and with KPMG. In addition, the Audit Committee has discussed with KPMG the matters required to be discussed by the applicable requirements of the Public Company Accounting Oversight Board (the “PCAOB”) and the SEC. The Audit Committee has received from KPMG the written disclosures regarding KPMG’s communications with the Audit Committee concerning independence required by the applicable requirements of the PCAOB and has discussed with KPMG the independence of KPMG from the Company and its management. Based on the foregoing, the Audit Committee recommended to the Board, and the Board approved, the inclusion of the audited consolidated financial statements in the Company’s Annual Report on Form 10-K for the fiscal year ended December 31, 2024, for filing with the SEC. The Audit Committee and the Board have also recommended the selection of KPMG as the Company’s independent registered public accounting firm for the fiscal year ending December 31, 2025.</w:t>
      </w:r>
    </w:p>
    <w:p>
      <w:pPr>
        <w:spacing w:after="0" w:line="200" w:lineRule="exact"/>
        <w:rPr>
          <w:sz w:val="20"/>
          <w:szCs w:val="20"/>
          <w:color w:val="auto"/>
        </w:rPr>
      </w:pPr>
    </w:p>
    <w:p>
      <w:pPr>
        <w:spacing w:after="0" w:line="2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Janet S. Wong,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Lisa M. Lambert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914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PROPOSAL NO. 2:</w:t>
      </w:r>
    </w:p>
    <w:p>
      <w:pPr>
        <w:spacing w:after="0" w:line="200" w:lineRule="exact"/>
        <w:rPr>
          <w:sz w:val="20"/>
          <w:szCs w:val="20"/>
          <w:color w:val="auto"/>
        </w:rPr>
      </w:pPr>
    </w:p>
    <w:p>
      <w:pPr>
        <w:spacing w:after="0" w:line="229" w:lineRule="exact"/>
        <w:rPr>
          <w:sz w:val="20"/>
          <w:szCs w:val="20"/>
          <w:color w:val="auto"/>
        </w:rPr>
      </w:pPr>
    </w:p>
    <w:p>
      <w:pPr>
        <w:ind w:right="1000"/>
        <w:spacing w:after="0" w:line="242" w:lineRule="auto"/>
        <w:rPr>
          <w:sz w:val="20"/>
          <w:szCs w:val="20"/>
          <w:color w:val="auto"/>
        </w:rPr>
      </w:pPr>
      <w:r>
        <w:rPr>
          <w:rFonts w:ascii="Times New Roman" w:cs="Times New Roman" w:eastAsia="Times New Roman" w:hAnsi="Times New Roman"/>
          <w:sz w:val="40"/>
          <w:szCs w:val="40"/>
          <w:color w:val="auto"/>
        </w:rPr>
        <w:t>Ratification of the Selection of the Independent Registered Public Accounting Firm</w:t>
      </w: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On April 3, 2025, our Audit Committee selected KPMG LLP (“KPMG”) as our independent registered public accounting firm for the fiscal year ending December 31, 2025. KPMG has served as our independent registered public accounting firm since June 17, 2023. Representatives of KPMG plan to attend the Annual Meeting and will be available to answer appropriate questions from stockholders. They will have the opportunity to make a statement if they desire to do so.</w:t>
      </w:r>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KPMG as our independent registered public accounting firm. However, the Board is submitting the selection of KPMG to the stockholders for ratification as a matter of good corporate practice. If the stockholders fail to ratify the selection, the Audit Committee will reconsider whether to retain KPMG.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sectPr>
          <w:pgSz w:w="11880" w:h="15480" w:orient="portrait"/>
          <w:cols w:equalWidth="0" w:num="1">
            <w:col w:w="10420"/>
          </w:cols>
          <w:pgMar w:left="720" w:top="144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25</w:t>
      </w:r>
    </w:p>
    <w:p>
      <w:pPr>
        <w:sectPr>
          <w:pgSz w:w="11880" w:h="15480" w:orient="portrait"/>
          <w:cols w:equalWidth="0" w:num="1">
            <w:col w:w="10420"/>
          </w:cols>
          <w:pgMar w:left="720" w:top="1440" w:right="740" w:bottom="0" w:gutter="0" w:footer="0" w:header="0"/>
          <w:type w:val="continuous"/>
        </w:sectPr>
      </w:pPr>
    </w:p>
    <w:bookmarkStart w:id="31" w:name="page32"/>
    <w:bookmarkEnd w:id="31"/>
    <w:p>
      <w:pPr>
        <w:ind w:left="2"/>
        <w:spacing w:after="0"/>
        <w:rPr>
          <w:sz w:val="20"/>
          <w:szCs w:val="20"/>
          <w:color w:val="auto"/>
        </w:rPr>
      </w:pPr>
      <w:r>
        <w:rPr>
          <w:rFonts w:ascii="Arial" w:cs="Arial" w:eastAsia="Arial" w:hAnsi="Arial"/>
          <w:sz w:val="16"/>
          <w:szCs w:val="16"/>
          <w:color w:val="auto"/>
        </w:rPr>
        <w:t>INDEPENDENT REGISTERED PUBLIC ACCOUNTING FIRM</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following is a summary of the fees and services provided by Grant Thornton LLP (“Grant Thornton”) and KPMG to</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8"/>
          <w:szCs w:val="18"/>
          <w:color w:val="auto"/>
        </w:rPr>
        <w:t>Lucid for fiscal years 2023 and 2024:</w:t>
      </w:r>
    </w:p>
    <w:p>
      <w:pPr>
        <w:spacing w:after="0" w:line="326"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57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Description of Services Provided by Grant Thornton and KPMG</w:t>
            </w:r>
          </w:p>
        </w:tc>
        <w:tc>
          <w:tcPr>
            <w:tcW w:w="2840" w:type="dxa"/>
            <w:vAlign w:val="bottom"/>
            <w:shd w:val="clear" w:color="auto" w:fill="000000"/>
          </w:tcPr>
          <w:p>
            <w:pPr>
              <w:ind w:left="1320"/>
              <w:spacing w:after="0"/>
              <w:rPr>
                <w:sz w:val="20"/>
                <w:szCs w:val="20"/>
                <w:color w:val="auto"/>
              </w:rPr>
            </w:pPr>
            <w:r>
              <w:rPr>
                <w:rFonts w:ascii="Arial" w:cs="Arial" w:eastAsia="Arial" w:hAnsi="Arial"/>
                <w:sz w:val="14"/>
                <w:szCs w:val="14"/>
                <w:color w:val="FFFFFF"/>
              </w:rPr>
              <w:t>Fiscal year Ended</w:t>
            </w:r>
          </w:p>
        </w:tc>
        <w:tc>
          <w:tcPr>
            <w:tcW w:w="1840" w:type="dxa"/>
            <w:vAlign w:val="bottom"/>
            <w:shd w:val="clear" w:color="auto" w:fill="000000"/>
          </w:tcPr>
          <w:p>
            <w:pPr>
              <w:ind w:left="160"/>
              <w:spacing w:after="0"/>
              <w:rPr>
                <w:sz w:val="20"/>
                <w:szCs w:val="20"/>
                <w:color w:val="auto"/>
              </w:rPr>
            </w:pPr>
            <w:r>
              <w:rPr>
                <w:rFonts w:ascii="Arial" w:cs="Arial" w:eastAsia="Arial" w:hAnsi="Arial"/>
                <w:sz w:val="14"/>
                <w:szCs w:val="14"/>
                <w:color w:val="FFFFFF"/>
              </w:rPr>
              <w:t>Fiscal year Ended</w:t>
            </w:r>
          </w:p>
        </w:tc>
      </w:tr>
      <w:tr>
        <w:trPr>
          <w:trHeight w:val="172"/>
        </w:trPr>
        <w:tc>
          <w:tcPr>
            <w:tcW w:w="5740" w:type="dxa"/>
            <w:vAlign w:val="bottom"/>
            <w:shd w:val="clear" w:color="auto" w:fill="000000"/>
          </w:tcPr>
          <w:p>
            <w:pPr>
              <w:spacing w:after="0"/>
              <w:rPr>
                <w:sz w:val="14"/>
                <w:szCs w:val="14"/>
                <w:color w:val="auto"/>
              </w:rPr>
            </w:pPr>
          </w:p>
        </w:tc>
        <w:tc>
          <w:tcPr>
            <w:tcW w:w="2840" w:type="dxa"/>
            <w:vAlign w:val="bottom"/>
            <w:shd w:val="clear" w:color="auto" w:fill="000000"/>
          </w:tcPr>
          <w:p>
            <w:pPr>
              <w:ind w:left="1320"/>
              <w:spacing w:after="0"/>
              <w:rPr>
                <w:sz w:val="20"/>
                <w:szCs w:val="20"/>
                <w:color w:val="auto"/>
              </w:rPr>
            </w:pPr>
            <w:r>
              <w:rPr>
                <w:rFonts w:ascii="Arial" w:cs="Arial" w:eastAsia="Arial" w:hAnsi="Arial"/>
                <w:sz w:val="14"/>
                <w:szCs w:val="14"/>
                <w:color w:val="FFFFFF"/>
              </w:rPr>
              <w:t>December 31, 2023</w:t>
            </w:r>
          </w:p>
        </w:tc>
        <w:tc>
          <w:tcPr>
            <w:tcW w:w="1840" w:type="dxa"/>
            <w:vAlign w:val="bottom"/>
            <w:shd w:val="clear" w:color="auto" w:fill="000000"/>
          </w:tcPr>
          <w:p>
            <w:pPr>
              <w:ind w:left="160"/>
              <w:spacing w:after="0"/>
              <w:rPr>
                <w:sz w:val="20"/>
                <w:szCs w:val="20"/>
                <w:color w:val="auto"/>
              </w:rPr>
            </w:pPr>
            <w:r>
              <w:rPr>
                <w:rFonts w:ascii="Arial" w:cs="Arial" w:eastAsia="Arial" w:hAnsi="Arial"/>
                <w:sz w:val="14"/>
                <w:szCs w:val="14"/>
                <w:color w:val="FFFFFF"/>
              </w:rPr>
              <w:t>December 31, 2024</w:t>
            </w:r>
          </w:p>
        </w:tc>
      </w:tr>
      <w:tr>
        <w:trPr>
          <w:trHeight w:val="149"/>
        </w:trPr>
        <w:tc>
          <w:tcPr>
            <w:tcW w:w="5740" w:type="dxa"/>
            <w:vAlign w:val="bottom"/>
            <w:shd w:val="clear" w:color="auto" w:fill="000000"/>
          </w:tcPr>
          <w:p>
            <w:pPr>
              <w:spacing w:after="0"/>
              <w:rPr>
                <w:sz w:val="12"/>
                <w:szCs w:val="12"/>
                <w:color w:val="auto"/>
              </w:rPr>
            </w:pPr>
          </w:p>
        </w:tc>
        <w:tc>
          <w:tcPr>
            <w:tcW w:w="2840" w:type="dxa"/>
            <w:vAlign w:val="bottom"/>
            <w:shd w:val="clear" w:color="auto" w:fill="000000"/>
          </w:tcPr>
          <w:p>
            <w:pPr>
              <w:spacing w:after="0"/>
              <w:rPr>
                <w:sz w:val="12"/>
                <w:szCs w:val="12"/>
                <w:color w:val="auto"/>
              </w:rPr>
            </w:pPr>
          </w:p>
        </w:tc>
        <w:tc>
          <w:tcPr>
            <w:tcW w:w="1840" w:type="dxa"/>
            <w:vAlign w:val="bottom"/>
            <w:shd w:val="clear" w:color="auto" w:fill="000000"/>
          </w:tcPr>
          <w:p>
            <w:pPr>
              <w:spacing w:after="0"/>
              <w:rPr>
                <w:sz w:val="12"/>
                <w:szCs w:val="12"/>
                <w:color w:val="auto"/>
              </w:rPr>
            </w:pPr>
          </w:p>
        </w:tc>
      </w:tr>
      <w:tr>
        <w:trPr>
          <w:trHeight w:val="390"/>
        </w:trPr>
        <w:tc>
          <w:tcPr>
            <w:tcW w:w="5740" w:type="dxa"/>
            <w:vAlign w:val="bottom"/>
          </w:tcPr>
          <w:p>
            <w:pPr>
              <w:ind w:left="180"/>
              <w:spacing w:after="0"/>
              <w:rPr>
                <w:sz w:val="20"/>
                <w:szCs w:val="20"/>
                <w:color w:val="auto"/>
              </w:rPr>
            </w:pPr>
            <w:r>
              <w:rPr>
                <w:rFonts w:ascii="Arial" w:cs="Arial" w:eastAsia="Arial" w:hAnsi="Arial"/>
                <w:sz w:val="16"/>
                <w:szCs w:val="16"/>
                <w:color w:val="auto"/>
              </w:rPr>
              <w:t>Audit Fees</w:t>
            </w:r>
            <w:r>
              <w:rPr>
                <w:rFonts w:ascii="Arial" w:cs="Arial" w:eastAsia="Arial" w:hAnsi="Arial"/>
                <w:sz w:val="19"/>
                <w:szCs w:val="19"/>
                <w:color w:val="auto"/>
                <w:vertAlign w:val="superscript"/>
              </w:rPr>
              <w:t>(1)</w:t>
            </w:r>
          </w:p>
        </w:tc>
        <w:tc>
          <w:tcPr>
            <w:tcW w:w="2840" w:type="dxa"/>
            <w:vAlign w:val="bottom"/>
          </w:tcPr>
          <w:p>
            <w:pPr>
              <w:ind w:left="1320"/>
              <w:spacing w:after="0"/>
              <w:rPr>
                <w:sz w:val="20"/>
                <w:szCs w:val="20"/>
                <w:color w:val="auto"/>
              </w:rPr>
            </w:pPr>
            <w:r>
              <w:rPr>
                <w:rFonts w:ascii="Arial" w:cs="Arial" w:eastAsia="Arial" w:hAnsi="Arial"/>
                <w:sz w:val="16"/>
                <w:szCs w:val="16"/>
                <w:color w:val="auto"/>
              </w:rPr>
              <w:t>$4,200,000</w:t>
            </w:r>
          </w:p>
        </w:tc>
        <w:tc>
          <w:tcPr>
            <w:tcW w:w="1840" w:type="dxa"/>
            <w:vAlign w:val="bottom"/>
          </w:tcPr>
          <w:p>
            <w:pPr>
              <w:ind w:left="160"/>
              <w:spacing w:after="0"/>
              <w:rPr>
                <w:sz w:val="20"/>
                <w:szCs w:val="20"/>
                <w:color w:val="auto"/>
              </w:rPr>
            </w:pPr>
            <w:r>
              <w:rPr>
                <w:rFonts w:ascii="Arial" w:cs="Arial" w:eastAsia="Arial" w:hAnsi="Arial"/>
                <w:sz w:val="16"/>
                <w:szCs w:val="16"/>
                <w:color w:val="auto"/>
              </w:rPr>
              <w:t>$5,094,068</w:t>
            </w:r>
          </w:p>
        </w:tc>
      </w:tr>
      <w:tr>
        <w:trPr>
          <w:trHeight w:val="71"/>
        </w:trPr>
        <w:tc>
          <w:tcPr>
            <w:tcW w:w="57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304"/>
        </w:trPr>
        <w:tc>
          <w:tcPr>
            <w:tcW w:w="5740" w:type="dxa"/>
            <w:vAlign w:val="bottom"/>
          </w:tcPr>
          <w:p>
            <w:pPr>
              <w:ind w:left="180"/>
              <w:spacing w:after="0"/>
              <w:rPr>
                <w:sz w:val="20"/>
                <w:szCs w:val="20"/>
                <w:color w:val="auto"/>
              </w:rPr>
            </w:pPr>
            <w:r>
              <w:rPr>
                <w:rFonts w:ascii="Arial" w:cs="Arial" w:eastAsia="Arial" w:hAnsi="Arial"/>
                <w:sz w:val="16"/>
                <w:szCs w:val="16"/>
                <w:color w:val="auto"/>
              </w:rPr>
              <w:t>Audit-Related Fees</w:t>
            </w:r>
          </w:p>
        </w:tc>
        <w:tc>
          <w:tcPr>
            <w:tcW w:w="2840" w:type="dxa"/>
            <w:vAlign w:val="bottom"/>
          </w:tcPr>
          <w:p>
            <w:pPr>
              <w:ind w:left="1320"/>
              <w:spacing w:after="0"/>
              <w:rPr>
                <w:sz w:val="20"/>
                <w:szCs w:val="20"/>
                <w:color w:val="auto"/>
              </w:rPr>
            </w:pPr>
            <w:r>
              <w:rPr>
                <w:rFonts w:ascii="Arial" w:cs="Arial" w:eastAsia="Arial" w:hAnsi="Arial"/>
                <w:sz w:val="16"/>
                <w:szCs w:val="16"/>
                <w:color w:val="auto"/>
              </w:rPr>
              <w:t>—</w:t>
            </w:r>
          </w:p>
        </w:tc>
        <w:tc>
          <w:tcPr>
            <w:tcW w:w="184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135"/>
        </w:trPr>
        <w:tc>
          <w:tcPr>
            <w:tcW w:w="57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304"/>
        </w:trPr>
        <w:tc>
          <w:tcPr>
            <w:tcW w:w="5740" w:type="dxa"/>
            <w:vAlign w:val="bottom"/>
          </w:tcPr>
          <w:p>
            <w:pPr>
              <w:ind w:left="180"/>
              <w:spacing w:after="0"/>
              <w:rPr>
                <w:sz w:val="20"/>
                <w:szCs w:val="20"/>
                <w:color w:val="auto"/>
              </w:rPr>
            </w:pPr>
            <w:r>
              <w:rPr>
                <w:rFonts w:ascii="Arial" w:cs="Arial" w:eastAsia="Arial" w:hAnsi="Arial"/>
                <w:sz w:val="16"/>
                <w:szCs w:val="16"/>
                <w:color w:val="auto"/>
              </w:rPr>
              <w:t>Tax Fees</w:t>
            </w:r>
          </w:p>
        </w:tc>
        <w:tc>
          <w:tcPr>
            <w:tcW w:w="2840" w:type="dxa"/>
            <w:vAlign w:val="bottom"/>
          </w:tcPr>
          <w:p>
            <w:pPr>
              <w:ind w:left="1320"/>
              <w:spacing w:after="0"/>
              <w:rPr>
                <w:sz w:val="20"/>
                <w:szCs w:val="20"/>
                <w:color w:val="auto"/>
              </w:rPr>
            </w:pPr>
            <w:r>
              <w:rPr>
                <w:rFonts w:ascii="Arial" w:cs="Arial" w:eastAsia="Arial" w:hAnsi="Arial"/>
                <w:sz w:val="16"/>
                <w:szCs w:val="16"/>
                <w:color w:val="auto"/>
              </w:rPr>
              <w:t>15,000</w:t>
            </w:r>
          </w:p>
        </w:tc>
        <w:tc>
          <w:tcPr>
            <w:tcW w:w="1840" w:type="dxa"/>
            <w:vAlign w:val="bottom"/>
          </w:tcPr>
          <w:p>
            <w:pPr>
              <w:ind w:left="160"/>
              <w:spacing w:after="0"/>
              <w:rPr>
                <w:sz w:val="20"/>
                <w:szCs w:val="20"/>
                <w:color w:val="auto"/>
              </w:rPr>
            </w:pPr>
            <w:r>
              <w:rPr>
                <w:rFonts w:ascii="Arial" w:cs="Arial" w:eastAsia="Arial" w:hAnsi="Arial"/>
                <w:sz w:val="16"/>
                <w:szCs w:val="16"/>
                <w:color w:val="auto"/>
              </w:rPr>
              <w:t>246,200</w:t>
            </w:r>
          </w:p>
        </w:tc>
      </w:tr>
      <w:tr>
        <w:trPr>
          <w:trHeight w:val="135"/>
        </w:trPr>
        <w:tc>
          <w:tcPr>
            <w:tcW w:w="57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304"/>
        </w:trPr>
        <w:tc>
          <w:tcPr>
            <w:tcW w:w="5740" w:type="dxa"/>
            <w:vAlign w:val="bottom"/>
          </w:tcPr>
          <w:p>
            <w:pPr>
              <w:ind w:left="180"/>
              <w:spacing w:after="0"/>
              <w:rPr>
                <w:sz w:val="20"/>
                <w:szCs w:val="20"/>
                <w:color w:val="auto"/>
              </w:rPr>
            </w:pPr>
            <w:r>
              <w:rPr>
                <w:rFonts w:ascii="Arial" w:cs="Arial" w:eastAsia="Arial" w:hAnsi="Arial"/>
                <w:sz w:val="16"/>
                <w:szCs w:val="16"/>
                <w:color w:val="auto"/>
              </w:rPr>
              <w:t>All Other Fees</w:t>
            </w:r>
          </w:p>
        </w:tc>
        <w:tc>
          <w:tcPr>
            <w:tcW w:w="2840" w:type="dxa"/>
            <w:vAlign w:val="bottom"/>
          </w:tcPr>
          <w:p>
            <w:pPr>
              <w:ind w:left="1320"/>
              <w:spacing w:after="0"/>
              <w:rPr>
                <w:sz w:val="20"/>
                <w:szCs w:val="20"/>
                <w:color w:val="auto"/>
              </w:rPr>
            </w:pPr>
            <w:r>
              <w:rPr>
                <w:rFonts w:ascii="Arial" w:cs="Arial" w:eastAsia="Arial" w:hAnsi="Arial"/>
                <w:sz w:val="16"/>
                <w:szCs w:val="16"/>
                <w:color w:val="auto"/>
              </w:rPr>
              <w:t>—</w:t>
            </w:r>
          </w:p>
        </w:tc>
        <w:tc>
          <w:tcPr>
            <w:tcW w:w="184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135"/>
        </w:trPr>
        <w:tc>
          <w:tcPr>
            <w:tcW w:w="57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304"/>
        </w:trPr>
        <w:tc>
          <w:tcPr>
            <w:tcW w:w="5740" w:type="dxa"/>
            <w:vAlign w:val="bottom"/>
          </w:tcPr>
          <w:p>
            <w:pPr>
              <w:ind w:left="180"/>
              <w:spacing w:after="0"/>
              <w:rPr>
                <w:sz w:val="20"/>
                <w:szCs w:val="20"/>
                <w:color w:val="auto"/>
              </w:rPr>
            </w:pPr>
            <w:r>
              <w:rPr>
                <w:rFonts w:ascii="Arial" w:cs="Arial" w:eastAsia="Arial" w:hAnsi="Arial"/>
                <w:sz w:val="16"/>
                <w:szCs w:val="16"/>
                <w:color w:val="auto"/>
              </w:rPr>
              <w:t>TOTAL</w:t>
            </w:r>
          </w:p>
        </w:tc>
        <w:tc>
          <w:tcPr>
            <w:tcW w:w="2840" w:type="dxa"/>
            <w:vAlign w:val="bottom"/>
          </w:tcPr>
          <w:p>
            <w:pPr>
              <w:ind w:left="1320"/>
              <w:spacing w:after="0"/>
              <w:rPr>
                <w:sz w:val="20"/>
                <w:szCs w:val="20"/>
                <w:color w:val="auto"/>
              </w:rPr>
            </w:pPr>
            <w:r>
              <w:rPr>
                <w:rFonts w:ascii="Arial" w:cs="Arial" w:eastAsia="Arial" w:hAnsi="Arial"/>
                <w:sz w:val="16"/>
                <w:szCs w:val="16"/>
                <w:color w:val="auto"/>
              </w:rPr>
              <w:t>$4,215,000</w:t>
            </w:r>
          </w:p>
        </w:tc>
        <w:tc>
          <w:tcPr>
            <w:tcW w:w="1840" w:type="dxa"/>
            <w:vAlign w:val="bottom"/>
          </w:tcPr>
          <w:p>
            <w:pPr>
              <w:ind w:left="160"/>
              <w:spacing w:after="0"/>
              <w:rPr>
                <w:sz w:val="20"/>
                <w:szCs w:val="20"/>
                <w:color w:val="auto"/>
              </w:rPr>
            </w:pPr>
            <w:r>
              <w:rPr>
                <w:rFonts w:ascii="Arial" w:cs="Arial" w:eastAsia="Arial" w:hAnsi="Arial"/>
                <w:sz w:val="16"/>
                <w:szCs w:val="16"/>
                <w:color w:val="auto"/>
              </w:rPr>
              <w:t>$5,340,268</w:t>
            </w:r>
          </w:p>
        </w:tc>
      </w:tr>
      <w:tr>
        <w:trPr>
          <w:trHeight w:val="138"/>
        </w:trPr>
        <w:tc>
          <w:tcPr>
            <w:tcW w:w="57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bl>
    <w:p>
      <w:pPr>
        <w:spacing w:after="0" w:line="313" w:lineRule="exact"/>
        <w:rPr>
          <w:sz w:val="20"/>
          <w:szCs w:val="20"/>
          <w:color w:val="auto"/>
        </w:rPr>
      </w:pPr>
    </w:p>
    <w:p>
      <w:pPr>
        <w:ind w:left="142" w:hanging="142"/>
        <w:spacing w:after="0" w:line="230" w:lineRule="auto"/>
        <w:tabs>
          <w:tab w:leader="none" w:pos="142"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Audit Fees in 2023 and 2024 were for professional services rendered for the audits of our financial statements, review of interim financial statements, assistance with registration statements filed with the SEC and services that are normally provided by Grant Thornton and KPMG in connection with statutory and regulatory filings or engagements. Fees for the year ended December 31, 2024 included approximately $335,000 charged by Grant Thornton and $4,759,068 charged by KPMG. Fees for the year ended December 31, 2023 included approximately $630,000 charged by Grant Thornton and $3,570,000 charged by KPMG.</w:t>
      </w:r>
    </w:p>
    <w:p>
      <w:pPr>
        <w:spacing w:after="0" w:line="188" w:lineRule="exact"/>
        <w:rPr>
          <w:sz w:val="20"/>
          <w:szCs w:val="20"/>
          <w:color w:val="auto"/>
        </w:rPr>
      </w:pPr>
    </w:p>
    <w:p>
      <w:pPr>
        <w:ind w:left="2"/>
        <w:spacing w:after="0" w:line="279" w:lineRule="auto"/>
        <w:rPr>
          <w:sz w:val="20"/>
          <w:szCs w:val="20"/>
          <w:color w:val="auto"/>
        </w:rPr>
      </w:pPr>
      <w:r>
        <w:rPr>
          <w:rFonts w:ascii="Arial" w:cs="Arial" w:eastAsia="Arial" w:hAnsi="Arial"/>
          <w:sz w:val="18"/>
          <w:szCs w:val="18"/>
          <w:color w:val="auto"/>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p>
    <w:p>
      <w:pPr>
        <w:spacing w:after="0" w:line="200" w:lineRule="exact"/>
        <w:rPr>
          <w:sz w:val="20"/>
          <w:szCs w:val="20"/>
          <w:color w:val="auto"/>
        </w:rPr>
      </w:pPr>
    </w:p>
    <w:p>
      <w:pPr>
        <w:spacing w:after="0" w:line="236" w:lineRule="exact"/>
        <w:rPr>
          <w:sz w:val="20"/>
          <w:szCs w:val="20"/>
          <w:color w:val="auto"/>
        </w:rPr>
      </w:pPr>
    </w:p>
    <w:p>
      <w:pPr>
        <w:ind w:left="2"/>
        <w:spacing w:after="0" w:line="280" w:lineRule="auto"/>
        <w:rPr>
          <w:sz w:val="20"/>
          <w:szCs w:val="20"/>
          <w:color w:val="auto"/>
        </w:rPr>
      </w:pPr>
      <w:r>
        <w:rPr>
          <w:rFonts w:ascii="Arial" w:cs="Arial" w:eastAsia="Arial" w:hAnsi="Arial"/>
          <w:sz w:val="18"/>
          <w:szCs w:val="18"/>
          <w:color w:val="auto"/>
        </w:rPr>
        <w:t>All of the services provided by Grant Thornton for fiscal year 2023 and fiscal year 2024, and fees for such services, and all services provided by KPMG for fiscal year 2023 and fiscal year 2024, and fees for such services, were pre-approved by the Audit Committee in accordance with these standards.</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6"/>
          <w:szCs w:val="16"/>
          <w:color w:val="auto"/>
        </w:rPr>
        <w:t>CHANGE IN ACCOUNTANTS</w:t>
      </w:r>
    </w:p>
    <w:p>
      <w:pPr>
        <w:spacing w:after="0" w:line="197" w:lineRule="exact"/>
        <w:rPr>
          <w:sz w:val="20"/>
          <w:szCs w:val="20"/>
          <w:color w:val="auto"/>
        </w:rPr>
      </w:pPr>
    </w:p>
    <w:p>
      <w:pPr>
        <w:ind w:left="2"/>
        <w:spacing w:after="0" w:line="280" w:lineRule="auto"/>
        <w:rPr>
          <w:sz w:val="20"/>
          <w:szCs w:val="20"/>
          <w:color w:val="auto"/>
        </w:rPr>
      </w:pPr>
      <w:r>
        <w:rPr>
          <w:rFonts w:ascii="Arial" w:cs="Arial" w:eastAsia="Arial" w:hAnsi="Arial"/>
          <w:sz w:val="18"/>
          <w:szCs w:val="18"/>
          <w:color w:val="auto"/>
        </w:rPr>
        <w:t>On May 26, 2023, following the conclusion of a process managed by the Audit Committee of the Board and effective June 17, 2023, the Audit Committee approved the appointment of KPMG as the Company’s independent registered public accounting firm beginning with the year ending December 31, 2023.</w:t>
      </w:r>
    </w:p>
    <w:p>
      <w:pPr>
        <w:spacing w:after="0" w:line="204" w:lineRule="exact"/>
        <w:rPr>
          <w:sz w:val="20"/>
          <w:szCs w:val="20"/>
          <w:color w:val="auto"/>
        </w:rPr>
      </w:pPr>
    </w:p>
    <w:p>
      <w:pPr>
        <w:ind w:left="2" w:right="20"/>
        <w:spacing w:after="0" w:line="279" w:lineRule="auto"/>
        <w:rPr>
          <w:sz w:val="20"/>
          <w:szCs w:val="20"/>
          <w:color w:val="auto"/>
        </w:rPr>
      </w:pPr>
      <w:r>
        <w:rPr>
          <w:rFonts w:ascii="Arial" w:cs="Arial" w:eastAsia="Arial" w:hAnsi="Arial"/>
          <w:sz w:val="18"/>
          <w:szCs w:val="18"/>
          <w:color w:val="auto"/>
        </w:rPr>
        <w:t>On May 26, 2023, the Audit Committee dismissed Grant Thornton as the Company’s independent registered public accounting firm effective immediately upon the effectiveness of the appointment of KPMG. Grant Thornton served as the Company’s independent registered public accounting firm since the close of the merger with Churchill Capital Corp IV on July 23, 2021 and as the independent registered public accounting firm of the Company’s predecessor, Atieva, Inc., since October 13, 2020.</w:t>
      </w:r>
    </w:p>
    <w:p>
      <w:pPr>
        <w:spacing w:after="0" w:line="200" w:lineRule="exact"/>
        <w:rPr>
          <w:sz w:val="20"/>
          <w:szCs w:val="20"/>
          <w:color w:val="auto"/>
        </w:rPr>
      </w:pPr>
    </w:p>
    <w:p>
      <w:pPr>
        <w:spacing w:after="0" w:line="234" w:lineRule="exact"/>
        <w:rPr>
          <w:sz w:val="20"/>
          <w:szCs w:val="20"/>
          <w:color w:val="auto"/>
        </w:rPr>
      </w:pPr>
    </w:p>
    <w:p>
      <w:pPr>
        <w:jc w:val="both"/>
        <w:ind w:left="2" w:right="140"/>
        <w:spacing w:after="0" w:line="280" w:lineRule="auto"/>
        <w:rPr>
          <w:sz w:val="20"/>
          <w:szCs w:val="20"/>
          <w:color w:val="auto"/>
        </w:rPr>
      </w:pPr>
      <w:r>
        <w:rPr>
          <w:rFonts w:ascii="Arial" w:cs="Arial" w:eastAsia="Arial" w:hAnsi="Arial"/>
          <w:sz w:val="18"/>
          <w:szCs w:val="18"/>
          <w:color w:val="auto"/>
        </w:rPr>
        <w:t>The audit reports of Grant Thornton on the Company’s consolidated financial statements as of and for the years ended December 31, 2021 and 2022 did not contain an adverse opinion or a disclaimer of opinion, and were not qualified or modified as to uncertainty, audit scope or accounting principles.</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color w:val="auto"/>
        </w:rPr>
        <w:t>During the fiscal years ended December 31, 2021 and December 31, 2022 and through May 26, 2023, there were no:</w:t>
      </w:r>
    </w:p>
    <w:p>
      <w:pPr>
        <w:spacing w:after="0" w:line="28" w:lineRule="exact"/>
        <w:rPr>
          <w:sz w:val="20"/>
          <w:szCs w:val="20"/>
          <w:color w:val="auto"/>
        </w:rPr>
      </w:pPr>
    </w:p>
    <w:p>
      <w:pPr>
        <w:ind w:left="2" w:hanging="2"/>
        <w:spacing w:after="0" w:line="277" w:lineRule="auto"/>
        <w:tabs>
          <w:tab w:leader="none" w:pos="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disagreements with Grant Thornton within the meaning of Item 304(a)(1)(iv) of Regulation S-K promulgated under the Securities Exchange Act of 1934, as amended, or Regulation S-K, and the related instructions thereto,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 and the related instructions thereto.</w:t>
      </w:r>
    </w:p>
    <w:p>
      <w:pPr>
        <w:spacing w:after="0" w:line="200" w:lineRule="exact"/>
        <w:rPr>
          <w:sz w:val="20"/>
          <w:szCs w:val="20"/>
          <w:color w:val="auto"/>
        </w:rPr>
      </w:pPr>
    </w:p>
    <w:p>
      <w:pPr>
        <w:spacing w:after="0" w:line="238" w:lineRule="exact"/>
        <w:rPr>
          <w:sz w:val="20"/>
          <w:szCs w:val="20"/>
          <w:color w:val="auto"/>
        </w:rPr>
      </w:pPr>
    </w:p>
    <w:p>
      <w:pPr>
        <w:ind w:left="2" w:right="40"/>
        <w:spacing w:after="0" w:line="287" w:lineRule="auto"/>
        <w:rPr>
          <w:sz w:val="20"/>
          <w:szCs w:val="20"/>
          <w:color w:val="auto"/>
        </w:rPr>
      </w:pPr>
      <w:r>
        <w:rPr>
          <w:rFonts w:ascii="Arial" w:cs="Arial" w:eastAsia="Arial" w:hAnsi="Arial"/>
          <w:sz w:val="18"/>
          <w:szCs w:val="18"/>
          <w:color w:val="auto"/>
        </w:rPr>
        <w:t>During the Company’s years ending December 31, 2021 and 2022 and through May 26, 2023, neither the Company, nor anyone on its behalf, consulted KPMG regarding either: (i) the application of accounting principles to a specified</w:t>
      </w:r>
    </w:p>
    <w:p>
      <w:pPr>
        <w:sectPr>
          <w:pgSz w:w="11880" w:h="15480" w:orient="portrait"/>
          <w:cols w:equalWidth="0" w:num="1">
            <w:col w:w="10422"/>
          </w:cols>
          <w:pgMar w:left="718" w:top="942" w:right="74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2" w:right="740" w:bottom="0" w:gutter="0" w:footer="0" w:header="0"/>
          <w:type w:val="continuous"/>
        </w:sectPr>
      </w:pPr>
    </w:p>
    <w:bookmarkStart w:id="32" w:name="page33"/>
    <w:bookmarkEnd w:id="32"/>
    <w:p>
      <w:pPr>
        <w:spacing w:after="0" w:line="285" w:lineRule="auto"/>
        <w:rPr>
          <w:sz w:val="20"/>
          <w:szCs w:val="20"/>
          <w:color w:val="auto"/>
        </w:rPr>
      </w:pPr>
      <w:r>
        <w:rPr>
          <w:rFonts w:ascii="Arial" w:cs="Arial" w:eastAsia="Arial" w:hAnsi="Arial"/>
          <w:sz w:val="18"/>
          <w:szCs w:val="18"/>
          <w:color w:val="auto"/>
        </w:rPr>
        <w:t>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previously provided Grant Thornton with a copy of the above statements and requested Grant Thornton furnish the Company with a letter addressed to the SEC stating whether or not Grant Thornton agrees with the above statements, as required by Item 304(a)(3) of Regulation S-K. A copy of Grant Thornton’s letter is filed as Exhibit 16.1 to the Current Report on Form 8-K filed with the SEC on May 31, 2023.</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VOTE REQUIRED</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To be approved, a majority of the total votes cast on Proposal No. 2 must be voted “For” the ratification of the selection of KPMG as our independent registered public accounting firm for the fiscal year ending December 31, 2025. Broker non-votes are not applicable with respect to Proposal No. 2 as brokers generally have discretion to vote uninstructed shares on this proposal. Abstentions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556895</wp:posOffset>
                </wp:positionV>
                <wp:extent cx="6614160" cy="86169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861695"/>
                        </a:xfrm>
                        <a:prstGeom prst="rect">
                          <a:avLst/>
                        </a:prstGeom>
                        <a:solidFill>
                          <a:srgbClr val="000000"/>
                        </a:solidFill>
                      </wps:spPr>
                      <wps:bodyPr/>
                    </wps:wsp>
                  </a:graphicData>
                </a:graphic>
              </wp:anchor>
            </w:drawing>
          </mc:Choice>
          <mc:Fallback>
            <w:pict>
              <v:rect id="Shape 35" o:spid="_x0000_s1060" style="position:absolute;margin-left:-0.0499pt;margin-top:43.85pt;width:520.8pt;height:6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THE BOARD OF DIRECTORS RECOMMENDS A VOTE “FOR”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RATIFICATION OF THE SELECTION OF THE INDEPENDENT REGISTERED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PUBLIC ACCOUNTING FIRM</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FFFFFF"/>
        </w:rPr>
        <w:t>(PROPOSAL NO. 2)</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27</w:t>
      </w:r>
    </w:p>
    <w:p>
      <w:pPr>
        <w:sectPr>
          <w:pgSz w:w="11880" w:h="15480" w:orient="portrait"/>
          <w:cols w:equalWidth="0" w:num="1">
            <w:col w:w="10420"/>
          </w:cols>
          <w:pgMar w:left="720" w:top="943" w:right="740" w:bottom="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914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Propos al NO. 3:</w:t>
      </w:r>
    </w:p>
    <w:p>
      <w:pPr>
        <w:spacing w:after="0" w:line="200" w:lineRule="exact"/>
        <w:rPr>
          <w:sz w:val="20"/>
          <w:szCs w:val="20"/>
          <w:color w:val="auto"/>
        </w:rPr>
      </w:pPr>
    </w:p>
    <w:p>
      <w:pPr>
        <w:spacing w:after="0" w:line="229" w:lineRule="exact"/>
        <w:rPr>
          <w:sz w:val="20"/>
          <w:szCs w:val="20"/>
          <w:color w:val="auto"/>
        </w:rPr>
      </w:pPr>
    </w:p>
    <w:p>
      <w:pPr>
        <w:ind w:right="760"/>
        <w:spacing w:after="0" w:line="242" w:lineRule="auto"/>
        <w:rPr>
          <w:sz w:val="20"/>
          <w:szCs w:val="20"/>
          <w:color w:val="auto"/>
        </w:rPr>
      </w:pPr>
      <w:r>
        <w:rPr>
          <w:rFonts w:ascii="Times New Roman" w:cs="Times New Roman" w:eastAsia="Times New Roman" w:hAnsi="Times New Roman"/>
          <w:sz w:val="40"/>
          <w:szCs w:val="40"/>
          <w:color w:val="auto"/>
        </w:rPr>
        <w:t>Approval, on an Advisory Basis, of the Compensation of Our Named Executive Officers</w:t>
      </w:r>
    </w:p>
    <w:p>
      <w:pPr>
        <w:spacing w:after="0" w:line="200" w:lineRule="exact"/>
        <w:rPr>
          <w:sz w:val="20"/>
          <w:szCs w:val="20"/>
          <w:color w:val="auto"/>
        </w:rPr>
      </w:pPr>
    </w:p>
    <w:p>
      <w:pPr>
        <w:spacing w:after="0" w:line="21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 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and Human Capital Committee will consider the voting results when making future compensation decisions.</w:t>
      </w:r>
    </w:p>
    <w:p>
      <w:pPr>
        <w:spacing w:after="0" w:line="200" w:lineRule="exact"/>
        <w:rPr>
          <w:sz w:val="20"/>
          <w:szCs w:val="20"/>
          <w:color w:val="auto"/>
        </w:rPr>
      </w:pPr>
    </w:p>
    <w:p>
      <w:pPr>
        <w:spacing w:after="0" w:line="26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and to review the compensation actions taken in fiscal year 2024. The Board believes that our executive compensation program effectively aligns executive pay with our performance and results in the attraction and retention of talented executives who are critical to our success.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that our stockholders vote “For” the following resolution:</w:t>
      </w:r>
    </w:p>
    <w:p>
      <w:pPr>
        <w:spacing w:after="0" w:line="27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color w:val="auto"/>
        </w:rPr>
        <w:t>“RESOLVED, that the compensation paid to the named executive officers, as disclosed in the proxy statement furnished for the 2025 Annual Meeting of Stockholders pursuant to Item 402 of Regulation S-K, including the Compensation Discussion and Analysis, compensation tables and related narrative discussion, is hereby APPROVED on an advisory basis.”</w:t>
      </w:r>
    </w:p>
    <w:p>
      <w:pPr>
        <w:spacing w:after="0" w:line="225"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Because the vote is advisory, it is not binding on management or the Board. Nevertheless, the views expressed by our stockholders, whether through this vote or otherwise, are important to management and the Board and, accordingly, the Compensation and Human Capital Committee and the Board intend to consider the results of this vote in making determinations in the future regarding executive compensation arrangements. Your vote will serve as an additional tool to guide the Compensation and Human Capital Committee and the Board in continuing to improve the alignment of our executive compensation program with business objectives and performance and with the interests of our stockholders.</w:t>
      </w:r>
    </w:p>
    <w:p>
      <w:pPr>
        <w:sectPr>
          <w:pgSz w:w="11880" w:h="15480" w:orient="portrait"/>
          <w:cols w:equalWidth="0" w:num="1">
            <w:col w:w="10440"/>
          </w:cols>
          <w:pgMar w:left="72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0"/>
          </w:cols>
          <w:pgMar w:left="720" w:top="1440" w:right="720" w:bottom="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VOTE REQUIRED</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554355</wp:posOffset>
                </wp:positionV>
                <wp:extent cx="6614160" cy="86169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861695"/>
                        </a:xfrm>
                        <a:prstGeom prst="rect">
                          <a:avLst/>
                        </a:prstGeom>
                        <a:solidFill>
                          <a:srgbClr val="000000"/>
                        </a:solidFill>
                      </wps:spPr>
                      <wps:bodyPr/>
                    </wps:wsp>
                  </a:graphicData>
                </a:graphic>
              </wp:anchor>
            </w:drawing>
          </mc:Choice>
          <mc:Fallback>
            <w:pict>
              <v:rect id="Shape 37" o:spid="_x0000_s1062" style="position:absolute;margin-left:-0.0499pt;margin-top:43.65pt;width:520.8pt;height:6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249" w:lineRule="auto"/>
        <w:rPr>
          <w:sz w:val="20"/>
          <w:szCs w:val="20"/>
          <w:color w:val="auto"/>
        </w:rPr>
      </w:pPr>
      <w:r>
        <w:rPr>
          <w:rFonts w:ascii="Arial" w:cs="Arial" w:eastAsia="Arial" w:hAnsi="Arial"/>
          <w:sz w:val="24"/>
          <w:szCs w:val="24"/>
          <w:color w:val="FFFFFF"/>
        </w:rPr>
        <w:t>THE BOARD OF DIRECTORS RECOMMENDS A VOTE “FOR” THE APPROVAL , ON AN ADVISORY BASIS, OF THE COMPENSATION OF OUR NAMED EXECUTIVE OFFICERS (PROPOSAL NO. 3)</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29</w:t>
      </w:r>
    </w:p>
    <w:p>
      <w:pPr>
        <w:sectPr>
          <w:pgSz w:w="11880" w:h="15480" w:orient="portrait"/>
          <w:cols w:equalWidth="0" w:num="1">
            <w:col w:w="10420"/>
          </w:cols>
          <w:pgMar w:left="720" w:top="942" w:right="740" w:bottom="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914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29"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40"/>
          <w:szCs w:val="40"/>
          <w:color w:val="auto"/>
        </w:rPr>
        <w:t>Approval of the Amendment and Restatement of the Lucid Group, Inc. Amended and Restated 2021 Stock Incentive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SUMMARY AND BACKGROUND</w:t>
      </w:r>
    </w:p>
    <w:p>
      <w:pPr>
        <w:spacing w:after="0" w:line="1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asking our stockholders to approve the Lucid Group, Inc. Amended and Restated 2021 Stock Incentive Plan, effective June 5, 2025 (the “Amended Plan”). The Amended Plan is an amendment and restatement of the Lucid Group, Inc. Amended and Restated 2021 Stock Incentive Plan (the “Plan”), which was approved by our stockholders on June 4, 2024. The Plan was initially effective on July 23, 2021 and has been amended in 2022, 2023, and 2024.</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Amended Plan would increase the maximum aggregate number of shares authorized for issuance pursuant to awards under the Plan by 184,000,000 shares to a total of 378,669,244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shares reserved for issuance through the Amended Plan (and the prior statements of the Plan) cover our annual equity program awards as well as shares purchased under our Employee Stock Purchase Plan, which is included as an addendum to the Amended Plan (and the prior statements of the Plan) (the “ESPP Addendum”). We do not have a separate number of shares authorized for issuance pursuant to a standalone Employee Stock Purchase Plan. On April 22, 2025, the Board approved the Amended Plan, subject to the approval of our stockholders.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REASON FOR THE PROPOSAL</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purpose of the Amended Plan is to enhance our ability to attract, retain, incentivize, reward, and motivate service providers who make (or are expected to make) important contributions to the Company by providing these individuals with equity ownership and other incentive opportunities.</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use of equity compensation and the alignment with stockholders it provides has helped us achieve the success, growth, and value creation experienced by us and our stockholders. The Board believes that an increase in the shares available for issuance under the Plan will enable us to attract and retain the best available talent to grow our business and to ensure a sufficient number of shares will be available through June 2026.</w:t>
      </w:r>
    </w:p>
    <w:p>
      <w:pPr>
        <w:spacing w:after="0" w:line="224"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The 184,000,000 shares requested reflects the number of shares we forecast to be necessary to support our equity compensation program for the current fiscal year 2025 and through June 2026 based on our new hire and annual grant practices. Based on the closing price per share of Company common stock of $2.42 on March 31, 2025, the aggregate</w:t>
      </w:r>
    </w:p>
    <w:p>
      <w:pPr>
        <w:sectPr>
          <w:pgSz w:w="11880" w:h="15480" w:orient="portrait"/>
          <w:cols w:equalWidth="0" w:num="1">
            <w:col w:w="10420"/>
          </w:cols>
          <w:pgMar w:left="720" w:top="1440" w:right="740" w:bottom="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440" w:right="740" w:bottom="0" w:gutter="0" w:footer="0" w:header="0"/>
          <w:type w:val="continuous"/>
        </w:sectPr>
      </w:pPr>
    </w:p>
    <w:bookmarkStart w:id="36" w:name="page37"/>
    <w:bookmarkEnd w:id="36"/>
    <w:p>
      <w:pPr>
        <w:spacing w:after="0" w:line="242" w:lineRule="auto"/>
        <w:rPr>
          <w:sz w:val="20"/>
          <w:szCs w:val="20"/>
          <w:color w:val="auto"/>
        </w:rPr>
      </w:pPr>
      <w:r>
        <w:rPr>
          <w:rFonts w:ascii="Arial" w:cs="Arial" w:eastAsia="Arial" w:hAnsi="Arial"/>
          <w:sz w:val="18"/>
          <w:szCs w:val="18"/>
          <w:color w:val="auto"/>
        </w:rPr>
        <w:t>market value of the 184,000,000 additional shares available for equity awards under the Amended Plan if this proposal is approved would be approximately $445,280,000.</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FAILURE TO APPROVE PROPOSAL</w:t>
      </w:r>
    </w:p>
    <w:p>
      <w:pPr>
        <w:spacing w:after="0" w:line="22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of March 31, 2025, we had 34,006,170 shares remaining available for issuance under the Plan. The Plan, including the ESPP Addendum, which allows employees to purchase our stock at a discount on a tax favorable basis, is the Company’s only current plan for granting equity incentive compensation to our employees, other than the Company’s Employee Stock Purchase Plan, which allows employees to purchase our stock at a discount on a tax favorable basis. We anticipate that such remaining shares will be insufficient to support our annual equity grant cycle for fiscal year 2025 and through June 2026. If this Proposal No. 4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cash-based awards, in the absence of equity award availability. If we are unable to grant equity awards, our ability to hire and retain necessary talent will be significantly limited and will have a negative impact on our ability to grow and operate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ELIGIBLE PARTICIPANTS</w:t>
      </w: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As of March 31, 2025, the number of persons eligible to participate in the Plan was approximately 6,780 employees, 53 consultants or independent contractors, and eight non-employee directors. The basis for participation in the Plan is the decision of the Compensation and Human Capital Committee and in some instances, of the Board, that an award to an eligible person will further the Plan’s purposes to attract, retain, incentivize, reward, and motivate service providers, as described above. In exercising its discretion, the Compensation and Human Capital Committee or the Board will consider the recommendations of management and the purposes of the Plan.</w:t>
      </w:r>
    </w:p>
    <w:p>
      <w:pPr>
        <w:sectPr>
          <w:pgSz w:w="11880" w:h="15480" w:orient="portrait"/>
          <w:cols w:equalWidth="0" w:num="1">
            <w:col w:w="10420"/>
          </w:cols>
          <w:pgMar w:left="720" w:top="9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31</w:t>
      </w:r>
    </w:p>
    <w:p>
      <w:pPr>
        <w:sectPr>
          <w:pgSz w:w="11880" w:h="15480" w:orient="portrait"/>
          <w:cols w:equalWidth="0" w:num="1">
            <w:col w:w="10420"/>
          </w:cols>
          <w:pgMar w:left="720" w:top="976" w:right="740" w:bottom="0" w:gutter="0" w:footer="0" w:header="0"/>
          <w:type w:val="continuous"/>
        </w:sectPr>
      </w:pPr>
    </w:p>
    <w:bookmarkStart w:id="37" w:name="page38"/>
    <w:bookmarkEnd w:id="37"/>
    <w:p>
      <w:pPr>
        <w:ind w:left="2"/>
        <w:spacing w:after="0"/>
        <w:rPr>
          <w:sz w:val="20"/>
          <w:szCs w:val="20"/>
          <w:color w:val="auto"/>
        </w:rPr>
      </w:pPr>
      <w:r>
        <w:rPr>
          <w:rFonts w:ascii="Times New Roman" w:cs="Times New Roman" w:eastAsia="Times New Roman" w:hAnsi="Times New Roman"/>
          <w:sz w:val="40"/>
          <w:szCs w:val="40"/>
          <w:color w:val="auto"/>
        </w:rPr>
        <w:t>Equity Compensation Plan Information</w:t>
      </w:r>
    </w:p>
    <w:p>
      <w:pPr>
        <w:spacing w:after="0" w:line="200" w:lineRule="exact"/>
        <w:rPr>
          <w:sz w:val="20"/>
          <w:szCs w:val="20"/>
          <w:color w:val="auto"/>
        </w:rPr>
      </w:pPr>
    </w:p>
    <w:p>
      <w:pPr>
        <w:spacing w:after="0" w:line="246" w:lineRule="exact"/>
        <w:rPr>
          <w:sz w:val="20"/>
          <w:szCs w:val="20"/>
          <w:color w:val="auto"/>
        </w:rPr>
      </w:pPr>
    </w:p>
    <w:p>
      <w:pPr>
        <w:ind w:left="2" w:right="480"/>
        <w:spacing w:after="0" w:line="304" w:lineRule="auto"/>
        <w:rPr>
          <w:sz w:val="20"/>
          <w:szCs w:val="20"/>
          <w:color w:val="auto"/>
        </w:rPr>
      </w:pPr>
      <w:r>
        <w:rPr>
          <w:rFonts w:ascii="Arial" w:cs="Arial" w:eastAsia="Arial" w:hAnsi="Arial"/>
          <w:sz w:val="18"/>
          <w:szCs w:val="18"/>
          <w:color w:val="auto"/>
        </w:rPr>
        <w:t>The following table presents certain information with respect to our equity compensation plans as of December 31, 2024, as required by Item 201(d) of Regulation S-K of the Exchange Act:</w:t>
      </w:r>
    </w:p>
    <w:p>
      <w:pPr>
        <w:spacing w:after="0" w:line="258"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29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Plan Category</w:t>
            </w:r>
          </w:p>
        </w:tc>
        <w:tc>
          <w:tcPr>
            <w:tcW w:w="2440" w:type="dxa"/>
            <w:vAlign w:val="bottom"/>
            <w:shd w:val="clear" w:color="auto" w:fill="000000"/>
          </w:tcPr>
          <w:p>
            <w:pPr>
              <w:ind w:left="200"/>
              <w:spacing w:after="0"/>
              <w:rPr>
                <w:sz w:val="20"/>
                <w:szCs w:val="20"/>
                <w:color w:val="auto"/>
              </w:rPr>
            </w:pPr>
            <w:r>
              <w:rPr>
                <w:rFonts w:ascii="Arial" w:cs="Arial" w:eastAsia="Arial" w:hAnsi="Arial"/>
                <w:sz w:val="14"/>
                <w:szCs w:val="14"/>
                <w:color w:val="FFFFFF"/>
              </w:rPr>
              <w:t>Number of Securities to be</w:t>
            </w:r>
          </w:p>
        </w:tc>
        <w:tc>
          <w:tcPr>
            <w:tcW w:w="25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Weighted Average Exercise Price</w:t>
            </w:r>
          </w:p>
        </w:tc>
        <w:tc>
          <w:tcPr>
            <w:tcW w:w="25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Securities Remaining</w:t>
            </w:r>
          </w:p>
        </w:tc>
      </w:tr>
      <w:tr>
        <w:trPr>
          <w:trHeight w:val="160"/>
        </w:trPr>
        <w:tc>
          <w:tcPr>
            <w:tcW w:w="2940" w:type="dxa"/>
            <w:vAlign w:val="bottom"/>
            <w:shd w:val="clear" w:color="auto" w:fill="000000"/>
          </w:tcPr>
          <w:p>
            <w:pPr>
              <w:spacing w:after="0"/>
              <w:rPr>
                <w:sz w:val="13"/>
                <w:szCs w:val="13"/>
                <w:color w:val="auto"/>
              </w:rPr>
            </w:pPr>
          </w:p>
        </w:tc>
        <w:tc>
          <w:tcPr>
            <w:tcW w:w="2440" w:type="dxa"/>
            <w:vAlign w:val="bottom"/>
            <w:shd w:val="clear" w:color="auto" w:fill="000000"/>
          </w:tcPr>
          <w:p>
            <w:pPr>
              <w:ind w:left="200"/>
              <w:spacing w:after="0" w:line="160" w:lineRule="exact"/>
              <w:rPr>
                <w:sz w:val="20"/>
                <w:szCs w:val="20"/>
                <w:color w:val="auto"/>
              </w:rPr>
            </w:pPr>
            <w:r>
              <w:rPr>
                <w:rFonts w:ascii="Arial" w:cs="Arial" w:eastAsia="Arial" w:hAnsi="Arial"/>
                <w:sz w:val="14"/>
                <w:szCs w:val="14"/>
                <w:color w:val="FFFFFF"/>
              </w:rPr>
              <w:t>Issued Upon Exercise of</w:t>
            </w:r>
          </w:p>
        </w:tc>
        <w:tc>
          <w:tcPr>
            <w:tcW w:w="2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of Outstanding Options,</w:t>
            </w:r>
          </w:p>
        </w:tc>
        <w:tc>
          <w:tcPr>
            <w:tcW w:w="25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Available for Future Issuance</w:t>
            </w:r>
          </w:p>
        </w:tc>
      </w:tr>
      <w:tr>
        <w:trPr>
          <w:trHeight w:val="160"/>
        </w:trPr>
        <w:tc>
          <w:tcPr>
            <w:tcW w:w="2940" w:type="dxa"/>
            <w:vAlign w:val="bottom"/>
            <w:shd w:val="clear" w:color="auto" w:fill="000000"/>
          </w:tcPr>
          <w:p>
            <w:pPr>
              <w:spacing w:after="0"/>
              <w:rPr>
                <w:sz w:val="13"/>
                <w:szCs w:val="13"/>
                <w:color w:val="auto"/>
              </w:rPr>
            </w:pPr>
          </w:p>
        </w:tc>
        <w:tc>
          <w:tcPr>
            <w:tcW w:w="2440" w:type="dxa"/>
            <w:vAlign w:val="bottom"/>
            <w:shd w:val="clear" w:color="auto" w:fill="000000"/>
          </w:tcPr>
          <w:p>
            <w:pPr>
              <w:ind w:left="200"/>
              <w:spacing w:after="0" w:line="160" w:lineRule="exact"/>
              <w:rPr>
                <w:sz w:val="20"/>
                <w:szCs w:val="20"/>
                <w:color w:val="auto"/>
              </w:rPr>
            </w:pPr>
            <w:r>
              <w:rPr>
                <w:rFonts w:ascii="Arial" w:cs="Arial" w:eastAsia="Arial" w:hAnsi="Arial"/>
                <w:sz w:val="14"/>
                <w:szCs w:val="14"/>
                <w:color w:val="FFFFFF"/>
              </w:rPr>
              <w:t>Outstanding Options, Warrants</w:t>
            </w:r>
          </w:p>
        </w:tc>
        <w:tc>
          <w:tcPr>
            <w:tcW w:w="2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Warrants and Rights</w:t>
            </w:r>
          </w:p>
        </w:tc>
        <w:tc>
          <w:tcPr>
            <w:tcW w:w="25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under Equity Compensation</w:t>
            </w:r>
          </w:p>
        </w:tc>
      </w:tr>
      <w:tr>
        <w:trPr>
          <w:trHeight w:val="160"/>
        </w:trPr>
        <w:tc>
          <w:tcPr>
            <w:tcW w:w="2940" w:type="dxa"/>
            <w:vAlign w:val="bottom"/>
            <w:shd w:val="clear" w:color="auto" w:fill="000000"/>
          </w:tcPr>
          <w:p>
            <w:pPr>
              <w:spacing w:after="0"/>
              <w:rPr>
                <w:sz w:val="13"/>
                <w:szCs w:val="13"/>
                <w:color w:val="auto"/>
              </w:rPr>
            </w:pPr>
          </w:p>
        </w:tc>
        <w:tc>
          <w:tcPr>
            <w:tcW w:w="2440" w:type="dxa"/>
            <w:vAlign w:val="bottom"/>
            <w:shd w:val="clear" w:color="auto" w:fill="000000"/>
          </w:tcPr>
          <w:p>
            <w:pPr>
              <w:ind w:left="200"/>
              <w:spacing w:after="0" w:line="160" w:lineRule="exact"/>
              <w:rPr>
                <w:sz w:val="20"/>
                <w:szCs w:val="20"/>
                <w:color w:val="auto"/>
              </w:rPr>
            </w:pPr>
            <w:r>
              <w:rPr>
                <w:rFonts w:ascii="Arial" w:cs="Arial" w:eastAsia="Arial" w:hAnsi="Arial"/>
                <w:sz w:val="14"/>
                <w:szCs w:val="14"/>
                <w:color w:val="FFFFFF"/>
              </w:rPr>
              <w:t>and Rights</w:t>
            </w:r>
          </w:p>
        </w:tc>
        <w:tc>
          <w:tcPr>
            <w:tcW w:w="2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(b)</w:t>
            </w:r>
          </w:p>
        </w:tc>
        <w:tc>
          <w:tcPr>
            <w:tcW w:w="25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Plans (excluding securities</w:t>
            </w:r>
          </w:p>
        </w:tc>
      </w:tr>
      <w:tr>
        <w:trPr>
          <w:trHeight w:val="160"/>
        </w:trPr>
        <w:tc>
          <w:tcPr>
            <w:tcW w:w="2940" w:type="dxa"/>
            <w:vAlign w:val="bottom"/>
            <w:shd w:val="clear" w:color="auto" w:fill="000000"/>
          </w:tcPr>
          <w:p>
            <w:pPr>
              <w:spacing w:after="0"/>
              <w:rPr>
                <w:sz w:val="13"/>
                <w:szCs w:val="13"/>
                <w:color w:val="auto"/>
              </w:rPr>
            </w:pPr>
          </w:p>
        </w:tc>
        <w:tc>
          <w:tcPr>
            <w:tcW w:w="2440" w:type="dxa"/>
            <w:vAlign w:val="bottom"/>
            <w:shd w:val="clear" w:color="auto" w:fill="000000"/>
          </w:tcPr>
          <w:p>
            <w:pPr>
              <w:ind w:left="200"/>
              <w:spacing w:after="0" w:line="160" w:lineRule="exact"/>
              <w:rPr>
                <w:sz w:val="20"/>
                <w:szCs w:val="20"/>
                <w:color w:val="auto"/>
              </w:rPr>
            </w:pPr>
            <w:r>
              <w:rPr>
                <w:rFonts w:ascii="Arial" w:cs="Arial" w:eastAsia="Arial" w:hAnsi="Arial"/>
                <w:sz w:val="14"/>
                <w:szCs w:val="14"/>
                <w:color w:val="FFFFFF"/>
              </w:rPr>
              <w:t>(a)</w:t>
            </w:r>
          </w:p>
        </w:tc>
        <w:tc>
          <w:tcPr>
            <w:tcW w:w="2500" w:type="dxa"/>
            <w:vAlign w:val="bottom"/>
            <w:shd w:val="clear" w:color="auto" w:fill="000000"/>
          </w:tcPr>
          <w:p>
            <w:pPr>
              <w:spacing w:after="0"/>
              <w:rPr>
                <w:sz w:val="13"/>
                <w:szCs w:val="13"/>
                <w:color w:val="auto"/>
              </w:rPr>
            </w:pPr>
          </w:p>
        </w:tc>
        <w:tc>
          <w:tcPr>
            <w:tcW w:w="25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reflected in column (a))</w:t>
            </w:r>
          </w:p>
        </w:tc>
      </w:tr>
      <w:tr>
        <w:trPr>
          <w:trHeight w:val="172"/>
        </w:trPr>
        <w:tc>
          <w:tcPr>
            <w:tcW w:w="2940" w:type="dxa"/>
            <w:vAlign w:val="bottom"/>
            <w:shd w:val="clear" w:color="auto" w:fill="000000"/>
          </w:tcPr>
          <w:p>
            <w:pPr>
              <w:spacing w:after="0"/>
              <w:rPr>
                <w:sz w:val="14"/>
                <w:szCs w:val="14"/>
                <w:color w:val="auto"/>
              </w:rPr>
            </w:pPr>
          </w:p>
        </w:tc>
        <w:tc>
          <w:tcPr>
            <w:tcW w:w="2440" w:type="dxa"/>
            <w:vAlign w:val="bottom"/>
            <w:shd w:val="clear" w:color="auto" w:fill="000000"/>
          </w:tcPr>
          <w:p>
            <w:pPr>
              <w:spacing w:after="0"/>
              <w:rPr>
                <w:sz w:val="14"/>
                <w:szCs w:val="14"/>
                <w:color w:val="auto"/>
              </w:rPr>
            </w:pPr>
          </w:p>
        </w:tc>
        <w:tc>
          <w:tcPr>
            <w:tcW w:w="2500" w:type="dxa"/>
            <w:vAlign w:val="bottom"/>
            <w:shd w:val="clear" w:color="auto" w:fill="000000"/>
          </w:tcPr>
          <w:p>
            <w:pPr>
              <w:spacing w:after="0"/>
              <w:rPr>
                <w:sz w:val="14"/>
                <w:szCs w:val="14"/>
                <w:color w:val="auto"/>
              </w:rPr>
            </w:pPr>
          </w:p>
        </w:tc>
        <w:tc>
          <w:tcPr>
            <w:tcW w:w="25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w:t>
            </w:r>
          </w:p>
        </w:tc>
      </w:tr>
      <w:tr>
        <w:trPr>
          <w:trHeight w:val="148"/>
        </w:trPr>
        <w:tc>
          <w:tcPr>
            <w:tcW w:w="29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2500" w:type="dxa"/>
            <w:vAlign w:val="bottom"/>
            <w:shd w:val="clear" w:color="auto" w:fill="000000"/>
          </w:tcPr>
          <w:p>
            <w:pPr>
              <w:spacing w:after="0"/>
              <w:rPr>
                <w:sz w:val="12"/>
                <w:szCs w:val="12"/>
                <w:color w:val="auto"/>
              </w:rPr>
            </w:pPr>
          </w:p>
        </w:tc>
        <w:tc>
          <w:tcPr>
            <w:tcW w:w="2540" w:type="dxa"/>
            <w:vAlign w:val="bottom"/>
            <w:shd w:val="clear" w:color="auto" w:fill="000000"/>
          </w:tcPr>
          <w:p>
            <w:pPr>
              <w:spacing w:after="0"/>
              <w:rPr>
                <w:sz w:val="12"/>
                <w:szCs w:val="12"/>
                <w:color w:val="auto"/>
              </w:rPr>
            </w:pPr>
          </w:p>
        </w:tc>
      </w:tr>
      <w:tr>
        <w:trPr>
          <w:trHeight w:val="309"/>
        </w:trPr>
        <w:tc>
          <w:tcPr>
            <w:tcW w:w="2940" w:type="dxa"/>
            <w:vAlign w:val="bottom"/>
          </w:tcPr>
          <w:p>
            <w:pPr>
              <w:ind w:left="180"/>
              <w:spacing w:after="0"/>
              <w:rPr>
                <w:sz w:val="20"/>
                <w:szCs w:val="20"/>
                <w:color w:val="auto"/>
              </w:rPr>
            </w:pPr>
            <w:r>
              <w:rPr>
                <w:rFonts w:ascii="Arial" w:cs="Arial" w:eastAsia="Arial" w:hAnsi="Arial"/>
                <w:sz w:val="16"/>
                <w:szCs w:val="16"/>
                <w:color w:val="auto"/>
              </w:rPr>
              <w:t>Equity compensation plans</w:t>
            </w:r>
          </w:p>
        </w:tc>
        <w:tc>
          <w:tcPr>
            <w:tcW w:w="2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7"/>
        </w:trPr>
        <w:tc>
          <w:tcPr>
            <w:tcW w:w="2940" w:type="dxa"/>
            <w:vAlign w:val="bottom"/>
          </w:tcPr>
          <w:p>
            <w:pPr>
              <w:ind w:left="180"/>
              <w:spacing w:after="0"/>
              <w:rPr>
                <w:sz w:val="20"/>
                <w:szCs w:val="20"/>
                <w:color w:val="auto"/>
              </w:rPr>
            </w:pPr>
            <w:r>
              <w:rPr>
                <w:rFonts w:ascii="Arial" w:cs="Arial" w:eastAsia="Arial" w:hAnsi="Arial"/>
                <w:sz w:val="16"/>
                <w:szCs w:val="16"/>
                <w:color w:val="auto"/>
              </w:rPr>
              <w:t>approved by security holders</w:t>
            </w:r>
          </w:p>
        </w:tc>
        <w:tc>
          <w:tcPr>
            <w:tcW w:w="2440" w:type="dxa"/>
            <w:vAlign w:val="bottom"/>
          </w:tcPr>
          <w:p>
            <w:pPr>
              <w:ind w:left="200"/>
              <w:spacing w:after="0"/>
              <w:rPr>
                <w:sz w:val="20"/>
                <w:szCs w:val="20"/>
                <w:color w:val="auto"/>
              </w:rPr>
            </w:pPr>
            <w:r>
              <w:rPr>
                <w:rFonts w:ascii="Arial" w:cs="Arial" w:eastAsia="Arial" w:hAnsi="Arial"/>
                <w:sz w:val="16"/>
                <w:szCs w:val="16"/>
                <w:color w:val="auto"/>
              </w:rPr>
              <w:t>135,160,823</w:t>
            </w:r>
          </w:p>
        </w:tc>
        <w:tc>
          <w:tcPr>
            <w:tcW w:w="2500" w:type="dxa"/>
            <w:vAlign w:val="bottom"/>
          </w:tcPr>
          <w:p>
            <w:pPr>
              <w:ind w:left="120"/>
              <w:spacing w:after="0"/>
              <w:rPr>
                <w:sz w:val="20"/>
                <w:szCs w:val="20"/>
                <w:color w:val="auto"/>
              </w:rPr>
            </w:pPr>
            <w:r>
              <w:rPr>
                <w:rFonts w:ascii="Arial" w:cs="Arial" w:eastAsia="Arial" w:hAnsi="Arial"/>
                <w:sz w:val="16"/>
                <w:szCs w:val="16"/>
                <w:color w:val="auto"/>
              </w:rPr>
              <w:t>$1.84</w:t>
            </w:r>
          </w:p>
        </w:tc>
        <w:tc>
          <w:tcPr>
            <w:tcW w:w="2540" w:type="dxa"/>
            <w:vAlign w:val="bottom"/>
          </w:tcPr>
          <w:p>
            <w:pPr>
              <w:ind w:left="120"/>
              <w:spacing w:after="0"/>
              <w:rPr>
                <w:sz w:val="20"/>
                <w:szCs w:val="20"/>
                <w:color w:val="auto"/>
              </w:rPr>
            </w:pPr>
            <w:r>
              <w:rPr>
                <w:rFonts w:ascii="Arial" w:cs="Arial" w:eastAsia="Arial" w:hAnsi="Arial"/>
                <w:sz w:val="16"/>
                <w:szCs w:val="16"/>
                <w:color w:val="auto"/>
              </w:rPr>
              <w:t>40,362,048</w:t>
            </w:r>
          </w:p>
        </w:tc>
      </w:tr>
      <w:tr>
        <w:trPr>
          <w:trHeight w:val="135"/>
        </w:trPr>
        <w:tc>
          <w:tcPr>
            <w:tcW w:w="29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r>
      <w:tr>
        <w:trPr>
          <w:trHeight w:val="287"/>
        </w:trPr>
        <w:tc>
          <w:tcPr>
            <w:tcW w:w="2940" w:type="dxa"/>
            <w:vAlign w:val="bottom"/>
          </w:tcPr>
          <w:p>
            <w:pPr>
              <w:ind w:left="180"/>
              <w:spacing w:after="0"/>
              <w:rPr>
                <w:sz w:val="20"/>
                <w:szCs w:val="20"/>
                <w:color w:val="auto"/>
              </w:rPr>
            </w:pPr>
            <w:r>
              <w:rPr>
                <w:rFonts w:ascii="Arial" w:cs="Arial" w:eastAsia="Arial" w:hAnsi="Arial"/>
                <w:sz w:val="16"/>
                <w:szCs w:val="16"/>
                <w:color w:val="auto"/>
              </w:rPr>
              <w:t>Equity compensation plans</w:t>
            </w:r>
          </w:p>
        </w:tc>
        <w:tc>
          <w:tcPr>
            <w:tcW w:w="2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7"/>
        </w:trPr>
        <w:tc>
          <w:tcPr>
            <w:tcW w:w="2940" w:type="dxa"/>
            <w:vAlign w:val="bottom"/>
          </w:tcPr>
          <w:p>
            <w:pPr>
              <w:ind w:left="180"/>
              <w:spacing w:after="0"/>
              <w:rPr>
                <w:sz w:val="20"/>
                <w:szCs w:val="20"/>
                <w:color w:val="auto"/>
              </w:rPr>
            </w:pPr>
            <w:r>
              <w:rPr>
                <w:rFonts w:ascii="Arial" w:cs="Arial" w:eastAsia="Arial" w:hAnsi="Arial"/>
                <w:sz w:val="16"/>
                <w:szCs w:val="16"/>
                <w:color w:val="auto"/>
              </w:rPr>
              <w:t>not approved by security holders</w:t>
            </w:r>
          </w:p>
        </w:tc>
        <w:tc>
          <w:tcPr>
            <w:tcW w:w="2440" w:type="dxa"/>
            <w:vAlign w:val="bottom"/>
          </w:tcPr>
          <w:p>
            <w:pPr>
              <w:ind w:left="200"/>
              <w:spacing w:after="0"/>
              <w:rPr>
                <w:sz w:val="20"/>
                <w:szCs w:val="20"/>
                <w:color w:val="auto"/>
              </w:rPr>
            </w:pPr>
            <w:r>
              <w:rPr>
                <w:rFonts w:ascii="Arial" w:cs="Arial" w:eastAsia="Arial" w:hAnsi="Arial"/>
                <w:sz w:val="16"/>
                <w:szCs w:val="16"/>
                <w:color w:val="auto"/>
              </w:rPr>
              <w:t>—</w:t>
            </w:r>
          </w:p>
        </w:tc>
        <w:tc>
          <w:tcPr>
            <w:tcW w:w="2500" w:type="dxa"/>
            <w:vAlign w:val="bottom"/>
          </w:tcPr>
          <w:p>
            <w:pPr>
              <w:ind w:left="120"/>
              <w:spacing w:after="0"/>
              <w:rPr>
                <w:sz w:val="20"/>
                <w:szCs w:val="20"/>
                <w:color w:val="auto"/>
              </w:rPr>
            </w:pPr>
            <w:r>
              <w:rPr>
                <w:rFonts w:ascii="Arial" w:cs="Arial" w:eastAsia="Arial" w:hAnsi="Arial"/>
                <w:sz w:val="16"/>
                <w:szCs w:val="16"/>
                <w:color w:val="auto"/>
              </w:rPr>
              <w:t>—</w:t>
            </w:r>
          </w:p>
        </w:tc>
        <w:tc>
          <w:tcPr>
            <w:tcW w:w="254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35"/>
        </w:trPr>
        <w:tc>
          <w:tcPr>
            <w:tcW w:w="29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r>
      <w:tr>
        <w:trPr>
          <w:trHeight w:val="368"/>
        </w:trPr>
        <w:tc>
          <w:tcPr>
            <w:tcW w:w="2940" w:type="dxa"/>
            <w:vAlign w:val="bottom"/>
          </w:tcPr>
          <w:p>
            <w:pPr>
              <w:ind w:left="180"/>
              <w:spacing w:after="0"/>
              <w:rPr>
                <w:sz w:val="20"/>
                <w:szCs w:val="20"/>
                <w:color w:val="auto"/>
              </w:rPr>
            </w:pPr>
            <w:r>
              <w:rPr>
                <w:rFonts w:ascii="Arial" w:cs="Arial" w:eastAsia="Arial" w:hAnsi="Arial"/>
                <w:sz w:val="16"/>
                <w:szCs w:val="16"/>
                <w:color w:val="auto"/>
              </w:rPr>
              <w:t>Total</w:t>
            </w:r>
          </w:p>
        </w:tc>
        <w:tc>
          <w:tcPr>
            <w:tcW w:w="2440" w:type="dxa"/>
            <w:vAlign w:val="bottom"/>
          </w:tcPr>
          <w:p>
            <w:pPr>
              <w:ind w:left="200"/>
              <w:spacing w:after="0"/>
              <w:rPr>
                <w:sz w:val="20"/>
                <w:szCs w:val="20"/>
                <w:color w:val="auto"/>
              </w:rPr>
            </w:pPr>
            <w:r>
              <w:rPr>
                <w:rFonts w:ascii="Arial" w:cs="Arial" w:eastAsia="Arial" w:hAnsi="Arial"/>
                <w:sz w:val="16"/>
                <w:szCs w:val="16"/>
                <w:color w:val="auto"/>
              </w:rPr>
              <w:t>135,160,823</w:t>
            </w:r>
            <w:r>
              <w:rPr>
                <w:rFonts w:ascii="Arial" w:cs="Arial" w:eastAsia="Arial" w:hAnsi="Arial"/>
                <w:sz w:val="19"/>
                <w:szCs w:val="19"/>
                <w:color w:val="auto"/>
                <w:vertAlign w:val="superscript"/>
              </w:rPr>
              <w:t>(1)</w:t>
            </w:r>
          </w:p>
        </w:tc>
        <w:tc>
          <w:tcPr>
            <w:tcW w:w="2500" w:type="dxa"/>
            <w:vAlign w:val="bottom"/>
          </w:tcPr>
          <w:p>
            <w:pPr>
              <w:ind w:left="120"/>
              <w:spacing w:after="0"/>
              <w:rPr>
                <w:sz w:val="20"/>
                <w:szCs w:val="20"/>
                <w:color w:val="auto"/>
              </w:rPr>
            </w:pPr>
            <w:r>
              <w:rPr>
                <w:rFonts w:ascii="Arial" w:cs="Arial" w:eastAsia="Arial" w:hAnsi="Arial"/>
                <w:sz w:val="16"/>
                <w:szCs w:val="16"/>
                <w:color w:val="auto"/>
              </w:rPr>
              <w:t>$1.84</w:t>
            </w:r>
            <w:r>
              <w:rPr>
                <w:rFonts w:ascii="Arial" w:cs="Arial" w:eastAsia="Arial" w:hAnsi="Arial"/>
                <w:sz w:val="19"/>
                <w:szCs w:val="19"/>
                <w:color w:val="auto"/>
                <w:vertAlign w:val="superscript"/>
              </w:rPr>
              <w:t>(2)</w:t>
            </w:r>
          </w:p>
        </w:tc>
        <w:tc>
          <w:tcPr>
            <w:tcW w:w="2540" w:type="dxa"/>
            <w:vAlign w:val="bottom"/>
          </w:tcPr>
          <w:p>
            <w:pPr>
              <w:ind w:left="120"/>
              <w:spacing w:after="0"/>
              <w:rPr>
                <w:sz w:val="20"/>
                <w:szCs w:val="20"/>
                <w:color w:val="auto"/>
              </w:rPr>
            </w:pPr>
            <w:r>
              <w:rPr>
                <w:rFonts w:ascii="Arial" w:cs="Arial" w:eastAsia="Arial" w:hAnsi="Arial"/>
                <w:sz w:val="16"/>
                <w:szCs w:val="16"/>
                <w:color w:val="auto"/>
              </w:rPr>
              <w:t>40,362,048</w:t>
            </w:r>
            <w:r>
              <w:rPr>
                <w:rFonts w:ascii="Arial" w:cs="Arial" w:eastAsia="Arial" w:hAnsi="Arial"/>
                <w:sz w:val="19"/>
                <w:szCs w:val="19"/>
                <w:color w:val="auto"/>
                <w:vertAlign w:val="superscript"/>
              </w:rPr>
              <w:t>(3)</w:t>
            </w:r>
          </w:p>
        </w:tc>
      </w:tr>
      <w:tr>
        <w:trPr>
          <w:trHeight w:val="74"/>
        </w:trPr>
        <w:tc>
          <w:tcPr>
            <w:tcW w:w="294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r>
    </w:tbl>
    <w:p>
      <w:pPr>
        <w:spacing w:after="0" w:line="313" w:lineRule="exact"/>
        <w:rPr>
          <w:sz w:val="20"/>
          <w:szCs w:val="20"/>
          <w:color w:val="auto"/>
        </w:rPr>
      </w:pPr>
    </w:p>
    <w:p>
      <w:pPr>
        <w:ind w:left="142" w:right="160" w:hanging="142"/>
        <w:spacing w:after="0" w:line="402" w:lineRule="auto"/>
        <w:tabs>
          <w:tab w:leader="none" w:pos="142"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Represents shares to be issued upon exercise of stock options and vesting of time-based and performance-based restricted stock units (reflects actual performance levels for PSUs with performance periods that ended or before fiscal year-end 2024 and assumes maximum performance levels for PSUs with open performance periods at fiscal year-end 2024) under the Plan.</w:t>
      </w:r>
    </w:p>
    <w:p>
      <w:pPr>
        <w:spacing w:after="0" w:line="21" w:lineRule="exact"/>
        <w:rPr>
          <w:rFonts w:ascii="Arial" w:cs="Arial" w:eastAsia="Arial" w:hAnsi="Arial"/>
          <w:sz w:val="17"/>
          <w:szCs w:val="17"/>
          <w:color w:val="auto"/>
          <w:vertAlign w:val="superscript"/>
        </w:rPr>
      </w:pPr>
    </w:p>
    <w:p>
      <w:pPr>
        <w:ind w:left="142" w:right="60" w:hanging="142"/>
        <w:spacing w:after="0" w:line="220" w:lineRule="auto"/>
        <w:tabs>
          <w:tab w:leader="none" w:pos="142"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Shares issuable upon vesting of time-based and performance-based restricted stock unit awards have been excluded from the calculation of the weighted average exercise price because they have no exercise price associated with them.</w:t>
      </w:r>
    </w:p>
    <w:p>
      <w:pPr>
        <w:spacing w:after="0" w:line="117" w:lineRule="exact"/>
        <w:rPr>
          <w:rFonts w:ascii="Arial" w:cs="Arial" w:eastAsia="Arial" w:hAnsi="Arial"/>
          <w:sz w:val="17"/>
          <w:szCs w:val="17"/>
          <w:color w:val="auto"/>
          <w:vertAlign w:val="superscript"/>
        </w:rPr>
      </w:pPr>
    </w:p>
    <w:p>
      <w:pPr>
        <w:ind w:left="142" w:right="340" w:hanging="142"/>
        <w:spacing w:after="0" w:line="220" w:lineRule="auto"/>
        <w:tabs>
          <w:tab w:leader="none" w:pos="142"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Represents shares available for issuance under the Plan, including shares available for purchase under the Company’s Employee Stock Purchase Plan. Excludes the proposed increase of 184,000,000 shares that is contingent on stockholder approval of this proposal.</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color w:val="auto"/>
        </w:rPr>
        <w:t>Additional Information Regarding Equity Awards</w:t>
      </w:r>
    </w:p>
    <w:p>
      <w:pPr>
        <w:spacing w:after="0" w:line="193" w:lineRule="exact"/>
        <w:rPr>
          <w:sz w:val="20"/>
          <w:szCs w:val="20"/>
          <w:color w:val="auto"/>
        </w:rPr>
      </w:pPr>
    </w:p>
    <w:p>
      <w:pPr>
        <w:ind w:left="2" w:right="320"/>
        <w:spacing w:after="0" w:line="304" w:lineRule="auto"/>
        <w:rPr>
          <w:sz w:val="20"/>
          <w:szCs w:val="20"/>
          <w:color w:val="auto"/>
        </w:rPr>
      </w:pPr>
      <w:r>
        <w:rPr>
          <w:rFonts w:ascii="Arial" w:cs="Arial" w:eastAsia="Arial" w:hAnsi="Arial"/>
          <w:sz w:val="18"/>
          <w:szCs w:val="18"/>
          <w:color w:val="auto"/>
        </w:rPr>
        <w:t>The aggregate number of shares subject to stock options and other equity awards under the Plan (including the ESPP Addendum) since its inception through March 31, 2025 is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6614795" cy="79502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795020"/>
                        </a:xfrm>
                        <a:prstGeom prst="rect">
                          <a:avLst/>
                        </a:prstGeom>
                        <a:solidFill>
                          <a:srgbClr val="000000"/>
                        </a:solidFill>
                      </wps:spPr>
                      <wps:bodyPr/>
                    </wps:wsp>
                  </a:graphicData>
                </a:graphic>
              </wp:anchor>
            </w:drawing>
          </mc:Choice>
          <mc:Fallback>
            <w:pict>
              <v:rect id="Shape 39" o:spid="_x0000_s1064" style="position:absolute;margin-left:0pt;margin-top:12.9pt;width:520.85pt;height:6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381" w:lineRule="exact"/>
        <w:rPr>
          <w:sz w:val="20"/>
          <w:szCs w:val="20"/>
          <w:color w:val="auto"/>
        </w:rPr>
      </w:pPr>
    </w:p>
    <w:p>
      <w:pPr>
        <w:jc w:val="center"/>
        <w:ind w:right="58"/>
        <w:spacing w:after="0"/>
        <w:rPr>
          <w:sz w:val="20"/>
          <w:szCs w:val="20"/>
          <w:color w:val="auto"/>
        </w:rPr>
      </w:pPr>
      <w:r>
        <w:rPr>
          <w:rFonts w:ascii="Arial" w:cs="Arial" w:eastAsia="Arial" w:hAnsi="Arial"/>
          <w:sz w:val="14"/>
          <w:szCs w:val="14"/>
          <w:color w:val="FFFFFF"/>
        </w:rPr>
        <w:t>Lucid Group, Inc. Amended and Restated 2021 Stock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100965</wp:posOffset>
                </wp:positionV>
                <wp:extent cx="634873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873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5pt,7.95pt" to="508.85pt,7.95pt" o:allowincell="f" strokecolor="#FFFFFF" strokeweight="0.499pt"/>
            </w:pict>
          </mc:Fallback>
        </mc:AlternateContent>
      </w:r>
    </w:p>
    <w:p>
      <w:pPr>
        <w:spacing w:after="0" w:line="28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5940" w:type="dxa"/>
            <w:vAlign w:val="bottom"/>
          </w:tcPr>
          <w:p>
            <w:pPr>
              <w:ind w:left="180"/>
              <w:spacing w:after="0"/>
              <w:rPr>
                <w:sz w:val="20"/>
                <w:szCs w:val="20"/>
                <w:color w:val="auto"/>
              </w:rPr>
            </w:pPr>
            <w:r>
              <w:rPr>
                <w:rFonts w:ascii="Arial" w:cs="Arial" w:eastAsia="Arial" w:hAnsi="Arial"/>
                <w:sz w:val="14"/>
                <w:szCs w:val="14"/>
                <w:color w:val="FFFFFF"/>
              </w:rPr>
              <w:t>Name and Position</w:t>
            </w:r>
          </w:p>
        </w:tc>
        <w:tc>
          <w:tcPr>
            <w:tcW w:w="1100" w:type="dxa"/>
            <w:vAlign w:val="bottom"/>
          </w:tcPr>
          <w:p>
            <w:pPr>
              <w:ind w:left="220"/>
              <w:spacing w:after="0"/>
              <w:rPr>
                <w:sz w:val="20"/>
                <w:szCs w:val="20"/>
                <w:color w:val="auto"/>
              </w:rPr>
            </w:pPr>
            <w:r>
              <w:rPr>
                <w:rFonts w:ascii="Arial" w:cs="Arial" w:eastAsia="Arial" w:hAnsi="Arial"/>
                <w:sz w:val="14"/>
                <w:szCs w:val="14"/>
                <w:color w:val="FFFFFF"/>
              </w:rPr>
              <w:t>Number of</w:t>
            </w:r>
          </w:p>
        </w:tc>
        <w:tc>
          <w:tcPr>
            <w:tcW w:w="1800" w:type="dxa"/>
            <w:vAlign w:val="bottom"/>
          </w:tcPr>
          <w:p>
            <w:pPr>
              <w:ind w:left="160"/>
              <w:spacing w:after="0"/>
              <w:rPr>
                <w:sz w:val="20"/>
                <w:szCs w:val="20"/>
                <w:color w:val="auto"/>
              </w:rPr>
            </w:pPr>
            <w:r>
              <w:rPr>
                <w:rFonts w:ascii="Arial" w:cs="Arial" w:eastAsia="Arial" w:hAnsi="Arial"/>
                <w:sz w:val="14"/>
                <w:szCs w:val="14"/>
                <w:color w:val="FFFFFF"/>
              </w:rPr>
              <w:t>Weighted Average Per</w:t>
            </w:r>
          </w:p>
        </w:tc>
        <w:tc>
          <w:tcPr>
            <w:tcW w:w="1580" w:type="dxa"/>
            <w:vAlign w:val="bottom"/>
          </w:tcPr>
          <w:p>
            <w:pPr>
              <w:ind w:left="120"/>
              <w:spacing w:after="0"/>
              <w:rPr>
                <w:sz w:val="20"/>
                <w:szCs w:val="20"/>
                <w:color w:val="auto"/>
              </w:rPr>
            </w:pPr>
            <w:r>
              <w:rPr>
                <w:rFonts w:ascii="Arial" w:cs="Arial" w:eastAsia="Arial" w:hAnsi="Arial"/>
                <w:sz w:val="14"/>
                <w:szCs w:val="14"/>
                <w:color w:val="FFFFFF"/>
              </w:rPr>
              <w:t>Number of Shares</w:t>
            </w:r>
          </w:p>
        </w:tc>
      </w:tr>
      <w:tr>
        <w:trPr>
          <w:trHeight w:val="153"/>
        </w:trPr>
        <w:tc>
          <w:tcPr>
            <w:tcW w:w="5940" w:type="dxa"/>
            <w:vAlign w:val="bottom"/>
          </w:tcPr>
          <w:p>
            <w:pPr>
              <w:spacing w:after="0"/>
              <w:rPr>
                <w:sz w:val="13"/>
                <w:szCs w:val="13"/>
                <w:color w:val="auto"/>
              </w:rPr>
            </w:pPr>
          </w:p>
        </w:tc>
        <w:tc>
          <w:tcPr>
            <w:tcW w:w="1100" w:type="dxa"/>
            <w:vAlign w:val="bottom"/>
          </w:tcPr>
          <w:p>
            <w:pPr>
              <w:ind w:left="220"/>
              <w:spacing w:after="0" w:line="153" w:lineRule="exact"/>
              <w:rPr>
                <w:sz w:val="20"/>
                <w:szCs w:val="20"/>
                <w:color w:val="auto"/>
              </w:rPr>
            </w:pPr>
            <w:r>
              <w:rPr>
                <w:rFonts w:ascii="Arial" w:cs="Arial" w:eastAsia="Arial" w:hAnsi="Arial"/>
                <w:sz w:val="14"/>
                <w:szCs w:val="14"/>
                <w:color w:val="FFFFFF"/>
              </w:rPr>
              <w:t>Options</w:t>
            </w:r>
          </w:p>
        </w:tc>
        <w:tc>
          <w:tcPr>
            <w:tcW w:w="1800" w:type="dxa"/>
            <w:vAlign w:val="bottom"/>
          </w:tcPr>
          <w:p>
            <w:pPr>
              <w:ind w:left="160"/>
              <w:spacing w:after="0" w:line="153" w:lineRule="exact"/>
              <w:rPr>
                <w:sz w:val="20"/>
                <w:szCs w:val="20"/>
                <w:color w:val="auto"/>
              </w:rPr>
            </w:pPr>
            <w:r>
              <w:rPr>
                <w:rFonts w:ascii="Arial" w:cs="Arial" w:eastAsia="Arial" w:hAnsi="Arial"/>
                <w:sz w:val="14"/>
                <w:szCs w:val="14"/>
                <w:color w:val="FFFFFF"/>
              </w:rPr>
              <w:t>Share Exercise Price</w:t>
            </w:r>
          </w:p>
        </w:tc>
        <w:tc>
          <w:tcPr>
            <w:tcW w:w="1580" w:type="dxa"/>
            <w:vAlign w:val="bottom"/>
          </w:tcPr>
          <w:p>
            <w:pPr>
              <w:ind w:left="120"/>
              <w:spacing w:after="0" w:line="153" w:lineRule="exact"/>
              <w:rPr>
                <w:sz w:val="20"/>
                <w:szCs w:val="20"/>
                <w:color w:val="auto"/>
              </w:rPr>
            </w:pPr>
            <w:r>
              <w:rPr>
                <w:rFonts w:ascii="Arial" w:cs="Arial" w:eastAsia="Arial" w:hAnsi="Arial"/>
                <w:sz w:val="14"/>
                <w:szCs w:val="14"/>
                <w:color w:val="FFFFFF"/>
              </w:rPr>
              <w:t>Subject to Other</w:t>
            </w:r>
          </w:p>
        </w:tc>
      </w:tr>
      <w:tr>
        <w:trPr>
          <w:trHeight w:val="241"/>
        </w:trPr>
        <w:tc>
          <w:tcPr>
            <w:tcW w:w="5940" w:type="dxa"/>
            <w:vAlign w:val="bottom"/>
          </w:tcPr>
          <w:p>
            <w:pPr>
              <w:spacing w:after="0"/>
              <w:rPr>
                <w:sz w:val="20"/>
                <w:szCs w:val="20"/>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FFFFFF"/>
              </w:rPr>
              <w:t>Granted</w:t>
            </w:r>
          </w:p>
        </w:tc>
        <w:tc>
          <w:tcPr>
            <w:tcW w:w="1800" w:type="dxa"/>
            <w:vAlign w:val="bottom"/>
          </w:tcPr>
          <w:p>
            <w:pPr>
              <w:ind w:left="160"/>
              <w:spacing w:after="0"/>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(1)</w:t>
            </w:r>
          </w:p>
        </w:tc>
        <w:tc>
          <w:tcPr>
            <w:tcW w:w="1580" w:type="dxa"/>
            <w:vAlign w:val="bottom"/>
          </w:tcPr>
          <w:p>
            <w:pPr>
              <w:ind w:left="120"/>
              <w:spacing w:after="0"/>
              <w:rPr>
                <w:sz w:val="20"/>
                <w:szCs w:val="20"/>
                <w:color w:val="auto"/>
              </w:rPr>
            </w:pPr>
            <w:r>
              <w:rPr>
                <w:rFonts w:ascii="Arial" w:cs="Arial" w:eastAsia="Arial" w:hAnsi="Arial"/>
                <w:sz w:val="14"/>
                <w:szCs w:val="14"/>
                <w:color w:val="FFFFFF"/>
              </w:rPr>
              <w:t>Stock Awards</w:t>
            </w:r>
            <w:r>
              <w:rPr>
                <w:rFonts w:ascii="Arial" w:cs="Arial" w:eastAsia="Arial" w:hAnsi="Arial"/>
                <w:sz w:val="17"/>
                <w:szCs w:val="17"/>
                <w:color w:val="FFFFFF"/>
                <w:vertAlign w:val="superscript"/>
              </w:rPr>
              <w:t>(2)</w:t>
            </w:r>
          </w:p>
        </w:tc>
      </w:tr>
      <w:tr>
        <w:trPr>
          <w:trHeight w:val="396"/>
        </w:trPr>
        <w:tc>
          <w:tcPr>
            <w:tcW w:w="594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Former Chief Executive Officer, Chief Technology Officer &amp; Director</w:t>
            </w:r>
          </w:p>
        </w:tc>
        <w:tc>
          <w:tcPr>
            <w:tcW w:w="1100" w:type="dxa"/>
            <w:vAlign w:val="bottom"/>
          </w:tcPr>
          <w:p>
            <w:pPr>
              <w:ind w:left="220"/>
              <w:spacing w:after="0"/>
              <w:rPr>
                <w:sz w:val="20"/>
                <w:szCs w:val="20"/>
                <w:color w:val="auto"/>
              </w:rPr>
            </w:pPr>
            <w:r>
              <w:rPr>
                <w:rFonts w:ascii="Arial" w:cs="Arial" w:eastAsia="Arial" w:hAnsi="Arial"/>
                <w:sz w:val="16"/>
                <w:szCs w:val="16"/>
                <w:color w:val="auto"/>
              </w:rPr>
              <w:t>—</w:t>
            </w:r>
          </w:p>
        </w:tc>
        <w:tc>
          <w:tcPr>
            <w:tcW w:w="1800" w:type="dxa"/>
            <w:vAlign w:val="bottom"/>
          </w:tcPr>
          <w:p>
            <w:pPr>
              <w:ind w:left="16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672,766</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87"/>
        </w:trPr>
        <w:tc>
          <w:tcPr>
            <w:tcW w:w="594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Interim Chief Executive Officer</w:t>
            </w:r>
          </w:p>
        </w:tc>
        <w:tc>
          <w:tcPr>
            <w:tcW w:w="1100" w:type="dxa"/>
            <w:vAlign w:val="bottom"/>
          </w:tcPr>
          <w:p>
            <w:pPr>
              <w:ind w:left="220"/>
              <w:spacing w:after="0"/>
              <w:rPr>
                <w:sz w:val="20"/>
                <w:szCs w:val="20"/>
                <w:color w:val="auto"/>
              </w:rPr>
            </w:pPr>
            <w:r>
              <w:rPr>
                <w:rFonts w:ascii="Arial" w:cs="Arial" w:eastAsia="Arial" w:hAnsi="Arial"/>
                <w:sz w:val="16"/>
                <w:szCs w:val="16"/>
                <w:color w:val="auto"/>
              </w:rPr>
              <w:t>713,910</w:t>
            </w:r>
          </w:p>
        </w:tc>
        <w:tc>
          <w:tcPr>
            <w:tcW w:w="1800" w:type="dxa"/>
            <w:vAlign w:val="bottom"/>
          </w:tcPr>
          <w:p>
            <w:pPr>
              <w:ind w:left="160"/>
              <w:spacing w:after="0"/>
              <w:rPr>
                <w:sz w:val="20"/>
                <w:szCs w:val="20"/>
                <w:color w:val="auto"/>
              </w:rPr>
            </w:pPr>
            <w:r>
              <w:rPr>
                <w:rFonts w:ascii="Arial" w:cs="Arial" w:eastAsia="Arial" w:hAnsi="Arial"/>
                <w:sz w:val="16"/>
                <w:szCs w:val="16"/>
                <w:color w:val="auto"/>
              </w:rPr>
              <w:t>5.25</w:t>
            </w:r>
          </w:p>
        </w:tc>
        <w:tc>
          <w:tcPr>
            <w:tcW w:w="1580" w:type="dxa"/>
            <w:vAlign w:val="bottom"/>
          </w:tcPr>
          <w:p>
            <w:pPr>
              <w:ind w:left="120"/>
              <w:spacing w:after="0"/>
              <w:rPr>
                <w:sz w:val="20"/>
                <w:szCs w:val="20"/>
                <w:color w:val="auto"/>
              </w:rPr>
            </w:pPr>
            <w:r>
              <w:rPr>
                <w:rFonts w:ascii="Arial" w:cs="Arial" w:eastAsia="Arial" w:hAnsi="Arial"/>
                <w:sz w:val="16"/>
                <w:szCs w:val="16"/>
                <w:color w:val="auto"/>
              </w:rPr>
              <w:t>5,048,654</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87"/>
        </w:trPr>
        <w:tc>
          <w:tcPr>
            <w:tcW w:w="5940" w:type="dxa"/>
            <w:vAlign w:val="bottom"/>
          </w:tcPr>
          <w:p>
            <w:pPr>
              <w:ind w:left="180"/>
              <w:spacing w:after="0"/>
              <w:rPr>
                <w:sz w:val="20"/>
                <w:szCs w:val="20"/>
                <w:color w:val="auto"/>
              </w:rPr>
            </w:pPr>
            <w:r>
              <w:rPr>
                <w:rFonts w:ascii="Arial" w:cs="Arial" w:eastAsia="Arial" w:hAnsi="Arial"/>
                <w:sz w:val="16"/>
                <w:szCs w:val="16"/>
                <w:color w:val="auto"/>
              </w:rPr>
              <w:t>Taoufiq Boussaid,</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1100" w:type="dxa"/>
            <w:vAlign w:val="bottom"/>
          </w:tcPr>
          <w:p>
            <w:pPr>
              <w:ind w:left="220"/>
              <w:spacing w:after="0"/>
              <w:rPr>
                <w:sz w:val="20"/>
                <w:szCs w:val="20"/>
                <w:color w:val="auto"/>
              </w:rPr>
            </w:pPr>
            <w:r>
              <w:rPr>
                <w:rFonts w:ascii="Arial" w:cs="Arial" w:eastAsia="Arial" w:hAnsi="Arial"/>
                <w:sz w:val="16"/>
                <w:szCs w:val="16"/>
                <w:color w:val="auto"/>
              </w:rPr>
              <w:t>—</w:t>
            </w:r>
          </w:p>
        </w:tc>
        <w:tc>
          <w:tcPr>
            <w:tcW w:w="1800" w:type="dxa"/>
            <w:vAlign w:val="bottom"/>
          </w:tcPr>
          <w:p>
            <w:pPr>
              <w:ind w:left="16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1,336,228</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87"/>
        </w:trPr>
        <w:tc>
          <w:tcPr>
            <w:tcW w:w="594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0"/>
        </w:trPr>
        <w:tc>
          <w:tcPr>
            <w:tcW w:w="5940" w:type="dxa"/>
            <w:vAlign w:val="bottom"/>
          </w:tcPr>
          <w:p>
            <w:pPr>
              <w:ind w:left="180"/>
              <w:spacing w:after="0" w:line="180" w:lineRule="exact"/>
              <w:rPr>
                <w:sz w:val="20"/>
                <w:szCs w:val="20"/>
                <w:color w:val="auto"/>
              </w:rPr>
            </w:pPr>
            <w:r>
              <w:rPr>
                <w:rFonts w:ascii="Arial" w:cs="Arial" w:eastAsia="Arial" w:hAnsi="Arial"/>
                <w:sz w:val="16"/>
                <w:szCs w:val="16"/>
                <w:color w:val="auto"/>
              </w:rPr>
              <w:t>Senior Vice President, Finance and Accounting and Principal Accounting</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Officer</w:t>
            </w:r>
          </w:p>
        </w:tc>
        <w:tc>
          <w:tcPr>
            <w:tcW w:w="1100" w:type="dxa"/>
            <w:vAlign w:val="bottom"/>
          </w:tcPr>
          <w:p>
            <w:pPr>
              <w:ind w:left="220"/>
              <w:spacing w:after="0"/>
              <w:rPr>
                <w:sz w:val="20"/>
                <w:szCs w:val="20"/>
                <w:color w:val="auto"/>
              </w:rPr>
            </w:pPr>
            <w:r>
              <w:rPr>
                <w:rFonts w:ascii="Arial" w:cs="Arial" w:eastAsia="Arial" w:hAnsi="Arial"/>
                <w:sz w:val="16"/>
                <w:szCs w:val="16"/>
                <w:color w:val="auto"/>
              </w:rPr>
              <w:t>113,517</w:t>
            </w:r>
          </w:p>
        </w:tc>
        <w:tc>
          <w:tcPr>
            <w:tcW w:w="1800" w:type="dxa"/>
            <w:vAlign w:val="bottom"/>
          </w:tcPr>
          <w:p>
            <w:pPr>
              <w:ind w:left="160"/>
              <w:spacing w:after="0"/>
              <w:rPr>
                <w:sz w:val="20"/>
                <w:szCs w:val="20"/>
                <w:color w:val="auto"/>
              </w:rPr>
            </w:pPr>
            <w:r>
              <w:rPr>
                <w:rFonts w:ascii="Arial" w:cs="Arial" w:eastAsia="Arial" w:hAnsi="Arial"/>
                <w:sz w:val="16"/>
                <w:szCs w:val="16"/>
                <w:color w:val="auto"/>
              </w:rPr>
              <w:t>8.26</w:t>
            </w:r>
          </w:p>
        </w:tc>
        <w:tc>
          <w:tcPr>
            <w:tcW w:w="1580" w:type="dxa"/>
            <w:vAlign w:val="bottom"/>
          </w:tcPr>
          <w:p>
            <w:pPr>
              <w:ind w:left="120"/>
              <w:spacing w:after="0"/>
              <w:rPr>
                <w:sz w:val="20"/>
                <w:szCs w:val="20"/>
                <w:color w:val="auto"/>
              </w:rPr>
            </w:pPr>
            <w:r>
              <w:rPr>
                <w:rFonts w:ascii="Arial" w:cs="Arial" w:eastAsia="Arial" w:hAnsi="Arial"/>
                <w:sz w:val="16"/>
                <w:szCs w:val="16"/>
                <w:color w:val="auto"/>
              </w:rPr>
              <w:t>1,532,818</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87"/>
        </w:trPr>
        <w:tc>
          <w:tcPr>
            <w:tcW w:w="59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Senior Vice President, Product and Chief Engineer</w:t>
            </w:r>
          </w:p>
        </w:tc>
        <w:tc>
          <w:tcPr>
            <w:tcW w:w="1100" w:type="dxa"/>
            <w:vAlign w:val="bottom"/>
          </w:tcPr>
          <w:p>
            <w:pPr>
              <w:ind w:left="220"/>
              <w:spacing w:after="0"/>
              <w:rPr>
                <w:sz w:val="20"/>
                <w:szCs w:val="20"/>
                <w:color w:val="auto"/>
              </w:rPr>
            </w:pPr>
            <w:r>
              <w:rPr>
                <w:rFonts w:ascii="Arial" w:cs="Arial" w:eastAsia="Arial" w:hAnsi="Arial"/>
                <w:sz w:val="16"/>
                <w:szCs w:val="16"/>
                <w:color w:val="auto"/>
              </w:rPr>
              <w:t>408,663</w:t>
            </w:r>
          </w:p>
        </w:tc>
        <w:tc>
          <w:tcPr>
            <w:tcW w:w="1800" w:type="dxa"/>
            <w:vAlign w:val="bottom"/>
          </w:tcPr>
          <w:p>
            <w:pPr>
              <w:ind w:left="160"/>
              <w:spacing w:after="0"/>
              <w:rPr>
                <w:sz w:val="20"/>
                <w:szCs w:val="20"/>
                <w:color w:val="auto"/>
              </w:rPr>
            </w:pPr>
            <w:r>
              <w:rPr>
                <w:rFonts w:ascii="Arial" w:cs="Arial" w:eastAsia="Arial" w:hAnsi="Arial"/>
                <w:sz w:val="16"/>
                <w:szCs w:val="16"/>
                <w:color w:val="auto"/>
              </w:rPr>
              <w:t>8.26</w:t>
            </w:r>
          </w:p>
        </w:tc>
        <w:tc>
          <w:tcPr>
            <w:tcW w:w="1580" w:type="dxa"/>
            <w:vAlign w:val="bottom"/>
          </w:tcPr>
          <w:p>
            <w:pPr>
              <w:ind w:left="120"/>
              <w:spacing w:after="0"/>
              <w:rPr>
                <w:sz w:val="20"/>
                <w:szCs w:val="20"/>
                <w:color w:val="auto"/>
              </w:rPr>
            </w:pPr>
            <w:r>
              <w:rPr>
                <w:rFonts w:ascii="Arial" w:cs="Arial" w:eastAsia="Arial" w:hAnsi="Arial"/>
                <w:sz w:val="16"/>
                <w:szCs w:val="16"/>
                <w:color w:val="auto"/>
              </w:rPr>
              <w:t>4,128,284</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87"/>
        </w:trPr>
        <w:tc>
          <w:tcPr>
            <w:tcW w:w="5940" w:type="dxa"/>
            <w:vAlign w:val="bottom"/>
          </w:tcPr>
          <w:p>
            <w:pPr>
              <w:ind w:left="180"/>
              <w:spacing w:after="0"/>
              <w:rPr>
                <w:sz w:val="20"/>
                <w:szCs w:val="20"/>
                <w:color w:val="auto"/>
              </w:rPr>
            </w:pPr>
            <w:r>
              <w:rPr>
                <w:rFonts w:ascii="Arial" w:cs="Arial" w:eastAsia="Arial" w:hAnsi="Arial"/>
                <w:sz w:val="16"/>
                <w:szCs w:val="16"/>
                <w:color w:val="auto"/>
              </w:rPr>
              <w:t>Michael Bell,</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7"/>
        </w:trPr>
        <w:tc>
          <w:tcPr>
            <w:tcW w:w="5940" w:type="dxa"/>
            <w:vAlign w:val="bottom"/>
          </w:tcPr>
          <w:p>
            <w:pPr>
              <w:ind w:left="180"/>
              <w:spacing w:after="0"/>
              <w:rPr>
                <w:sz w:val="20"/>
                <w:szCs w:val="20"/>
                <w:color w:val="auto"/>
              </w:rPr>
            </w:pPr>
            <w:r>
              <w:rPr>
                <w:rFonts w:ascii="Arial" w:cs="Arial" w:eastAsia="Arial" w:hAnsi="Arial"/>
                <w:sz w:val="16"/>
                <w:szCs w:val="16"/>
                <w:color w:val="auto"/>
              </w:rPr>
              <w:t>Former Senior Vice President, Digital</w:t>
            </w:r>
          </w:p>
        </w:tc>
        <w:tc>
          <w:tcPr>
            <w:tcW w:w="1100" w:type="dxa"/>
            <w:vAlign w:val="bottom"/>
          </w:tcPr>
          <w:p>
            <w:pPr>
              <w:ind w:left="220"/>
              <w:spacing w:after="0"/>
              <w:rPr>
                <w:sz w:val="20"/>
                <w:szCs w:val="20"/>
                <w:color w:val="auto"/>
              </w:rPr>
            </w:pPr>
            <w:r>
              <w:rPr>
                <w:rFonts w:ascii="Arial" w:cs="Arial" w:eastAsia="Arial" w:hAnsi="Arial"/>
                <w:sz w:val="16"/>
                <w:szCs w:val="16"/>
                <w:color w:val="auto"/>
              </w:rPr>
              <w:t>408,663</w:t>
            </w:r>
          </w:p>
        </w:tc>
        <w:tc>
          <w:tcPr>
            <w:tcW w:w="1800" w:type="dxa"/>
            <w:vAlign w:val="bottom"/>
          </w:tcPr>
          <w:p>
            <w:pPr>
              <w:ind w:left="160"/>
              <w:spacing w:after="0"/>
              <w:rPr>
                <w:sz w:val="20"/>
                <w:szCs w:val="20"/>
                <w:color w:val="auto"/>
              </w:rPr>
            </w:pPr>
            <w:r>
              <w:rPr>
                <w:rFonts w:ascii="Arial" w:cs="Arial" w:eastAsia="Arial" w:hAnsi="Arial"/>
                <w:sz w:val="16"/>
                <w:szCs w:val="16"/>
                <w:color w:val="auto"/>
              </w:rPr>
              <w:t>8.26</w:t>
            </w:r>
          </w:p>
        </w:tc>
        <w:tc>
          <w:tcPr>
            <w:tcW w:w="1580" w:type="dxa"/>
            <w:vAlign w:val="bottom"/>
          </w:tcPr>
          <w:p>
            <w:pPr>
              <w:ind w:left="120"/>
              <w:spacing w:after="0"/>
              <w:rPr>
                <w:sz w:val="20"/>
                <w:szCs w:val="20"/>
                <w:color w:val="auto"/>
              </w:rPr>
            </w:pPr>
            <w:r>
              <w:rPr>
                <w:rFonts w:ascii="Arial" w:cs="Arial" w:eastAsia="Arial" w:hAnsi="Arial"/>
                <w:sz w:val="16"/>
                <w:szCs w:val="16"/>
                <w:color w:val="auto"/>
              </w:rPr>
              <w:t>820,137</w:t>
            </w:r>
          </w:p>
        </w:tc>
      </w:tr>
      <w:tr>
        <w:trPr>
          <w:trHeight w:val="135"/>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940" w:type="dxa"/>
            <w:vAlign w:val="bottom"/>
          </w:tcPr>
          <w:p>
            <w:pPr>
              <w:ind w:left="180"/>
              <w:spacing w:after="0"/>
              <w:rPr>
                <w:sz w:val="20"/>
                <w:szCs w:val="20"/>
                <w:color w:val="auto"/>
              </w:rPr>
            </w:pPr>
            <w:r>
              <w:rPr>
                <w:rFonts w:ascii="Arial" w:cs="Arial" w:eastAsia="Arial" w:hAnsi="Arial"/>
                <w:sz w:val="16"/>
                <w:szCs w:val="16"/>
                <w:color w:val="auto"/>
              </w:rPr>
              <w:t>Turqi Alnowaiser</w:t>
            </w:r>
          </w:p>
        </w:tc>
        <w:tc>
          <w:tcPr>
            <w:tcW w:w="1100" w:type="dxa"/>
            <w:vAlign w:val="bottom"/>
          </w:tcPr>
          <w:p>
            <w:pPr>
              <w:ind w:left="220"/>
              <w:spacing w:after="0"/>
              <w:rPr>
                <w:sz w:val="20"/>
                <w:szCs w:val="20"/>
                <w:color w:val="auto"/>
              </w:rPr>
            </w:pPr>
            <w:r>
              <w:rPr>
                <w:rFonts w:ascii="Arial" w:cs="Arial" w:eastAsia="Arial" w:hAnsi="Arial"/>
                <w:sz w:val="16"/>
                <w:szCs w:val="16"/>
                <w:color w:val="auto"/>
              </w:rPr>
              <w:t>—</w:t>
            </w:r>
          </w:p>
        </w:tc>
        <w:tc>
          <w:tcPr>
            <w:tcW w:w="1800" w:type="dxa"/>
            <w:vAlign w:val="bottom"/>
          </w:tcPr>
          <w:p>
            <w:pPr>
              <w:ind w:left="16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150,111</w:t>
            </w:r>
          </w:p>
        </w:tc>
      </w:tr>
      <w:tr>
        <w:trPr>
          <w:trHeight w:val="138"/>
        </w:trPr>
        <w:tc>
          <w:tcPr>
            <w:tcW w:w="5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ectPr>
          <w:pgSz w:w="11880" w:h="15480" w:orient="portrait"/>
          <w:cols w:equalWidth="0" w:num="1">
            <w:col w:w="10422"/>
          </w:cols>
          <w:pgMar w:left="718" w:top="876" w:right="740" w:bottom="0" w:gutter="0" w:footer="0" w:header="0"/>
        </w:sectPr>
      </w:pPr>
    </w:p>
    <w:p>
      <w:pPr>
        <w:spacing w:after="0" w:line="383"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876" w:right="740" w:bottom="0" w:gutter="0" w:footer="0" w:header="0"/>
          <w:type w:val="continuous"/>
        </w:sectPr>
      </w:pPr>
    </w:p>
    <w:bookmarkStart w:id="38" w:name="page39"/>
    <w:bookmarkEnd w:id="38"/>
    <w:p>
      <w:pPr>
        <w:jc w:val="center"/>
        <w:ind w:right="58"/>
        <w:spacing w:after="0"/>
        <w:rPr>
          <w:sz w:val="20"/>
          <w:szCs w:val="20"/>
          <w:color w:val="auto"/>
        </w:rPr>
      </w:pPr>
      <w:r>
        <w:rPr>
          <w:rFonts w:ascii="Arial" w:cs="Arial" w:eastAsia="Arial" w:hAnsi="Arial"/>
          <w:sz w:val="14"/>
          <w:szCs w:val="14"/>
          <w:color w:val="FFFFFF"/>
        </w:rPr>
        <mc:AlternateContent>
          <mc:Choice Requires="wps">
            <w:drawing>
              <wp:anchor simplePos="0" relativeHeight="251657728" behindDoc="1" locked="0" layoutInCell="0" allowOverlap="1">
                <wp:simplePos x="0" y="0"/>
                <wp:positionH relativeFrom="page">
                  <wp:posOffset>455930</wp:posOffset>
                </wp:positionH>
                <wp:positionV relativeFrom="page">
                  <wp:posOffset>633730</wp:posOffset>
                </wp:positionV>
                <wp:extent cx="6614795" cy="79502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795020"/>
                        </a:xfrm>
                        <a:prstGeom prst="rect">
                          <a:avLst/>
                        </a:prstGeom>
                        <a:solidFill>
                          <a:srgbClr val="000000"/>
                        </a:solidFill>
                      </wps:spPr>
                      <wps:bodyPr/>
                    </wps:wsp>
                  </a:graphicData>
                </a:graphic>
              </wp:anchor>
            </w:drawing>
          </mc:Choice>
          <mc:Fallback>
            <w:pict>
              <v:rect id="Shape 41" o:spid="_x0000_s1066" style="position:absolute;margin-left:35.9pt;margin-top:49.9pt;width:520.85pt;height:62.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Lucid Group, Inc. Amended and Restated 2021 Stock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100965</wp:posOffset>
                </wp:positionV>
                <wp:extent cx="63487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873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5pt,7.95pt" to="508.85pt,7.95pt" o:allowincell="f" strokecolor="#FFFFFF" strokeweight="0.499pt"/>
            </w:pict>
          </mc:Fallback>
        </mc:AlternateContent>
      </w:r>
    </w:p>
    <w:p>
      <w:pPr>
        <w:spacing w:after="0" w:line="28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5640" w:type="dxa"/>
            <w:vAlign w:val="bottom"/>
          </w:tcPr>
          <w:p>
            <w:pPr>
              <w:ind w:left="180"/>
              <w:spacing w:after="0"/>
              <w:rPr>
                <w:sz w:val="20"/>
                <w:szCs w:val="20"/>
                <w:color w:val="auto"/>
              </w:rPr>
            </w:pPr>
            <w:r>
              <w:rPr>
                <w:rFonts w:ascii="Arial" w:cs="Arial" w:eastAsia="Arial" w:hAnsi="Arial"/>
                <w:sz w:val="14"/>
                <w:szCs w:val="14"/>
                <w:color w:val="FFFFFF"/>
              </w:rPr>
              <w:t>Name and Position</w:t>
            </w:r>
          </w:p>
        </w:tc>
        <w:tc>
          <w:tcPr>
            <w:tcW w:w="1440" w:type="dxa"/>
            <w:vAlign w:val="bottom"/>
          </w:tcPr>
          <w:p>
            <w:pPr>
              <w:ind w:left="520"/>
              <w:spacing w:after="0"/>
              <w:rPr>
                <w:sz w:val="20"/>
                <w:szCs w:val="20"/>
                <w:color w:val="auto"/>
              </w:rPr>
            </w:pPr>
            <w:r>
              <w:rPr>
                <w:rFonts w:ascii="Arial" w:cs="Arial" w:eastAsia="Arial" w:hAnsi="Arial"/>
                <w:sz w:val="14"/>
                <w:szCs w:val="14"/>
                <w:color w:val="FFFFFF"/>
              </w:rPr>
              <w:t>Number of</w:t>
            </w:r>
          </w:p>
        </w:tc>
        <w:tc>
          <w:tcPr>
            <w:tcW w:w="1760" w:type="dxa"/>
            <w:vAlign w:val="bottom"/>
          </w:tcPr>
          <w:p>
            <w:pPr>
              <w:ind w:left="120"/>
              <w:spacing w:after="0"/>
              <w:rPr>
                <w:sz w:val="20"/>
                <w:szCs w:val="20"/>
                <w:color w:val="auto"/>
              </w:rPr>
            </w:pPr>
            <w:r>
              <w:rPr>
                <w:rFonts w:ascii="Arial" w:cs="Arial" w:eastAsia="Arial" w:hAnsi="Arial"/>
                <w:sz w:val="14"/>
                <w:szCs w:val="14"/>
                <w:color w:val="FFFFFF"/>
              </w:rPr>
              <w:t>Weighted Average Per</w:t>
            </w:r>
          </w:p>
        </w:tc>
        <w:tc>
          <w:tcPr>
            <w:tcW w:w="1580" w:type="dxa"/>
            <w:vAlign w:val="bottom"/>
          </w:tcPr>
          <w:p>
            <w:pPr>
              <w:ind w:left="120"/>
              <w:spacing w:after="0"/>
              <w:rPr>
                <w:sz w:val="20"/>
                <w:szCs w:val="20"/>
                <w:color w:val="auto"/>
              </w:rPr>
            </w:pPr>
            <w:r>
              <w:rPr>
                <w:rFonts w:ascii="Arial" w:cs="Arial" w:eastAsia="Arial" w:hAnsi="Arial"/>
                <w:sz w:val="14"/>
                <w:szCs w:val="14"/>
                <w:color w:val="FFFFFF"/>
              </w:rPr>
              <w:t>Number of Shares</w:t>
            </w:r>
          </w:p>
        </w:tc>
      </w:tr>
      <w:tr>
        <w:trPr>
          <w:trHeight w:val="153"/>
        </w:trPr>
        <w:tc>
          <w:tcPr>
            <w:tcW w:w="5640" w:type="dxa"/>
            <w:vAlign w:val="bottom"/>
          </w:tcPr>
          <w:p>
            <w:pPr>
              <w:spacing w:after="0"/>
              <w:rPr>
                <w:sz w:val="13"/>
                <w:szCs w:val="13"/>
                <w:color w:val="auto"/>
              </w:rPr>
            </w:pPr>
          </w:p>
        </w:tc>
        <w:tc>
          <w:tcPr>
            <w:tcW w:w="1440" w:type="dxa"/>
            <w:vAlign w:val="bottom"/>
          </w:tcPr>
          <w:p>
            <w:pPr>
              <w:ind w:left="520"/>
              <w:spacing w:after="0" w:line="153" w:lineRule="exact"/>
              <w:rPr>
                <w:sz w:val="20"/>
                <w:szCs w:val="20"/>
                <w:color w:val="auto"/>
              </w:rPr>
            </w:pPr>
            <w:r>
              <w:rPr>
                <w:rFonts w:ascii="Arial" w:cs="Arial" w:eastAsia="Arial" w:hAnsi="Arial"/>
                <w:sz w:val="14"/>
                <w:szCs w:val="14"/>
                <w:color w:val="FFFFFF"/>
              </w:rPr>
              <w:t>Options</w:t>
            </w:r>
          </w:p>
        </w:tc>
        <w:tc>
          <w:tcPr>
            <w:tcW w:w="1760" w:type="dxa"/>
            <w:vAlign w:val="bottom"/>
          </w:tcPr>
          <w:p>
            <w:pPr>
              <w:ind w:left="120"/>
              <w:spacing w:after="0" w:line="153" w:lineRule="exact"/>
              <w:rPr>
                <w:sz w:val="20"/>
                <w:szCs w:val="20"/>
                <w:color w:val="auto"/>
              </w:rPr>
            </w:pPr>
            <w:r>
              <w:rPr>
                <w:rFonts w:ascii="Arial" w:cs="Arial" w:eastAsia="Arial" w:hAnsi="Arial"/>
                <w:sz w:val="14"/>
                <w:szCs w:val="14"/>
                <w:color w:val="FFFFFF"/>
              </w:rPr>
              <w:t>Share Exercise Price</w:t>
            </w:r>
          </w:p>
        </w:tc>
        <w:tc>
          <w:tcPr>
            <w:tcW w:w="1580" w:type="dxa"/>
            <w:vAlign w:val="bottom"/>
          </w:tcPr>
          <w:p>
            <w:pPr>
              <w:ind w:left="120"/>
              <w:spacing w:after="0" w:line="153" w:lineRule="exact"/>
              <w:rPr>
                <w:sz w:val="20"/>
                <w:szCs w:val="20"/>
                <w:color w:val="auto"/>
              </w:rPr>
            </w:pPr>
            <w:r>
              <w:rPr>
                <w:rFonts w:ascii="Arial" w:cs="Arial" w:eastAsia="Arial" w:hAnsi="Arial"/>
                <w:sz w:val="14"/>
                <w:szCs w:val="14"/>
                <w:color w:val="FFFFFF"/>
              </w:rPr>
              <w:t>Subject to Other</w:t>
            </w:r>
          </w:p>
        </w:tc>
      </w:tr>
      <w:tr>
        <w:trPr>
          <w:trHeight w:val="241"/>
        </w:trPr>
        <w:tc>
          <w:tcPr>
            <w:tcW w:w="5640" w:type="dxa"/>
            <w:vAlign w:val="bottom"/>
          </w:tcPr>
          <w:p>
            <w:pPr>
              <w:spacing w:after="0"/>
              <w:rPr>
                <w:sz w:val="20"/>
                <w:szCs w:val="20"/>
                <w:color w:val="auto"/>
              </w:rPr>
            </w:pPr>
          </w:p>
        </w:tc>
        <w:tc>
          <w:tcPr>
            <w:tcW w:w="1440" w:type="dxa"/>
            <w:vAlign w:val="bottom"/>
          </w:tcPr>
          <w:p>
            <w:pPr>
              <w:ind w:left="520"/>
              <w:spacing w:after="0"/>
              <w:rPr>
                <w:sz w:val="20"/>
                <w:szCs w:val="20"/>
                <w:color w:val="auto"/>
              </w:rPr>
            </w:pPr>
            <w:r>
              <w:rPr>
                <w:rFonts w:ascii="Arial" w:cs="Arial" w:eastAsia="Arial" w:hAnsi="Arial"/>
                <w:sz w:val="14"/>
                <w:szCs w:val="14"/>
                <w:color w:val="FFFFFF"/>
              </w:rPr>
              <w:t>Granted</w:t>
            </w:r>
          </w:p>
        </w:tc>
        <w:tc>
          <w:tcPr>
            <w:tcW w:w="1760" w:type="dxa"/>
            <w:vAlign w:val="bottom"/>
          </w:tcPr>
          <w:p>
            <w:pPr>
              <w:ind w:left="120"/>
              <w:spacing w:after="0"/>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(1)</w:t>
            </w:r>
          </w:p>
        </w:tc>
        <w:tc>
          <w:tcPr>
            <w:tcW w:w="1580" w:type="dxa"/>
            <w:vAlign w:val="bottom"/>
          </w:tcPr>
          <w:p>
            <w:pPr>
              <w:ind w:left="120"/>
              <w:spacing w:after="0"/>
              <w:rPr>
                <w:sz w:val="20"/>
                <w:szCs w:val="20"/>
                <w:color w:val="auto"/>
              </w:rPr>
            </w:pPr>
            <w:r>
              <w:rPr>
                <w:rFonts w:ascii="Arial" w:cs="Arial" w:eastAsia="Arial" w:hAnsi="Arial"/>
                <w:sz w:val="14"/>
                <w:szCs w:val="14"/>
                <w:color w:val="FFFFFF"/>
              </w:rPr>
              <w:t>Stock Awards</w:t>
            </w:r>
            <w:r>
              <w:rPr>
                <w:rFonts w:ascii="Arial" w:cs="Arial" w:eastAsia="Arial" w:hAnsi="Arial"/>
                <w:sz w:val="17"/>
                <w:szCs w:val="17"/>
                <w:color w:val="FFFFFF"/>
                <w:vertAlign w:val="superscript"/>
              </w:rPr>
              <w:t>(2)</w:t>
            </w:r>
          </w:p>
        </w:tc>
      </w:tr>
      <w:tr>
        <w:trPr>
          <w:trHeight w:val="413"/>
        </w:trPr>
        <w:tc>
          <w:tcPr>
            <w:tcW w:w="5640" w:type="dxa"/>
            <w:vAlign w:val="bottom"/>
          </w:tcPr>
          <w:p>
            <w:pPr>
              <w:ind w:left="180"/>
              <w:spacing w:after="0"/>
              <w:rPr>
                <w:sz w:val="20"/>
                <w:szCs w:val="20"/>
                <w:color w:val="auto"/>
              </w:rPr>
            </w:pPr>
            <w:r>
              <w:rPr>
                <w:rFonts w:ascii="Arial" w:cs="Arial" w:eastAsia="Arial" w:hAnsi="Arial"/>
                <w:sz w:val="16"/>
                <w:szCs w:val="16"/>
                <w:color w:val="auto"/>
              </w:rPr>
              <w:t>Sherif Marakby</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145,209</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Lisa M. Lambert</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134,476</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Andrew Liveris</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150,111</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Nichelle Maynard-Elliott</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150,111</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Chabi Nouri</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145,209</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Ori Winitzer</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145,209</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Janet S. Wong</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150,111</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Douglas Grimm</w:t>
            </w:r>
          </w:p>
        </w:tc>
        <w:tc>
          <w:tcPr>
            <w:tcW w:w="1440" w:type="dxa"/>
            <w:vAlign w:val="bottom"/>
          </w:tcPr>
          <w:p>
            <w:pPr>
              <w:ind w:left="52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All Current Executive Officers as a Group</w:t>
            </w:r>
          </w:p>
        </w:tc>
        <w:tc>
          <w:tcPr>
            <w:tcW w:w="1440" w:type="dxa"/>
            <w:vAlign w:val="bottom"/>
          </w:tcPr>
          <w:p>
            <w:pPr>
              <w:ind w:left="520"/>
              <w:spacing w:after="0"/>
              <w:rPr>
                <w:sz w:val="20"/>
                <w:szCs w:val="20"/>
                <w:color w:val="auto"/>
              </w:rPr>
            </w:pPr>
            <w:r>
              <w:rPr>
                <w:rFonts w:ascii="Arial" w:cs="Arial" w:eastAsia="Arial" w:hAnsi="Arial"/>
                <w:sz w:val="16"/>
                <w:szCs w:val="16"/>
                <w:color w:val="auto"/>
              </w:rPr>
              <w:t>1,122,573</w:t>
            </w:r>
          </w:p>
        </w:tc>
        <w:tc>
          <w:tcPr>
            <w:tcW w:w="1760" w:type="dxa"/>
            <w:vAlign w:val="bottom"/>
          </w:tcPr>
          <w:p>
            <w:pPr>
              <w:ind w:left="120"/>
              <w:spacing w:after="0"/>
              <w:rPr>
                <w:sz w:val="20"/>
                <w:szCs w:val="20"/>
                <w:color w:val="auto"/>
              </w:rPr>
            </w:pPr>
            <w:r>
              <w:rPr>
                <w:rFonts w:ascii="Arial" w:cs="Arial" w:eastAsia="Arial" w:hAnsi="Arial"/>
                <w:sz w:val="16"/>
                <w:szCs w:val="16"/>
                <w:color w:val="auto"/>
              </w:rPr>
              <w:t>6.35</w:t>
            </w:r>
          </w:p>
        </w:tc>
        <w:tc>
          <w:tcPr>
            <w:tcW w:w="1580" w:type="dxa"/>
            <w:vAlign w:val="bottom"/>
          </w:tcPr>
          <w:p>
            <w:pPr>
              <w:ind w:left="120"/>
              <w:spacing w:after="0"/>
              <w:rPr>
                <w:sz w:val="20"/>
                <w:szCs w:val="20"/>
                <w:color w:val="auto"/>
              </w:rPr>
            </w:pPr>
            <w:r>
              <w:rPr>
                <w:rFonts w:ascii="Arial" w:cs="Arial" w:eastAsia="Arial" w:hAnsi="Arial"/>
                <w:sz w:val="16"/>
                <w:szCs w:val="16"/>
                <w:color w:val="auto"/>
              </w:rPr>
              <w:t>10,513,166</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All Current Non-Employee Directors as a Group</w:t>
            </w:r>
          </w:p>
        </w:tc>
        <w:tc>
          <w:tcPr>
            <w:tcW w:w="1440" w:type="dxa"/>
            <w:vAlign w:val="bottom"/>
          </w:tcPr>
          <w:p>
            <w:pPr>
              <w:ind w:left="500"/>
              <w:spacing w:after="0"/>
              <w:rPr>
                <w:sz w:val="20"/>
                <w:szCs w:val="20"/>
                <w:color w:val="auto"/>
              </w:rPr>
            </w:pPr>
            <w:r>
              <w:rPr>
                <w:rFonts w:ascii="Arial" w:cs="Arial" w:eastAsia="Arial" w:hAnsi="Arial"/>
                <w:sz w:val="16"/>
                <w:szCs w:val="16"/>
                <w:color w:val="auto"/>
              </w:rPr>
              <w:t>—</w:t>
            </w:r>
          </w:p>
        </w:tc>
        <w:tc>
          <w:tcPr>
            <w:tcW w:w="1760" w:type="dxa"/>
            <w:vAlign w:val="bottom"/>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ind w:left="120"/>
              <w:spacing w:after="0"/>
              <w:rPr>
                <w:sz w:val="20"/>
                <w:szCs w:val="20"/>
                <w:color w:val="auto"/>
              </w:rPr>
            </w:pPr>
            <w:r>
              <w:rPr>
                <w:rFonts w:ascii="Arial" w:cs="Arial" w:eastAsia="Arial" w:hAnsi="Arial"/>
                <w:sz w:val="16"/>
                <w:szCs w:val="16"/>
                <w:color w:val="auto"/>
              </w:rPr>
              <w:t>1,170,547</w:t>
            </w:r>
          </w:p>
        </w:tc>
      </w:tr>
      <w:tr>
        <w:trPr>
          <w:trHeight w:val="135"/>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5640" w:type="dxa"/>
            <w:vAlign w:val="bottom"/>
          </w:tcPr>
          <w:p>
            <w:pPr>
              <w:ind w:left="180"/>
              <w:spacing w:after="0"/>
              <w:rPr>
                <w:sz w:val="20"/>
                <w:szCs w:val="20"/>
                <w:color w:val="auto"/>
              </w:rPr>
            </w:pPr>
            <w:r>
              <w:rPr>
                <w:rFonts w:ascii="Arial" w:cs="Arial" w:eastAsia="Arial" w:hAnsi="Arial"/>
                <w:sz w:val="16"/>
                <w:szCs w:val="16"/>
                <w:color w:val="auto"/>
              </w:rPr>
              <w:t>All Employees, Other than Current Executive Officers, as a Group</w:t>
            </w:r>
          </w:p>
        </w:tc>
        <w:tc>
          <w:tcPr>
            <w:tcW w:w="1440" w:type="dxa"/>
            <w:vAlign w:val="bottom"/>
          </w:tcPr>
          <w:p>
            <w:pPr>
              <w:ind w:left="520"/>
              <w:spacing w:after="0"/>
              <w:rPr>
                <w:sz w:val="20"/>
                <w:szCs w:val="20"/>
                <w:color w:val="auto"/>
              </w:rPr>
            </w:pPr>
            <w:r>
              <w:rPr>
                <w:rFonts w:ascii="Arial" w:cs="Arial" w:eastAsia="Arial" w:hAnsi="Arial"/>
                <w:sz w:val="16"/>
                <w:szCs w:val="16"/>
                <w:color w:val="auto"/>
              </w:rPr>
              <w:t>3,939,490</w:t>
            </w:r>
          </w:p>
        </w:tc>
        <w:tc>
          <w:tcPr>
            <w:tcW w:w="1760" w:type="dxa"/>
            <w:vAlign w:val="bottom"/>
          </w:tcPr>
          <w:p>
            <w:pPr>
              <w:ind w:left="120"/>
              <w:spacing w:after="0"/>
              <w:rPr>
                <w:sz w:val="20"/>
                <w:szCs w:val="20"/>
                <w:color w:val="auto"/>
              </w:rPr>
            </w:pPr>
            <w:r>
              <w:rPr>
                <w:rFonts w:ascii="Arial" w:cs="Arial" w:eastAsia="Arial" w:hAnsi="Arial"/>
                <w:sz w:val="16"/>
                <w:szCs w:val="16"/>
                <w:color w:val="auto"/>
              </w:rPr>
              <w:t>7.75</w:t>
            </w:r>
          </w:p>
        </w:tc>
        <w:tc>
          <w:tcPr>
            <w:tcW w:w="1580" w:type="dxa"/>
            <w:vAlign w:val="bottom"/>
          </w:tcPr>
          <w:p>
            <w:pPr>
              <w:ind w:left="120"/>
              <w:spacing w:after="0"/>
              <w:rPr>
                <w:sz w:val="20"/>
                <w:szCs w:val="20"/>
                <w:color w:val="auto"/>
              </w:rPr>
            </w:pPr>
            <w:r>
              <w:rPr>
                <w:rFonts w:ascii="Arial" w:cs="Arial" w:eastAsia="Arial" w:hAnsi="Arial"/>
                <w:sz w:val="16"/>
                <w:szCs w:val="16"/>
                <w:color w:val="auto"/>
              </w:rPr>
              <w:t>188,058,686</w:t>
            </w:r>
          </w:p>
        </w:tc>
      </w:tr>
      <w:tr>
        <w:trPr>
          <w:trHeight w:val="138"/>
        </w:trPr>
        <w:tc>
          <w:tcPr>
            <w:tcW w:w="5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bl>
    <w:p>
      <w:pPr>
        <w:spacing w:after="0" w:line="313" w:lineRule="exact"/>
        <w:rPr>
          <w:sz w:val="20"/>
          <w:szCs w:val="20"/>
          <w:color w:val="auto"/>
        </w:rPr>
      </w:pPr>
    </w:p>
    <w:p>
      <w:pPr>
        <w:ind w:left="142" w:right="420" w:hanging="142"/>
        <w:spacing w:after="0"/>
        <w:tabs>
          <w:tab w:leader="none" w:pos="142"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As of March 31, 2025, the weighted average exercise price of the outstanding stock options under the stock incentive plan was $7.26 and the weighted average remaining contractual life was 5.44 years.</w:t>
      </w:r>
    </w:p>
    <w:p>
      <w:pPr>
        <w:spacing w:after="0" w:line="221" w:lineRule="exact"/>
        <w:rPr>
          <w:rFonts w:ascii="Arial" w:cs="Arial" w:eastAsia="Arial" w:hAnsi="Arial"/>
          <w:sz w:val="17"/>
          <w:szCs w:val="17"/>
          <w:color w:val="auto"/>
          <w:vertAlign w:val="superscript"/>
        </w:rPr>
      </w:pPr>
    </w:p>
    <w:p>
      <w:pPr>
        <w:ind w:left="142" w:right="240" w:hanging="142"/>
        <w:spacing w:after="0" w:line="221" w:lineRule="auto"/>
        <w:tabs>
          <w:tab w:leader="none" w:pos="142"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Other stock awards are in the form of RSUs and PSUs. Reflect actual performance levels for PSUs with performance periods end on or before fiscal year-end 2024 and assumes maximum performance levels for PSUs with open performance periods at fiscal year-end 2024.</w:t>
      </w:r>
    </w:p>
    <w:p>
      <w:pPr>
        <w:spacing w:after="0" w:line="252" w:lineRule="exact"/>
        <w:rPr>
          <w:sz w:val="20"/>
          <w:szCs w:val="20"/>
          <w:color w:val="auto"/>
        </w:rPr>
      </w:pPr>
    </w:p>
    <w:p>
      <w:pPr>
        <w:ind w:left="2"/>
        <w:spacing w:after="0"/>
        <w:rPr>
          <w:sz w:val="20"/>
          <w:szCs w:val="20"/>
          <w:color w:val="auto"/>
        </w:rPr>
      </w:pPr>
      <w:r>
        <w:rPr>
          <w:rFonts w:ascii="Arial" w:cs="Arial" w:eastAsia="Arial" w:hAnsi="Arial"/>
          <w:sz w:val="16"/>
          <w:szCs w:val="16"/>
          <w:color w:val="auto"/>
        </w:rPr>
        <w:t>ADDITIONAL INFORMATION REGARDING SHARE INCREASE</w:t>
      </w:r>
    </w:p>
    <w:p>
      <w:pPr>
        <w:spacing w:after="0" w:line="197" w:lineRule="exact"/>
        <w:rPr>
          <w:sz w:val="20"/>
          <w:szCs w:val="20"/>
          <w:color w:val="auto"/>
        </w:rPr>
      </w:pPr>
    </w:p>
    <w:p>
      <w:pPr>
        <w:ind w:left="2" w:right="560"/>
        <w:spacing w:after="0" w:line="306" w:lineRule="auto"/>
        <w:rPr>
          <w:sz w:val="20"/>
          <w:szCs w:val="20"/>
          <w:color w:val="auto"/>
        </w:rPr>
      </w:pPr>
      <w:r>
        <w:rPr>
          <w:rFonts w:ascii="Arial" w:cs="Arial" w:eastAsia="Arial" w:hAnsi="Arial"/>
          <w:sz w:val="18"/>
          <w:szCs w:val="18"/>
          <w:color w:val="auto"/>
        </w:rPr>
        <w:t>If stockholders approve the Amended Plan, such plan will authorize no more than 378,669,244 shares for issuance thereunder in the aggregate.</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18"/>
          <w:szCs w:val="18"/>
          <w:color w:val="auto"/>
        </w:rPr>
        <w:t>Stock Plan Share Reserve Summary Table (includes the ESPP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144145</wp:posOffset>
            </wp:positionV>
            <wp:extent cx="6640195" cy="320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6640195" cy="320040"/>
                    </a:xfrm>
                    <a:prstGeom prst="rect">
                      <a:avLst/>
                    </a:prstGeom>
                    <a:noFill/>
                  </pic:spPr>
                </pic:pic>
              </a:graphicData>
            </a:graphic>
          </wp:anchor>
        </w:drawing>
      </w:r>
    </w:p>
    <w:p>
      <w:pPr>
        <w:spacing w:after="0" w:line="371"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860" w:type="dxa"/>
            <w:vAlign w:val="bottom"/>
          </w:tcPr>
          <w:p>
            <w:pPr>
              <w:ind w:left="660"/>
              <w:spacing w:after="0"/>
              <w:rPr>
                <w:sz w:val="20"/>
                <w:szCs w:val="20"/>
                <w:color w:val="auto"/>
              </w:rPr>
            </w:pPr>
            <w:r>
              <w:rPr>
                <w:rFonts w:ascii="Arial" w:cs="Arial" w:eastAsia="Arial" w:hAnsi="Arial"/>
                <w:sz w:val="14"/>
                <w:szCs w:val="14"/>
                <w:color w:val="FFFFFF"/>
              </w:rPr>
              <w:t>Shares</w:t>
            </w:r>
          </w:p>
        </w:tc>
      </w:tr>
      <w:tr>
        <w:trPr>
          <w:trHeight w:val="475"/>
        </w:trPr>
        <w:tc>
          <w:tcPr>
            <w:tcW w:w="420" w:type="dxa"/>
            <w:vAlign w:val="bottom"/>
          </w:tcPr>
          <w:p>
            <w:pPr>
              <w:ind w:left="180"/>
              <w:spacing w:after="0"/>
              <w:rPr>
                <w:sz w:val="20"/>
                <w:szCs w:val="20"/>
                <w:color w:val="auto"/>
              </w:rPr>
            </w:pPr>
            <w:r>
              <w:rPr>
                <w:rFonts w:ascii="Arial" w:cs="Arial" w:eastAsia="Arial" w:hAnsi="Arial"/>
                <w:sz w:val="16"/>
                <w:szCs w:val="16"/>
                <w:color w:val="auto"/>
              </w:rPr>
              <w:t>A</w:t>
            </w:r>
          </w:p>
        </w:tc>
        <w:tc>
          <w:tcPr>
            <w:tcW w:w="8140" w:type="dxa"/>
            <w:vAlign w:val="bottom"/>
          </w:tcPr>
          <w:p>
            <w:pPr>
              <w:ind w:left="120"/>
              <w:spacing w:after="0"/>
              <w:rPr>
                <w:sz w:val="20"/>
                <w:szCs w:val="20"/>
                <w:color w:val="auto"/>
              </w:rPr>
            </w:pPr>
            <w:r>
              <w:rPr>
                <w:rFonts w:ascii="Arial" w:cs="Arial" w:eastAsia="Arial" w:hAnsi="Arial"/>
                <w:sz w:val="16"/>
                <w:szCs w:val="16"/>
                <w:color w:val="auto"/>
              </w:rPr>
              <w:t>Total shares authorized under the stock incentive plan, prior to the proposed amendment</w:t>
            </w:r>
          </w:p>
        </w:tc>
        <w:tc>
          <w:tcPr>
            <w:tcW w:w="1860" w:type="dxa"/>
            <w:vAlign w:val="bottom"/>
          </w:tcPr>
          <w:p>
            <w:pPr>
              <w:ind w:left="660"/>
              <w:spacing w:after="0"/>
              <w:rPr>
                <w:sz w:val="20"/>
                <w:szCs w:val="20"/>
                <w:color w:val="auto"/>
              </w:rPr>
            </w:pPr>
            <w:r>
              <w:rPr>
                <w:rFonts w:ascii="Arial" w:cs="Arial" w:eastAsia="Arial" w:hAnsi="Arial"/>
                <w:sz w:val="16"/>
                <w:szCs w:val="16"/>
                <w:color w:val="auto"/>
              </w:rPr>
              <w:t>194,669,244</w:t>
            </w:r>
          </w:p>
        </w:tc>
      </w:tr>
      <w:tr>
        <w:trPr>
          <w:trHeight w:val="135"/>
        </w:trPr>
        <w:tc>
          <w:tcPr>
            <w:tcW w:w="420" w:type="dxa"/>
            <w:vAlign w:val="bottom"/>
            <w:tcBorders>
              <w:bottom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04"/>
        </w:trPr>
        <w:tc>
          <w:tcPr>
            <w:tcW w:w="420" w:type="dxa"/>
            <w:vAlign w:val="bottom"/>
          </w:tcPr>
          <w:p>
            <w:pPr>
              <w:ind w:left="180"/>
              <w:spacing w:after="0"/>
              <w:rPr>
                <w:sz w:val="20"/>
                <w:szCs w:val="20"/>
                <w:color w:val="auto"/>
              </w:rPr>
            </w:pPr>
            <w:r>
              <w:rPr>
                <w:rFonts w:ascii="Arial" w:cs="Arial" w:eastAsia="Arial" w:hAnsi="Arial"/>
                <w:sz w:val="16"/>
                <w:szCs w:val="16"/>
                <w:color w:val="auto"/>
              </w:rPr>
              <w:t>B</w:t>
            </w:r>
          </w:p>
        </w:tc>
        <w:tc>
          <w:tcPr>
            <w:tcW w:w="8140" w:type="dxa"/>
            <w:vAlign w:val="bottom"/>
          </w:tcPr>
          <w:p>
            <w:pPr>
              <w:ind w:left="120"/>
              <w:spacing w:after="0"/>
              <w:rPr>
                <w:sz w:val="20"/>
                <w:szCs w:val="20"/>
                <w:color w:val="auto"/>
              </w:rPr>
            </w:pPr>
            <w:r>
              <w:rPr>
                <w:rFonts w:ascii="Arial" w:cs="Arial" w:eastAsia="Arial" w:hAnsi="Arial"/>
                <w:sz w:val="16"/>
                <w:szCs w:val="16"/>
                <w:color w:val="auto"/>
              </w:rPr>
              <w:t>Shares available to be granted under the plan as of March 31, 2025</w:t>
            </w:r>
          </w:p>
        </w:tc>
        <w:tc>
          <w:tcPr>
            <w:tcW w:w="1860" w:type="dxa"/>
            <w:vAlign w:val="bottom"/>
          </w:tcPr>
          <w:p>
            <w:pPr>
              <w:ind w:left="660"/>
              <w:spacing w:after="0"/>
              <w:rPr>
                <w:sz w:val="20"/>
                <w:szCs w:val="20"/>
                <w:color w:val="auto"/>
              </w:rPr>
            </w:pPr>
            <w:r>
              <w:rPr>
                <w:rFonts w:ascii="Arial" w:cs="Arial" w:eastAsia="Arial" w:hAnsi="Arial"/>
                <w:sz w:val="16"/>
                <w:szCs w:val="16"/>
                <w:color w:val="auto"/>
              </w:rPr>
              <w:t>34,006,170</w:t>
            </w:r>
          </w:p>
        </w:tc>
      </w:tr>
      <w:tr>
        <w:trPr>
          <w:trHeight w:val="135"/>
        </w:trPr>
        <w:tc>
          <w:tcPr>
            <w:tcW w:w="420" w:type="dxa"/>
            <w:vAlign w:val="bottom"/>
            <w:tcBorders>
              <w:bottom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04"/>
        </w:trPr>
        <w:tc>
          <w:tcPr>
            <w:tcW w:w="420" w:type="dxa"/>
            <w:vAlign w:val="bottom"/>
          </w:tcPr>
          <w:p>
            <w:pPr>
              <w:ind w:left="180"/>
              <w:spacing w:after="0"/>
              <w:rPr>
                <w:sz w:val="20"/>
                <w:szCs w:val="20"/>
                <w:color w:val="auto"/>
              </w:rPr>
            </w:pPr>
            <w:r>
              <w:rPr>
                <w:rFonts w:ascii="Arial" w:cs="Arial" w:eastAsia="Arial" w:hAnsi="Arial"/>
                <w:sz w:val="16"/>
                <w:szCs w:val="16"/>
                <w:color w:val="auto"/>
              </w:rPr>
              <w:t>C</w:t>
            </w:r>
          </w:p>
        </w:tc>
        <w:tc>
          <w:tcPr>
            <w:tcW w:w="8140" w:type="dxa"/>
            <w:vAlign w:val="bottom"/>
          </w:tcPr>
          <w:p>
            <w:pPr>
              <w:ind w:left="120"/>
              <w:spacing w:after="0"/>
              <w:rPr>
                <w:sz w:val="20"/>
                <w:szCs w:val="20"/>
                <w:color w:val="auto"/>
              </w:rPr>
            </w:pPr>
            <w:r>
              <w:rPr>
                <w:rFonts w:ascii="Arial" w:cs="Arial" w:eastAsia="Arial" w:hAnsi="Arial"/>
                <w:sz w:val="16"/>
                <w:szCs w:val="16"/>
                <w:color w:val="auto"/>
              </w:rPr>
              <w:t>Amount of proposed share increase</w:t>
            </w:r>
          </w:p>
        </w:tc>
        <w:tc>
          <w:tcPr>
            <w:tcW w:w="1860" w:type="dxa"/>
            <w:vAlign w:val="bottom"/>
          </w:tcPr>
          <w:p>
            <w:pPr>
              <w:ind w:left="660"/>
              <w:spacing w:after="0"/>
              <w:rPr>
                <w:sz w:val="20"/>
                <w:szCs w:val="20"/>
                <w:color w:val="auto"/>
              </w:rPr>
            </w:pPr>
            <w:r>
              <w:rPr>
                <w:rFonts w:ascii="Arial" w:cs="Arial" w:eastAsia="Arial" w:hAnsi="Arial"/>
                <w:sz w:val="16"/>
                <w:szCs w:val="16"/>
                <w:color w:val="auto"/>
              </w:rPr>
              <w:t>184,000,000</w:t>
            </w:r>
          </w:p>
        </w:tc>
      </w:tr>
      <w:tr>
        <w:trPr>
          <w:trHeight w:val="135"/>
        </w:trPr>
        <w:tc>
          <w:tcPr>
            <w:tcW w:w="420" w:type="dxa"/>
            <w:vAlign w:val="bottom"/>
            <w:tcBorders>
              <w:bottom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04"/>
        </w:trPr>
        <w:tc>
          <w:tcPr>
            <w:tcW w:w="420" w:type="dxa"/>
            <w:vAlign w:val="bottom"/>
          </w:tcPr>
          <w:p>
            <w:pPr>
              <w:ind w:left="180"/>
              <w:spacing w:after="0"/>
              <w:rPr>
                <w:sz w:val="20"/>
                <w:szCs w:val="20"/>
                <w:color w:val="auto"/>
              </w:rPr>
            </w:pPr>
            <w:r>
              <w:rPr>
                <w:rFonts w:ascii="Arial" w:cs="Arial" w:eastAsia="Arial" w:hAnsi="Arial"/>
                <w:sz w:val="16"/>
                <w:szCs w:val="16"/>
                <w:color w:val="auto"/>
              </w:rPr>
              <w:t>D</w:t>
            </w:r>
          </w:p>
        </w:tc>
        <w:tc>
          <w:tcPr>
            <w:tcW w:w="8140" w:type="dxa"/>
            <w:vAlign w:val="bottom"/>
          </w:tcPr>
          <w:p>
            <w:pPr>
              <w:ind w:left="120"/>
              <w:spacing w:after="0"/>
              <w:rPr>
                <w:sz w:val="20"/>
                <w:szCs w:val="20"/>
                <w:color w:val="auto"/>
              </w:rPr>
            </w:pPr>
            <w:r>
              <w:rPr>
                <w:rFonts w:ascii="Arial" w:cs="Arial" w:eastAsia="Arial" w:hAnsi="Arial"/>
                <w:sz w:val="16"/>
                <w:szCs w:val="16"/>
                <w:color w:val="auto"/>
              </w:rPr>
              <w:t>Shares available for grant under the plan with the proposed share increase as of March 31, 2025</w:t>
            </w:r>
          </w:p>
        </w:tc>
        <w:tc>
          <w:tcPr>
            <w:tcW w:w="1860" w:type="dxa"/>
            <w:vAlign w:val="bottom"/>
          </w:tcPr>
          <w:p>
            <w:pPr>
              <w:ind w:left="660"/>
              <w:spacing w:after="0"/>
              <w:rPr>
                <w:sz w:val="20"/>
                <w:szCs w:val="20"/>
                <w:color w:val="auto"/>
              </w:rPr>
            </w:pPr>
            <w:r>
              <w:rPr>
                <w:rFonts w:ascii="Arial" w:cs="Arial" w:eastAsia="Arial" w:hAnsi="Arial"/>
                <w:sz w:val="16"/>
                <w:szCs w:val="16"/>
                <w:color w:val="auto"/>
              </w:rPr>
              <w:t>218,006,170</w:t>
            </w:r>
          </w:p>
        </w:tc>
      </w:tr>
      <w:tr>
        <w:trPr>
          <w:trHeight w:val="135"/>
        </w:trPr>
        <w:tc>
          <w:tcPr>
            <w:tcW w:w="420" w:type="dxa"/>
            <w:vAlign w:val="bottom"/>
            <w:tcBorders>
              <w:bottom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04"/>
        </w:trPr>
        <w:tc>
          <w:tcPr>
            <w:tcW w:w="420" w:type="dxa"/>
            <w:vAlign w:val="bottom"/>
          </w:tcPr>
          <w:p>
            <w:pPr>
              <w:ind w:left="180"/>
              <w:spacing w:after="0"/>
              <w:rPr>
                <w:sz w:val="20"/>
                <w:szCs w:val="20"/>
                <w:color w:val="auto"/>
              </w:rPr>
            </w:pPr>
            <w:r>
              <w:rPr>
                <w:rFonts w:ascii="Arial" w:cs="Arial" w:eastAsia="Arial" w:hAnsi="Arial"/>
                <w:sz w:val="16"/>
                <w:szCs w:val="16"/>
                <w:color w:val="auto"/>
              </w:rPr>
              <w:t>E</w:t>
            </w:r>
          </w:p>
        </w:tc>
        <w:tc>
          <w:tcPr>
            <w:tcW w:w="8140" w:type="dxa"/>
            <w:vAlign w:val="bottom"/>
          </w:tcPr>
          <w:p>
            <w:pPr>
              <w:ind w:left="120"/>
              <w:spacing w:after="0"/>
              <w:rPr>
                <w:sz w:val="20"/>
                <w:szCs w:val="20"/>
                <w:color w:val="auto"/>
              </w:rPr>
            </w:pPr>
            <w:r>
              <w:rPr>
                <w:rFonts w:ascii="Arial" w:cs="Arial" w:eastAsia="Arial" w:hAnsi="Arial"/>
                <w:sz w:val="16"/>
                <w:szCs w:val="16"/>
                <w:color w:val="auto"/>
              </w:rPr>
              <w:t>Total shares authorized under the stock incentive plan, with the proposed increase</w:t>
            </w:r>
          </w:p>
        </w:tc>
        <w:tc>
          <w:tcPr>
            <w:tcW w:w="1860" w:type="dxa"/>
            <w:vAlign w:val="bottom"/>
          </w:tcPr>
          <w:p>
            <w:pPr>
              <w:ind w:left="660"/>
              <w:spacing w:after="0"/>
              <w:rPr>
                <w:sz w:val="20"/>
                <w:szCs w:val="20"/>
                <w:color w:val="auto"/>
              </w:rPr>
            </w:pPr>
            <w:r>
              <w:rPr>
                <w:rFonts w:ascii="Arial" w:cs="Arial" w:eastAsia="Arial" w:hAnsi="Arial"/>
                <w:sz w:val="16"/>
                <w:szCs w:val="16"/>
                <w:color w:val="auto"/>
              </w:rPr>
              <w:t>378,669,244</w:t>
            </w:r>
          </w:p>
        </w:tc>
      </w:tr>
      <w:tr>
        <w:trPr>
          <w:trHeight w:val="138"/>
        </w:trPr>
        <w:tc>
          <w:tcPr>
            <w:tcW w:w="420" w:type="dxa"/>
            <w:vAlign w:val="bottom"/>
            <w:tcBorders>
              <w:bottom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bl>
    <w:p>
      <w:pPr>
        <w:spacing w:after="0" w:line="195" w:lineRule="exact"/>
        <w:rPr>
          <w:sz w:val="20"/>
          <w:szCs w:val="20"/>
          <w:color w:val="auto"/>
        </w:rPr>
      </w:pPr>
    </w:p>
    <w:p>
      <w:pPr>
        <w:ind w:left="2"/>
        <w:spacing w:after="0" w:line="292" w:lineRule="auto"/>
        <w:rPr>
          <w:sz w:val="20"/>
          <w:szCs w:val="20"/>
          <w:color w:val="auto"/>
        </w:rPr>
      </w:pPr>
      <w:r>
        <w:rPr>
          <w:rFonts w:ascii="Arial" w:cs="Arial" w:eastAsia="Arial" w:hAnsi="Arial"/>
          <w:sz w:val="18"/>
          <w:szCs w:val="18"/>
          <w:color w:val="auto"/>
        </w:rPr>
        <w:t>In determining the amount of the share increase, management and the Compensation and Human Capital Committee evaluated the stock incentive plan’s historic dilution rate, burn rate, and overhang and determined that the share increase is advisable. The Compensation and Human Capital Committee anticipates that the shares that will be available for new award grants under the Amended Plan, if stockholders approve this proposal, will provide us with flexibility to maintain a competitive compensation program to acquire, retain and incentivize service providers.</w:t>
      </w:r>
    </w:p>
    <w:p>
      <w:pPr>
        <w:sectPr>
          <w:pgSz w:w="11880" w:h="15480" w:orient="portrait"/>
          <w:cols w:equalWidth="0" w:num="1">
            <w:col w:w="10422"/>
          </w:cols>
          <w:pgMar w:left="718" w:top="1141" w:right="740"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33</w:t>
      </w:r>
    </w:p>
    <w:p>
      <w:pPr>
        <w:sectPr>
          <w:pgSz w:w="11880" w:h="15480" w:orient="portrait"/>
          <w:cols w:equalWidth="0" w:num="1">
            <w:col w:w="10422"/>
          </w:cols>
          <w:pgMar w:left="718" w:top="1141" w:right="740" w:bottom="0" w:gutter="0" w:footer="0" w:header="0"/>
          <w:type w:val="continuous"/>
        </w:sectPr>
      </w:pPr>
    </w:p>
    <w:bookmarkStart w:id="39" w:name="page40"/>
    <w:bookmarkEnd w:id="39"/>
    <w:p>
      <w:pPr>
        <w:spacing w:after="0" w:line="284" w:lineRule="auto"/>
        <w:rPr>
          <w:sz w:val="20"/>
          <w:szCs w:val="20"/>
          <w:color w:val="auto"/>
        </w:rPr>
      </w:pPr>
      <w:r>
        <w:rPr>
          <w:rFonts w:ascii="Arial" w:cs="Arial" w:eastAsia="Arial" w:hAnsi="Arial"/>
          <w:sz w:val="18"/>
          <w:szCs w:val="18"/>
          <w:color w:val="auto"/>
        </w:rPr>
        <w:t>The proposed share increase of 184,000,000 shares represents 6% of our total Common Stock outstanding as of March 31, 2025. There were 3,048,800,731 shares outstanding as of March 31, 2025. Dilution is the total number of shares subject to equity awards granted (less cancellations) divided by the total common shares outstanding at the end of the fiscal year. The average annual dilution over the last three fiscal years was 2.01%.</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Burn rate is another measure of dilution that shows how rapidly a company is depleting its shares reserved for equity compensation plans and differs from annual dilution because it does not take into account cancellations. Our annual burn rate over the last three fiscal years has averaged 2.42%.</w:t>
      </w:r>
    </w:p>
    <w:p>
      <w:pPr>
        <w:spacing w:after="0" w:line="221"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An additional metric that we use to measure the cumulative impact of the stock incentive plan is overhang (number of shares subject to equity awards outstanding but not exercised, plus number of shares available to be granted, divided by the numerator plus total common shares outstanding at the end of the year). For each of the last three fiscal years, our overhang has averaged 3.48%. If the Amended Plan is approved, our overhang would increase to 10.02%, based on data available as of March 31, 2025.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Stock Plan Share Reservation Summary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100" w:type="dxa"/>
            <w:vAlign w:val="bottom"/>
            <w:shd w:val="clear" w:color="auto" w:fill="000000"/>
          </w:tcPr>
          <w:p>
            <w:pPr>
              <w:spacing w:after="0"/>
              <w:rPr>
                <w:sz w:val="24"/>
                <w:szCs w:val="24"/>
                <w:color w:val="auto"/>
              </w:rPr>
            </w:pPr>
          </w:p>
        </w:tc>
        <w:tc>
          <w:tcPr>
            <w:tcW w:w="1560" w:type="dxa"/>
            <w:vAlign w:val="bottom"/>
            <w:shd w:val="clear" w:color="auto" w:fill="000000"/>
          </w:tcPr>
          <w:p>
            <w:pPr>
              <w:ind w:left="320"/>
              <w:spacing w:after="0"/>
              <w:rPr>
                <w:sz w:val="20"/>
                <w:szCs w:val="20"/>
                <w:color w:val="auto"/>
              </w:rPr>
            </w:pPr>
            <w:r>
              <w:rPr>
                <w:rFonts w:ascii="Arial" w:cs="Arial" w:eastAsia="Arial" w:hAnsi="Arial"/>
                <w:sz w:val="14"/>
                <w:szCs w:val="14"/>
                <w:color w:val="FFFFFF"/>
              </w:rPr>
              <w:t>Fiscal 2024 (%)</w:t>
            </w:r>
          </w:p>
        </w:tc>
        <w:tc>
          <w:tcPr>
            <w:tcW w:w="14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Fiscal 2023 (%)</w:t>
            </w:r>
          </w:p>
        </w:tc>
        <w:tc>
          <w:tcPr>
            <w:tcW w:w="14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Fiscal 2022 (%)</w:t>
            </w:r>
          </w:p>
        </w:tc>
        <w:tc>
          <w:tcPr>
            <w:tcW w:w="180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Three-Year Average</w:t>
            </w:r>
          </w:p>
        </w:tc>
      </w:tr>
      <w:tr>
        <w:trPr>
          <w:trHeight w:val="172"/>
        </w:trPr>
        <w:tc>
          <w:tcPr>
            <w:tcW w:w="4100" w:type="dxa"/>
            <w:vAlign w:val="bottom"/>
            <w:shd w:val="clear" w:color="auto" w:fill="000000"/>
          </w:tcPr>
          <w:p>
            <w:pPr>
              <w:spacing w:after="0"/>
              <w:rPr>
                <w:sz w:val="14"/>
                <w:szCs w:val="14"/>
                <w:color w:val="auto"/>
              </w:rPr>
            </w:pPr>
          </w:p>
        </w:tc>
        <w:tc>
          <w:tcPr>
            <w:tcW w:w="1560" w:type="dxa"/>
            <w:vAlign w:val="bottom"/>
            <w:shd w:val="clear" w:color="auto" w:fill="000000"/>
          </w:tcPr>
          <w:p>
            <w:pPr>
              <w:spacing w:after="0"/>
              <w:rPr>
                <w:sz w:val="14"/>
                <w:szCs w:val="14"/>
                <w:color w:val="auto"/>
              </w:rPr>
            </w:pPr>
          </w:p>
        </w:tc>
        <w:tc>
          <w:tcPr>
            <w:tcW w:w="1480" w:type="dxa"/>
            <w:vAlign w:val="bottom"/>
            <w:shd w:val="clear" w:color="auto" w:fill="000000"/>
          </w:tcPr>
          <w:p>
            <w:pPr>
              <w:spacing w:after="0"/>
              <w:rPr>
                <w:sz w:val="14"/>
                <w:szCs w:val="14"/>
                <w:color w:val="auto"/>
              </w:rPr>
            </w:pPr>
          </w:p>
        </w:tc>
        <w:tc>
          <w:tcPr>
            <w:tcW w:w="1480" w:type="dxa"/>
            <w:vAlign w:val="bottom"/>
            <w:shd w:val="clear" w:color="auto" w:fill="000000"/>
          </w:tcPr>
          <w:p>
            <w:pPr>
              <w:spacing w:after="0"/>
              <w:rPr>
                <w:sz w:val="14"/>
                <w:szCs w:val="14"/>
                <w:color w:val="auto"/>
              </w:rPr>
            </w:pPr>
          </w:p>
        </w:tc>
        <w:tc>
          <w:tcPr>
            <w:tcW w:w="180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(Fiscal 2022-2024)</w:t>
            </w:r>
          </w:p>
        </w:tc>
      </w:tr>
      <w:tr>
        <w:trPr>
          <w:trHeight w:val="149"/>
        </w:trPr>
        <w:tc>
          <w:tcPr>
            <w:tcW w:w="4100" w:type="dxa"/>
            <w:vAlign w:val="bottom"/>
            <w:shd w:val="clear" w:color="auto" w:fill="000000"/>
          </w:tcPr>
          <w:p>
            <w:pPr>
              <w:spacing w:after="0"/>
              <w:rPr>
                <w:sz w:val="12"/>
                <w:szCs w:val="12"/>
                <w:color w:val="auto"/>
              </w:rPr>
            </w:pPr>
          </w:p>
        </w:tc>
        <w:tc>
          <w:tcPr>
            <w:tcW w:w="1560" w:type="dxa"/>
            <w:vAlign w:val="bottom"/>
            <w:shd w:val="clear" w:color="auto" w:fill="000000"/>
          </w:tcPr>
          <w:p>
            <w:pPr>
              <w:spacing w:after="0"/>
              <w:rPr>
                <w:sz w:val="12"/>
                <w:szCs w:val="12"/>
                <w:color w:val="auto"/>
              </w:rPr>
            </w:pPr>
          </w:p>
        </w:tc>
        <w:tc>
          <w:tcPr>
            <w:tcW w:w="1480" w:type="dxa"/>
            <w:vAlign w:val="bottom"/>
            <w:shd w:val="clear" w:color="auto" w:fill="000000"/>
          </w:tcPr>
          <w:p>
            <w:pPr>
              <w:spacing w:after="0"/>
              <w:rPr>
                <w:sz w:val="12"/>
                <w:szCs w:val="12"/>
                <w:color w:val="auto"/>
              </w:rPr>
            </w:pPr>
          </w:p>
        </w:tc>
        <w:tc>
          <w:tcPr>
            <w:tcW w:w="1480" w:type="dxa"/>
            <w:vAlign w:val="bottom"/>
            <w:shd w:val="clear" w:color="auto" w:fill="000000"/>
          </w:tcPr>
          <w:p>
            <w:pPr>
              <w:spacing w:after="0"/>
              <w:rPr>
                <w:sz w:val="12"/>
                <w:szCs w:val="12"/>
                <w:color w:val="auto"/>
              </w:rPr>
            </w:pPr>
          </w:p>
        </w:tc>
        <w:tc>
          <w:tcPr>
            <w:tcW w:w="1800" w:type="dxa"/>
            <w:vAlign w:val="bottom"/>
            <w:shd w:val="clear" w:color="auto" w:fill="000000"/>
          </w:tcPr>
          <w:p>
            <w:pPr>
              <w:spacing w:after="0"/>
              <w:rPr>
                <w:sz w:val="12"/>
                <w:szCs w:val="12"/>
                <w:color w:val="auto"/>
              </w:rPr>
            </w:pPr>
          </w:p>
        </w:tc>
      </w:tr>
      <w:tr>
        <w:trPr>
          <w:trHeight w:val="309"/>
        </w:trPr>
        <w:tc>
          <w:tcPr>
            <w:tcW w:w="4100" w:type="dxa"/>
            <w:vAlign w:val="bottom"/>
          </w:tcPr>
          <w:p>
            <w:pPr>
              <w:ind w:left="180"/>
              <w:spacing w:after="0"/>
              <w:rPr>
                <w:sz w:val="20"/>
                <w:szCs w:val="20"/>
                <w:color w:val="auto"/>
              </w:rPr>
            </w:pPr>
            <w:r>
              <w:rPr>
                <w:rFonts w:ascii="Arial" w:cs="Arial" w:eastAsia="Arial" w:hAnsi="Arial"/>
                <w:sz w:val="16"/>
                <w:szCs w:val="16"/>
                <w:color w:val="auto"/>
              </w:rPr>
              <w:t>Percentage of Equity-Based Awards Granted to</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6"/>
                <w:szCs w:val="16"/>
                <w:color w:val="auto"/>
              </w:rPr>
              <w:t>Named Executive Officers</w:t>
            </w:r>
          </w:p>
        </w:tc>
        <w:tc>
          <w:tcPr>
            <w:tcW w:w="1560" w:type="dxa"/>
            <w:vAlign w:val="bottom"/>
          </w:tcPr>
          <w:p>
            <w:pPr>
              <w:ind w:left="320"/>
              <w:spacing w:after="0"/>
              <w:rPr>
                <w:sz w:val="20"/>
                <w:szCs w:val="20"/>
                <w:color w:val="auto"/>
              </w:rPr>
            </w:pPr>
            <w:r>
              <w:rPr>
                <w:rFonts w:ascii="Arial" w:cs="Arial" w:eastAsia="Arial" w:hAnsi="Arial"/>
                <w:sz w:val="16"/>
                <w:szCs w:val="16"/>
                <w:color w:val="auto"/>
              </w:rPr>
              <w:t>0.18%</w:t>
            </w:r>
          </w:p>
        </w:tc>
        <w:tc>
          <w:tcPr>
            <w:tcW w:w="1480" w:type="dxa"/>
            <w:vAlign w:val="bottom"/>
          </w:tcPr>
          <w:p>
            <w:pPr>
              <w:ind w:left="240"/>
              <w:spacing w:after="0"/>
              <w:rPr>
                <w:sz w:val="20"/>
                <w:szCs w:val="20"/>
                <w:color w:val="auto"/>
              </w:rPr>
            </w:pPr>
            <w:r>
              <w:rPr>
                <w:rFonts w:ascii="Arial" w:cs="Arial" w:eastAsia="Arial" w:hAnsi="Arial"/>
                <w:sz w:val="16"/>
                <w:szCs w:val="16"/>
                <w:color w:val="auto"/>
              </w:rPr>
              <w:t>0.30%</w:t>
            </w:r>
          </w:p>
        </w:tc>
        <w:tc>
          <w:tcPr>
            <w:tcW w:w="1480" w:type="dxa"/>
            <w:vAlign w:val="bottom"/>
          </w:tcPr>
          <w:p>
            <w:pPr>
              <w:ind w:left="240"/>
              <w:spacing w:after="0"/>
              <w:rPr>
                <w:sz w:val="20"/>
                <w:szCs w:val="20"/>
                <w:color w:val="auto"/>
              </w:rPr>
            </w:pPr>
            <w:r>
              <w:rPr>
                <w:rFonts w:ascii="Arial" w:cs="Arial" w:eastAsia="Arial" w:hAnsi="Arial"/>
                <w:sz w:val="16"/>
                <w:szCs w:val="16"/>
                <w:color w:val="auto"/>
              </w:rPr>
              <w:t>0.04%</w:t>
            </w:r>
          </w:p>
        </w:tc>
        <w:tc>
          <w:tcPr>
            <w:tcW w:w="1800" w:type="dxa"/>
            <w:vAlign w:val="bottom"/>
          </w:tcPr>
          <w:p>
            <w:pPr>
              <w:ind w:left="240"/>
              <w:spacing w:after="0"/>
              <w:rPr>
                <w:sz w:val="20"/>
                <w:szCs w:val="20"/>
                <w:color w:val="auto"/>
              </w:rPr>
            </w:pPr>
            <w:r>
              <w:rPr>
                <w:rFonts w:ascii="Arial" w:cs="Arial" w:eastAsia="Arial" w:hAnsi="Arial"/>
                <w:sz w:val="16"/>
                <w:szCs w:val="16"/>
                <w:color w:val="auto"/>
              </w:rPr>
              <w:t>0.18%</w:t>
            </w:r>
          </w:p>
        </w:tc>
      </w:tr>
      <w:tr>
        <w:trPr>
          <w:trHeight w:val="135"/>
        </w:trPr>
        <w:tc>
          <w:tcPr>
            <w:tcW w:w="4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304"/>
        </w:trPr>
        <w:tc>
          <w:tcPr>
            <w:tcW w:w="4100" w:type="dxa"/>
            <w:vAlign w:val="bottom"/>
          </w:tcPr>
          <w:p>
            <w:pPr>
              <w:ind w:left="180"/>
              <w:spacing w:after="0"/>
              <w:rPr>
                <w:sz w:val="20"/>
                <w:szCs w:val="20"/>
                <w:color w:val="auto"/>
              </w:rPr>
            </w:pPr>
            <w:r>
              <w:rPr>
                <w:rFonts w:ascii="Arial" w:cs="Arial" w:eastAsia="Arial" w:hAnsi="Arial"/>
                <w:sz w:val="16"/>
                <w:szCs w:val="16"/>
                <w:color w:val="auto"/>
              </w:rPr>
              <w:t>Dilution</w:t>
            </w:r>
          </w:p>
        </w:tc>
        <w:tc>
          <w:tcPr>
            <w:tcW w:w="1560" w:type="dxa"/>
            <w:vAlign w:val="bottom"/>
          </w:tcPr>
          <w:p>
            <w:pPr>
              <w:ind w:left="320"/>
              <w:spacing w:after="0"/>
              <w:rPr>
                <w:sz w:val="20"/>
                <w:szCs w:val="20"/>
                <w:color w:val="auto"/>
              </w:rPr>
            </w:pPr>
            <w:r>
              <w:rPr>
                <w:rFonts w:ascii="Arial" w:cs="Arial" w:eastAsia="Arial" w:hAnsi="Arial"/>
                <w:sz w:val="16"/>
                <w:szCs w:val="16"/>
                <w:color w:val="auto"/>
              </w:rPr>
              <w:t>2.89%</w:t>
            </w:r>
          </w:p>
        </w:tc>
        <w:tc>
          <w:tcPr>
            <w:tcW w:w="1480" w:type="dxa"/>
            <w:vAlign w:val="bottom"/>
          </w:tcPr>
          <w:p>
            <w:pPr>
              <w:ind w:left="240"/>
              <w:spacing w:after="0"/>
              <w:rPr>
                <w:sz w:val="20"/>
                <w:szCs w:val="20"/>
                <w:color w:val="auto"/>
              </w:rPr>
            </w:pPr>
            <w:r>
              <w:rPr>
                <w:rFonts w:ascii="Arial" w:cs="Arial" w:eastAsia="Arial" w:hAnsi="Arial"/>
                <w:sz w:val="16"/>
                <w:szCs w:val="16"/>
                <w:color w:val="auto"/>
              </w:rPr>
              <w:t>2.10%</w:t>
            </w:r>
          </w:p>
        </w:tc>
        <w:tc>
          <w:tcPr>
            <w:tcW w:w="1480" w:type="dxa"/>
            <w:vAlign w:val="bottom"/>
          </w:tcPr>
          <w:p>
            <w:pPr>
              <w:ind w:left="240"/>
              <w:spacing w:after="0"/>
              <w:rPr>
                <w:sz w:val="20"/>
                <w:szCs w:val="20"/>
                <w:color w:val="auto"/>
              </w:rPr>
            </w:pPr>
            <w:r>
              <w:rPr>
                <w:rFonts w:ascii="Arial" w:cs="Arial" w:eastAsia="Arial" w:hAnsi="Arial"/>
                <w:sz w:val="16"/>
                <w:szCs w:val="16"/>
                <w:color w:val="auto"/>
              </w:rPr>
              <w:t>1.05%</w:t>
            </w:r>
          </w:p>
        </w:tc>
        <w:tc>
          <w:tcPr>
            <w:tcW w:w="1800" w:type="dxa"/>
            <w:vAlign w:val="bottom"/>
          </w:tcPr>
          <w:p>
            <w:pPr>
              <w:ind w:left="240"/>
              <w:spacing w:after="0"/>
              <w:rPr>
                <w:sz w:val="20"/>
                <w:szCs w:val="20"/>
                <w:color w:val="auto"/>
              </w:rPr>
            </w:pPr>
            <w:r>
              <w:rPr>
                <w:rFonts w:ascii="Arial" w:cs="Arial" w:eastAsia="Arial" w:hAnsi="Arial"/>
                <w:sz w:val="16"/>
                <w:szCs w:val="16"/>
                <w:color w:val="auto"/>
              </w:rPr>
              <w:t>2.01%</w:t>
            </w:r>
          </w:p>
        </w:tc>
      </w:tr>
      <w:tr>
        <w:trPr>
          <w:trHeight w:val="135"/>
        </w:trPr>
        <w:tc>
          <w:tcPr>
            <w:tcW w:w="4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304"/>
        </w:trPr>
        <w:tc>
          <w:tcPr>
            <w:tcW w:w="4100" w:type="dxa"/>
            <w:vAlign w:val="bottom"/>
          </w:tcPr>
          <w:p>
            <w:pPr>
              <w:ind w:left="180"/>
              <w:spacing w:after="0"/>
              <w:rPr>
                <w:sz w:val="20"/>
                <w:szCs w:val="20"/>
                <w:color w:val="auto"/>
              </w:rPr>
            </w:pPr>
            <w:r>
              <w:rPr>
                <w:rFonts w:ascii="Arial" w:cs="Arial" w:eastAsia="Arial" w:hAnsi="Arial"/>
                <w:sz w:val="16"/>
                <w:szCs w:val="16"/>
                <w:color w:val="auto"/>
              </w:rPr>
              <w:t>Burn Rate</w:t>
            </w:r>
          </w:p>
        </w:tc>
        <w:tc>
          <w:tcPr>
            <w:tcW w:w="1560" w:type="dxa"/>
            <w:vAlign w:val="bottom"/>
          </w:tcPr>
          <w:p>
            <w:pPr>
              <w:ind w:left="320"/>
              <w:spacing w:after="0"/>
              <w:rPr>
                <w:sz w:val="20"/>
                <w:szCs w:val="20"/>
                <w:color w:val="auto"/>
              </w:rPr>
            </w:pPr>
            <w:r>
              <w:rPr>
                <w:rFonts w:ascii="Arial" w:cs="Arial" w:eastAsia="Arial" w:hAnsi="Arial"/>
                <w:sz w:val="16"/>
                <w:szCs w:val="16"/>
                <w:color w:val="auto"/>
              </w:rPr>
              <w:t>3.60%</w:t>
            </w:r>
          </w:p>
        </w:tc>
        <w:tc>
          <w:tcPr>
            <w:tcW w:w="1480" w:type="dxa"/>
            <w:vAlign w:val="bottom"/>
          </w:tcPr>
          <w:p>
            <w:pPr>
              <w:ind w:left="240"/>
              <w:spacing w:after="0"/>
              <w:rPr>
                <w:sz w:val="20"/>
                <w:szCs w:val="20"/>
                <w:color w:val="auto"/>
              </w:rPr>
            </w:pPr>
            <w:r>
              <w:rPr>
                <w:rFonts w:ascii="Arial" w:cs="Arial" w:eastAsia="Arial" w:hAnsi="Arial"/>
                <w:sz w:val="16"/>
                <w:szCs w:val="16"/>
                <w:color w:val="auto"/>
              </w:rPr>
              <w:t>2.50%</w:t>
            </w:r>
          </w:p>
        </w:tc>
        <w:tc>
          <w:tcPr>
            <w:tcW w:w="1480" w:type="dxa"/>
            <w:vAlign w:val="bottom"/>
          </w:tcPr>
          <w:p>
            <w:pPr>
              <w:ind w:left="240"/>
              <w:spacing w:after="0"/>
              <w:rPr>
                <w:sz w:val="20"/>
                <w:szCs w:val="20"/>
                <w:color w:val="auto"/>
              </w:rPr>
            </w:pPr>
            <w:r>
              <w:rPr>
                <w:rFonts w:ascii="Arial" w:cs="Arial" w:eastAsia="Arial" w:hAnsi="Arial"/>
                <w:sz w:val="16"/>
                <w:szCs w:val="16"/>
                <w:color w:val="auto"/>
              </w:rPr>
              <w:t>1.17%</w:t>
            </w:r>
          </w:p>
        </w:tc>
        <w:tc>
          <w:tcPr>
            <w:tcW w:w="1800" w:type="dxa"/>
            <w:vAlign w:val="bottom"/>
          </w:tcPr>
          <w:p>
            <w:pPr>
              <w:ind w:left="240"/>
              <w:spacing w:after="0"/>
              <w:rPr>
                <w:sz w:val="20"/>
                <w:szCs w:val="20"/>
                <w:color w:val="auto"/>
              </w:rPr>
            </w:pPr>
            <w:r>
              <w:rPr>
                <w:rFonts w:ascii="Arial" w:cs="Arial" w:eastAsia="Arial" w:hAnsi="Arial"/>
                <w:sz w:val="16"/>
                <w:szCs w:val="16"/>
                <w:color w:val="auto"/>
              </w:rPr>
              <w:t>2.42%</w:t>
            </w:r>
          </w:p>
        </w:tc>
      </w:tr>
      <w:tr>
        <w:trPr>
          <w:trHeight w:val="135"/>
        </w:trPr>
        <w:tc>
          <w:tcPr>
            <w:tcW w:w="4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304"/>
        </w:trPr>
        <w:tc>
          <w:tcPr>
            <w:tcW w:w="4100" w:type="dxa"/>
            <w:vAlign w:val="bottom"/>
          </w:tcPr>
          <w:p>
            <w:pPr>
              <w:ind w:left="180"/>
              <w:spacing w:after="0"/>
              <w:rPr>
                <w:sz w:val="20"/>
                <w:szCs w:val="20"/>
                <w:color w:val="auto"/>
              </w:rPr>
            </w:pPr>
            <w:r>
              <w:rPr>
                <w:rFonts w:ascii="Arial" w:cs="Arial" w:eastAsia="Arial" w:hAnsi="Arial"/>
                <w:sz w:val="16"/>
                <w:szCs w:val="16"/>
                <w:color w:val="auto"/>
              </w:rPr>
              <w:t>Overhang</w:t>
            </w:r>
          </w:p>
        </w:tc>
        <w:tc>
          <w:tcPr>
            <w:tcW w:w="1560" w:type="dxa"/>
            <w:vAlign w:val="bottom"/>
          </w:tcPr>
          <w:p>
            <w:pPr>
              <w:ind w:left="320"/>
              <w:spacing w:after="0"/>
              <w:rPr>
                <w:sz w:val="20"/>
                <w:szCs w:val="20"/>
                <w:color w:val="auto"/>
              </w:rPr>
            </w:pPr>
            <w:r>
              <w:rPr>
                <w:rFonts w:ascii="Arial" w:cs="Arial" w:eastAsia="Arial" w:hAnsi="Arial"/>
                <w:sz w:val="16"/>
                <w:szCs w:val="16"/>
                <w:color w:val="auto"/>
              </w:rPr>
              <w:t>4.62%</w:t>
            </w:r>
          </w:p>
        </w:tc>
        <w:tc>
          <w:tcPr>
            <w:tcW w:w="1480" w:type="dxa"/>
            <w:vAlign w:val="bottom"/>
          </w:tcPr>
          <w:p>
            <w:pPr>
              <w:ind w:left="240"/>
              <w:spacing w:after="0"/>
              <w:rPr>
                <w:sz w:val="20"/>
                <w:szCs w:val="20"/>
                <w:color w:val="auto"/>
              </w:rPr>
            </w:pPr>
            <w:r>
              <w:rPr>
                <w:rFonts w:ascii="Arial" w:cs="Arial" w:eastAsia="Arial" w:hAnsi="Arial"/>
                <w:sz w:val="16"/>
                <w:szCs w:val="16"/>
                <w:color w:val="auto"/>
              </w:rPr>
              <w:t>3.18%</w:t>
            </w:r>
          </w:p>
        </w:tc>
        <w:tc>
          <w:tcPr>
            <w:tcW w:w="1480" w:type="dxa"/>
            <w:vAlign w:val="bottom"/>
          </w:tcPr>
          <w:p>
            <w:pPr>
              <w:ind w:left="240"/>
              <w:spacing w:after="0"/>
              <w:rPr>
                <w:sz w:val="20"/>
                <w:szCs w:val="20"/>
                <w:color w:val="auto"/>
              </w:rPr>
            </w:pPr>
            <w:r>
              <w:rPr>
                <w:rFonts w:ascii="Arial" w:cs="Arial" w:eastAsia="Arial" w:hAnsi="Arial"/>
                <w:sz w:val="16"/>
                <w:szCs w:val="16"/>
                <w:color w:val="auto"/>
              </w:rPr>
              <w:t>2.63%</w:t>
            </w:r>
          </w:p>
        </w:tc>
        <w:tc>
          <w:tcPr>
            <w:tcW w:w="1800" w:type="dxa"/>
            <w:vAlign w:val="bottom"/>
          </w:tcPr>
          <w:p>
            <w:pPr>
              <w:ind w:left="240"/>
              <w:spacing w:after="0"/>
              <w:rPr>
                <w:sz w:val="20"/>
                <w:szCs w:val="20"/>
                <w:color w:val="auto"/>
              </w:rPr>
            </w:pPr>
            <w:r>
              <w:rPr>
                <w:rFonts w:ascii="Arial" w:cs="Arial" w:eastAsia="Arial" w:hAnsi="Arial"/>
                <w:sz w:val="16"/>
                <w:szCs w:val="16"/>
                <w:color w:val="auto"/>
              </w:rPr>
              <w:t>3.48%</w:t>
            </w:r>
          </w:p>
        </w:tc>
      </w:tr>
      <w:tr>
        <w:trPr>
          <w:trHeight w:val="138"/>
        </w:trPr>
        <w:tc>
          <w:tcPr>
            <w:tcW w:w="4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MATERIAL FEATURES OF THE PLAN</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is a summary of the Amended Plan and is qualified in its entirety by the full text of the Amended Plan, a copy of which is included as Annex A to this Proxy Statement. Except for the change to the Plan as noted above (e.g., the increase in shares available under the Plan), the Amended Plan contains substantially the same terms as the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Size of Share Pool; Shares Available and Limitations on Awards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2025, there were 34,006,170 shares remaining for issuance under the Plan. If our stockholders approve the Amended Plan, the number of shares available for issuance will be increased by 184,000,000 shares effective as of the date of the Annual Meeting.</w:t>
      </w:r>
    </w:p>
    <w:p>
      <w:pPr>
        <w:spacing w:after="0" w:line="221" w:lineRule="exact"/>
        <w:rPr>
          <w:sz w:val="20"/>
          <w:szCs w:val="20"/>
          <w:color w:val="auto"/>
        </w:rPr>
      </w:pPr>
    </w:p>
    <w:p>
      <w:pPr>
        <w:ind w:right="340"/>
        <w:spacing w:after="0" w:line="286" w:lineRule="auto"/>
        <w:rPr>
          <w:sz w:val="20"/>
          <w:szCs w:val="20"/>
          <w:color w:val="auto"/>
        </w:rPr>
      </w:pPr>
      <w:r>
        <w:rPr>
          <w:rFonts w:ascii="Arial" w:cs="Arial" w:eastAsia="Arial" w:hAnsi="Arial"/>
          <w:sz w:val="18"/>
          <w:szCs w:val="18"/>
          <w:color w:val="auto"/>
        </w:rPr>
        <w:t>More specifically, as of the date of the Annual Meeting (assuming our stockholders approve the Amended Plan), the maximum aggregate number of shares authorized for issuance as awards under the Plan on or after July 23, 2021 (the “Effective Date”) shall not exceed the sum of:</w:t>
      </w:r>
    </w:p>
    <w:p>
      <w:pPr>
        <w:spacing w:after="0" w:line="130" w:lineRule="exact"/>
        <w:rPr>
          <w:sz w:val="20"/>
          <w:szCs w:val="20"/>
          <w:color w:val="auto"/>
        </w:rPr>
      </w:pPr>
    </w:p>
    <w:p>
      <w:pPr>
        <w:ind w:left="180" w:right="1280"/>
        <w:spacing w:after="0" w:line="451" w:lineRule="auto"/>
        <w:rPr>
          <w:sz w:val="20"/>
          <w:szCs w:val="20"/>
          <w:color w:val="auto"/>
        </w:rPr>
      </w:pPr>
      <w:r>
        <w:rPr>
          <w:rFonts w:ascii="Arial" w:cs="Arial" w:eastAsia="Arial" w:hAnsi="Arial"/>
          <w:sz w:val="18"/>
          <w:szCs w:val="18"/>
          <w:color w:val="auto"/>
        </w:rPr>
        <w:t>184,000,000 shares approved by the Board on April 22, 2025, under the fourth restatement of the Plan; 119,000,000 shares approved by the Board on April 22, 2024 under the third restatement of the Plan; 39,166,575 shares approved by the Board on March 2, 2023 under the second restatement of the Plan; 15,000,000 shares approved by the Board on April 27, 2022 under the first restatement of the Plan;</w:t>
      </w:r>
    </w:p>
    <w:p>
      <w:pPr>
        <w:spacing w:after="0"/>
        <w:rPr>
          <w:sz w:val="20"/>
          <w:szCs w:val="20"/>
          <w:color w:val="auto"/>
        </w:rPr>
      </w:pPr>
      <w:r>
        <w:rPr>
          <w:rFonts w:ascii="Arial" w:cs="Arial" w:eastAsia="Arial" w:hAnsi="Arial"/>
          <w:sz w:val="18"/>
          <w:szCs w:val="18"/>
          <w:color w:val="auto"/>
        </w:rPr>
        <w:t>12,500,000 shares initially authorized for issuance under the Plan as of the Effective Date;</w:t>
      </w:r>
    </w:p>
    <w:p>
      <w:pPr>
        <w:spacing w:after="0" w:line="182" w:lineRule="exact"/>
        <w:rPr>
          <w:sz w:val="20"/>
          <w:szCs w:val="20"/>
          <w:color w:val="auto"/>
        </w:rPr>
      </w:pPr>
    </w:p>
    <w:p>
      <w:pPr>
        <w:ind w:left="180" w:right="40"/>
        <w:spacing w:after="0" w:line="282" w:lineRule="auto"/>
        <w:rPr>
          <w:sz w:val="20"/>
          <w:szCs w:val="20"/>
          <w:color w:val="auto"/>
        </w:rPr>
      </w:pPr>
      <w:r>
        <w:rPr>
          <w:rFonts w:ascii="Arial" w:cs="Arial" w:eastAsia="Arial" w:hAnsi="Arial"/>
          <w:sz w:val="18"/>
          <w:szCs w:val="18"/>
          <w:color w:val="auto"/>
        </w:rPr>
        <w:t>9,002,669 shares initially authorized under the Plan as of the Effective Date, which represents the number of shares equal to the number of unallocated shares of stock of Atieva, Inc. remaining available for issuance under (1) the 2021 Stock Incentive Plan of Atieva, Inc., as amended, (2) the 2014 Share Plan of Atieva, Inc., as amended, and (3) the 2009 Share Plan of Atieva, Inc. as amended (collectively, the “Prior Plans”); and</w:t>
      </w:r>
    </w:p>
    <w:p>
      <w:pPr>
        <w:sectPr>
          <w:pgSz w:w="11880" w:h="15480" w:orient="portrait"/>
          <w:cols w:equalWidth="0" w:num="1">
            <w:col w:w="10440"/>
          </w:cols>
          <w:pgMar w:left="720" w:top="943" w:right="720" w:bottom="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0"/>
          </w:cols>
          <w:pgMar w:left="720" w:top="943" w:right="720" w:bottom="0" w:gutter="0" w:footer="0" w:header="0"/>
          <w:type w:val="continuous"/>
        </w:sectPr>
      </w:pPr>
    </w:p>
    <w:bookmarkStart w:id="40" w:name="page41"/>
    <w:bookmarkEnd w:id="40"/>
    <w:p>
      <w:pPr>
        <w:ind w:left="180"/>
        <w:spacing w:after="0" w:line="271" w:lineRule="auto"/>
        <w:rPr>
          <w:sz w:val="20"/>
          <w:szCs w:val="20"/>
          <w:color w:val="auto"/>
        </w:rPr>
      </w:pPr>
      <w:r>
        <w:rPr>
          <w:rFonts w:ascii="Arial" w:cs="Arial" w:eastAsia="Arial" w:hAnsi="Arial"/>
          <w:sz w:val="18"/>
          <w:szCs w:val="18"/>
          <w:color w:val="auto"/>
        </w:rPr>
        <w:t>any shares subject to stock awards granted under the Prior Plans outstanding as of the Effective Date that (1) expire or terminate for any reason prior to exercise or settlement; (2) are forfeited, cancelled or otherwise returned to Lucid because of the failure to meet a contingency or condition required to vest such shares; or (3) are reacquired or withheld (or not issued) to satisfy a tax withholding obligation in connection with an award or to satisfy the purchase price or exercise price of a stock award.</w:t>
      </w:r>
    </w:p>
    <w:p>
      <w:pPr>
        <w:spacing w:after="0" w:line="200" w:lineRule="exact"/>
        <w:rPr>
          <w:sz w:val="20"/>
          <w:szCs w:val="20"/>
          <w:color w:val="auto"/>
        </w:rPr>
      </w:pPr>
    </w:p>
    <w:p>
      <w:pPr>
        <w:spacing w:after="0" w:line="24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 if restricted shares or shares issued upon the exercise of options are forfeited then such shares shall again become available for awards under the Plan; (ii) if restricted stock units, options, stock appreciation rights (“SARs”) or stock purchase rights are forfeited or terminate for any reason before being exercised or settled, or an award is settled in cash without the delivery of shares to the holder, then the corresponding shares shall again become available for awards under the Plan; (iii) if restricted stock units or SARs are settled, then only the number of shares (if any) actually issued in settlement of such restricted stock units or SARs shall reduce the number of shares available under the Plan and the balance (including any shares withheld to satisfy tax withholding obligations) shall again become available for awards under the Plan; and (iv) any shares withheld to satisfy the exercise price or tax withholding obligation pursuant to any award of options or SARs shall be added back to the shares available for awards under the Plan. The number of shares authorized for grant under the Plan is subject to adjustment (as described below). Notwithstanding the foregoing, of the maximum aggregate shares issuable under the Plan, up to 378,669,244 shares may be issued in the form of incentive stock options (“ISOs”), or under the ESPP Addendum.</w:t>
      </w:r>
    </w:p>
    <w:p>
      <w:pPr>
        <w:spacing w:after="0" w:line="200" w:lineRule="exact"/>
        <w:rPr>
          <w:sz w:val="20"/>
          <w:szCs w:val="20"/>
          <w:color w:val="auto"/>
        </w:rPr>
      </w:pPr>
    </w:p>
    <w:p>
      <w:pPr>
        <w:spacing w:after="0" w:line="26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maximum number of shares subject to awards granted under the Plan during any calendar year to any outside director (defined as a member of the Board who is not an employee or consultant of Lucid), plus any cash fees paid to the outside director in a calendar year for service on the Board, will not exceed $1 million in total value for the first year of service and $750,000 in total value per year thereafter.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Plan is administered by the Compensation and Human Capital Committee or other committee (of two or more of our directors) appointed by the Board, or by the Board. The Compensation and Human Capital Committee generally has the authority, among other things, to interpret the Plan, adopt rules relating to the Plan, adopt, amend, or terminate the ESPP Addendum or any sub- plan, determine participants and awards to be granted under the Plan, prescribe the terms and conditions of awards, administer the ESPP Addendum, or take any other actions necessary or advisable for the administration of the Plan.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Types of Awards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types of awards may be made under the Plan. All the awards described below are subject to the conditions, limitations, restrictions, exercise price, vesting, and forfeiture provisions determined by the Compensation and Human Capital Committee, in its sole discretion, subject to such limitations as are provided in the Plan. In addition, subject to the limitations provided in the Plan and in accordance with applicable law, the Compensation and Human Capital Committee may accelerate or defer the vesting or payment of awards, cancel, or modify outstanding awards, and waive any conditions or restrictions imposed with respect to awards.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Shares</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A restricted share award is an award of outstanding shares that does not vest until after a specified period of continuous service, or satisfaction of other vesting conditions as determined by the Compensation and Human Capital Committee, and which may be forfeited if conditions to vesting are not met. At the Compensation and Human Capital Committee’s discretion, participants may be credited with dividends and other distributions that will be paid to the holder only when unvested restricted shares vest. Participants are also generally entitled to the same voting rights as our other stockholders.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Stock Options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p>
    <w:p>
      <w:pPr>
        <w:spacing w:after="0" w:line="223"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term of a non-qualified stock option may not exceed ten years from the date of grant. Subject to the section entitled “No Repricing” below, Lucid may (i) modify, extend, or renew outstanding stock options or accept the cancellation of</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35</w:t>
      </w:r>
    </w:p>
    <w:p>
      <w:pPr>
        <w:sectPr>
          <w:pgSz w:w="11880" w:h="15480" w:orient="portrait"/>
          <w:cols w:equalWidth="0" w:num="1">
            <w:col w:w="10420"/>
          </w:cols>
          <w:pgMar w:left="720" w:top="943" w:right="740" w:bottom="0" w:gutter="0" w:footer="0" w:header="0"/>
          <w:type w:val="continuous"/>
        </w:sectPr>
      </w:pPr>
    </w:p>
    <w:bookmarkStart w:id="41" w:name="page42"/>
    <w:bookmarkEnd w:id="41"/>
    <w:p>
      <w:pPr>
        <w:spacing w:after="0" w:line="275" w:lineRule="auto"/>
        <w:rPr>
          <w:sz w:val="20"/>
          <w:szCs w:val="20"/>
          <w:color w:val="auto"/>
        </w:rPr>
      </w:pPr>
      <w:r>
        <w:rPr>
          <w:rFonts w:ascii="Arial" w:cs="Arial" w:eastAsia="Arial" w:hAnsi="Arial"/>
          <w:sz w:val="18"/>
          <w:szCs w:val="18"/>
          <w:color w:val="auto"/>
        </w:rPr>
        <w:t>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 An award of nonqualified stock options generally may not include dividend equivalents.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Incentive Stock Options</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An ISO is a stock option that meets the requirements of Section 422 of the Internal Revenue Code of 1986, as amended (the “Code”), which includes an exercise price of no less than 100% of the fair market value of the shares subject to the option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its parent or one of its subsidiaries, an ISO must have a term of not more than five years and an exercise price of no less than 110% of the fair market value of the shares subject to the option on the grant date. An award of ISOs generally may not include dividend equivalents.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Unrestricted Shares</w:t>
      </w:r>
    </w:p>
    <w:p>
      <w:pPr>
        <w:spacing w:after="0" w:line="197" w:lineRule="exact"/>
        <w:rPr>
          <w:sz w:val="20"/>
          <w:szCs w:val="20"/>
          <w:color w:val="auto"/>
        </w:rPr>
      </w:pPr>
    </w:p>
    <w:p>
      <w:pPr>
        <w:jc w:val="both"/>
        <w:ind w:right="400"/>
        <w:spacing w:after="0" w:line="285" w:lineRule="auto"/>
        <w:rPr>
          <w:sz w:val="20"/>
          <w:szCs w:val="20"/>
          <w:color w:val="auto"/>
        </w:rPr>
      </w:pPr>
      <w:r>
        <w:rPr>
          <w:rFonts w:ascii="Arial" w:cs="Arial" w:eastAsia="Arial" w:hAnsi="Arial"/>
          <w:sz w:val="18"/>
          <w:szCs w:val="18"/>
          <w:color w:val="auto"/>
        </w:rPr>
        <w:t>Subject to limits in the Plan, the Compensation and Human Capital Committee may issue unrestricted shares, in such amounts and subject to such terms and conditions as the Compensation and Human Capital Committee determines.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Appreciation Rights</w:t>
      </w:r>
    </w:p>
    <w:p>
      <w:pPr>
        <w:spacing w:after="0" w:line="19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 SAR entitles the participant to receive an amount equal to the difference between the fair market value of Lucid shares on the exercise date and the exercise price of the SAR (which may not be less than 100% of the fair market value of a share on the grant date (except with respect to substitute awards)), multiplied by the number of shares subject to the SAR. An award of SARs generally may not include dividend equivalents.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 restricted stock unit is an award denominated in shares that may be settled either in shares or cash, or a combination of both, subject to terms and conditions determined by the Compensation and Human Capital Committee. An award of restricted stock units may include the right to dividend equivalents, in the Compensation and Human Capital Committee’s discretion.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Awards</w:t>
      </w:r>
    </w:p>
    <w:p>
      <w:pPr>
        <w:spacing w:after="0" w:line="197"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The Compensation and Human Capital Committee may grant cash-based awards to any participant in such number or amount, and subject to such conditions, that the Compensation and Human Capital Committee may determine.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Purchase Rights under the ESPP Addendum</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on favorable terms, paid for through payroll deductions. The ESPP Addendum is intended to qualify under Section 423 of the Code. The Compensation and Human Capital Committee may grant stock purchase rights under the ESPP Addendum to any participant who is an employee. The Compensation and Human Capital Committee may establish sub-plans (which need not qualify under Section 423 of the Code) to facilitate participation in the ESPP Addendum by non-U.S. employees in compliance with foreign laws. The maximum aggregate number of shares for purchase under the ESPP Addendum during any calendar year beginning on or after January 1,</w:t>
      </w:r>
    </w:p>
    <w:p>
      <w:pPr>
        <w:ind w:right="320"/>
        <w:spacing w:after="0" w:line="287" w:lineRule="auto"/>
        <w:rPr>
          <w:sz w:val="20"/>
          <w:szCs w:val="20"/>
          <w:color w:val="auto"/>
        </w:rPr>
      </w:pPr>
      <w:r>
        <w:rPr>
          <w:rFonts w:ascii="Arial" w:cs="Arial" w:eastAsia="Arial" w:hAnsi="Arial"/>
          <w:sz w:val="18"/>
          <w:szCs w:val="18"/>
          <w:color w:val="auto"/>
        </w:rPr>
        <w:t>2025 is 20,000,000 shares (or 8,500,000 for prior year), or any other such annual limit as may be approved by the Compensation and Human Capital Committee.</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While the ESPP Addendum is in effect, the Compensation and Human Capital Committee may grant options to purchase shares of stock during a specified offering period in compliance with the requirements of Section 423 of the Code. Termination of employment for any reason will be treated as an automatic withdrawal from participation in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or any parent or</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42" w:name="page43"/>
    <w:bookmarkEnd w:id="42"/>
    <w:p>
      <w:pPr>
        <w:spacing w:after="0" w:line="274" w:lineRule="auto"/>
        <w:rPr>
          <w:sz w:val="20"/>
          <w:szCs w:val="20"/>
          <w:color w:val="auto"/>
        </w:rPr>
      </w:pPr>
      <w:r>
        <w:rPr>
          <w:rFonts w:ascii="Arial" w:cs="Arial" w:eastAsia="Arial" w:hAnsi="Arial"/>
          <w:sz w:val="18"/>
          <w:szCs w:val="18"/>
          <w:color w:val="auto"/>
        </w:rPr>
        <w:t>subsidiary of Lucid. No participant shall accrue the right to purchase stock which exceeds $25,000 of fair market value of such stock per calendar year. In the event of a corporate reorganization (defined as (i) the consummation of a merger, consolidation or any other corporate reorganization of Lucid or (ii) the sale, transfer or other disposition of all or substantially all of Lucid’s assets or the complete liquidation or dissolution of Lucid)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PERFORMANCE CRITERIA</w:t>
      </w:r>
    </w:p>
    <w:p>
      <w:pPr>
        <w:spacing w:after="0" w:line="19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Awards granted under the Plan may be subject to specified performance criteria. The Compensation and Human Capital Committee may utilize any performance criteria selected by it in its sole discretion to establish performance goals.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DEFERRALS</w:t>
      </w:r>
    </w:p>
    <w:p>
      <w:pPr>
        <w:spacing w:after="0" w:line="197" w:lineRule="exact"/>
        <w:rPr>
          <w:sz w:val="20"/>
          <w:szCs w:val="20"/>
          <w:color w:val="auto"/>
        </w:rPr>
      </w:pPr>
    </w:p>
    <w:p>
      <w:pPr>
        <w:jc w:val="both"/>
        <w:ind w:right="480"/>
        <w:spacing w:after="0" w:line="285" w:lineRule="auto"/>
        <w:rPr>
          <w:sz w:val="20"/>
          <w:szCs w:val="20"/>
          <w:color w:val="auto"/>
        </w:rPr>
      </w:pPr>
      <w:r>
        <w:rPr>
          <w:rFonts w:ascii="Arial" w:cs="Arial" w:eastAsia="Arial" w:hAnsi="Arial"/>
          <w:sz w:val="18"/>
          <w:szCs w:val="18"/>
          <w:color w:val="auto"/>
        </w:rPr>
        <w:t>Subject to compliance with Section 409A of the Code, the Compensation and Human Capital Committee in its sole discretion may permit or require participants to defer certain amounts or shares paid or issued in respect of awards.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the event of a subdivision of the outstanding Common Stock, a declaration of a dividend payable in shares, a declaration of a dividend payable in a form other than shares in an amount that has a material effect on the price of shares, a combination or consolidation of the outstanding Common Stock into a lesser number of shares, a recapitalization, a spin-off, or a similar occurrence, the Compensation and Human Capital Committee may make appropriate and equitable adjustments in: (i) the class(es) and number of securities available for future awards; (ii) the class(es) and number of securities covered by each outstanding award; (iii) the exercise price under each outstanding option and SAR; and (iv) options to purchase shares granted pursuant to the ESPP Addendum.</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representing 50% or more of the voting power of Lucid’s outstanding securities; (iii) the consummation of a merger or consolidation where 50% or more of the voting power is owned by persons who were not stockholders of Lucid prior to the merger or consolidation; or (iv) the sale, transfer, or other disposition of all or substantially all of Lucid’s assets), if the surviving corporation does not continue, assume or settle (subject to vesting) outstanding awards (other than stock purchase rights under the ESPP Addendum), or substitute similar stock awards for outstanding awards (other than stock purchase rights under the ESPP Addendum), then the Compensation and Human Capital Committee may accelerate the vesting or deem any performance-based vesting to be satisfied at the target level or based on actual performance (or the greater thereof). The Compensation and Human Capital Committee may also determine at the time of granting of an award or thereafter that an award will vest and/or become exercisable in connection with a Change in Control. The Compensation and Human Capital Committee may treat awards differently.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 REPRICING</w:t>
      </w:r>
    </w:p>
    <w:p>
      <w:pPr>
        <w:spacing w:after="0" w:line="19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Except in connection with corporate transactions, the Compensation and Human Capital Committee may not, without stockholder approval, effect any repricing or buyout of any “underwater” stock option, SAR, or similar award.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CLAWBACK</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Compensation and Human Capital Committee has the authority, to the extent permitted by applicable law, to specify in an award agreement, exercise notice or share purchase agreement that a participant’s rights, payments and benefits with respect to an award under the Amended Plan shall be subject to reduction, cancellation, forfeiture, or recoupment upon the occurrence of specified events, including but not be limited to, in each case to the extent permitted by applicable law, termination of service for “cause” (as defined in the Amended Plan)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or amended by the Company from time to time, including, without limitation, the Company’s Compensation</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37</w:t>
      </w:r>
    </w:p>
    <w:p>
      <w:pPr>
        <w:sectPr>
          <w:pgSz w:w="11880" w:h="15480" w:orient="portrait"/>
          <w:cols w:equalWidth="0" w:num="1">
            <w:col w:w="10420"/>
          </w:cols>
          <w:pgMar w:left="720" w:top="943" w:right="740" w:bottom="0" w:gutter="0" w:footer="0" w:header="0"/>
          <w:type w:val="continuous"/>
        </w:sectPr>
      </w:pPr>
    </w:p>
    <w:bookmarkStart w:id="43" w:name="page44"/>
    <w:bookmarkEnd w:id="43"/>
    <w:p>
      <w:pPr>
        <w:ind w:left="2"/>
        <w:spacing w:after="0" w:line="282" w:lineRule="auto"/>
        <w:rPr>
          <w:sz w:val="20"/>
          <w:szCs w:val="20"/>
          <w:color w:val="auto"/>
        </w:rPr>
      </w:pPr>
      <w:r>
        <w:rPr>
          <w:rFonts w:ascii="Arial" w:cs="Arial" w:eastAsia="Arial" w:hAnsi="Arial"/>
          <w:sz w:val="18"/>
          <w:szCs w:val="18"/>
          <w:color w:val="auto"/>
        </w:rPr>
        <w:t>Recoupment Policy. Notwithstanding the foregoing, stock purchase rights under the ESPP are subject to the terms of the ESPP Addendum. Our current Compensation Recoupment Policy is discussed in more detail under the heading “Compensation Discussion and Analysis — Compensation Recoupment Policy” in this proxy statement.</w:t>
      </w: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ASSIGNABILITY</w:t>
      </w:r>
    </w:p>
    <w:p>
      <w:pPr>
        <w:spacing w:after="0" w:line="197" w:lineRule="exact"/>
        <w:rPr>
          <w:sz w:val="20"/>
          <w:szCs w:val="20"/>
          <w:color w:val="auto"/>
        </w:rPr>
      </w:pPr>
    </w:p>
    <w:p>
      <w:pPr>
        <w:jc w:val="both"/>
        <w:ind w:left="2" w:right="340"/>
        <w:spacing w:after="0" w:line="297" w:lineRule="auto"/>
        <w:rPr>
          <w:sz w:val="20"/>
          <w:szCs w:val="20"/>
          <w:color w:val="auto"/>
        </w:rPr>
      </w:pPr>
      <w:r>
        <w:rPr>
          <w:rFonts w:ascii="Arial" w:cs="Arial" w:eastAsia="Arial" w:hAnsi="Arial"/>
          <w:sz w:val="18"/>
          <w:szCs w:val="18"/>
          <w:color w:val="auto"/>
        </w:rPr>
        <w:t>Unless an award agreement provides otherwise, no award granted under the Plan may be sold, assigned, conveyed, gifted, pledged, hypothecated, or otherwise transferred in any manner other than by will or the laws of descent and distribution.</w:t>
      </w:r>
    </w:p>
    <w:p>
      <w:pPr>
        <w:spacing w:after="0" w:line="200" w:lineRule="exact"/>
        <w:rPr>
          <w:sz w:val="20"/>
          <w:szCs w:val="20"/>
          <w:color w:val="auto"/>
        </w:rPr>
      </w:pPr>
    </w:p>
    <w:p>
      <w:pPr>
        <w:spacing w:after="0" w:line="258" w:lineRule="exact"/>
        <w:rPr>
          <w:sz w:val="20"/>
          <w:szCs w:val="20"/>
          <w:color w:val="auto"/>
        </w:rPr>
      </w:pPr>
    </w:p>
    <w:p>
      <w:pPr>
        <w:ind w:left="2"/>
        <w:spacing w:after="0"/>
        <w:rPr>
          <w:sz w:val="20"/>
          <w:szCs w:val="20"/>
          <w:color w:val="auto"/>
        </w:rPr>
      </w:pPr>
      <w:r>
        <w:rPr>
          <w:rFonts w:ascii="Arial" w:cs="Arial" w:eastAsia="Arial" w:hAnsi="Arial"/>
          <w:sz w:val="16"/>
          <w:szCs w:val="16"/>
          <w:color w:val="auto"/>
        </w:rPr>
        <w:t>AMENDMENT AND TERMINATION</w:t>
      </w:r>
    </w:p>
    <w:p>
      <w:pPr>
        <w:spacing w:after="0" w:line="197" w:lineRule="exact"/>
        <w:rPr>
          <w:sz w:val="20"/>
          <w:szCs w:val="20"/>
          <w:color w:val="auto"/>
        </w:rPr>
      </w:pPr>
    </w:p>
    <w:p>
      <w:pPr>
        <w:ind w:left="2" w:right="80"/>
        <w:spacing w:after="0" w:line="282" w:lineRule="auto"/>
        <w:rPr>
          <w:sz w:val="20"/>
          <w:szCs w:val="20"/>
          <w:color w:val="auto"/>
        </w:rPr>
      </w:pPr>
      <w:r>
        <w:rPr>
          <w:rFonts w:ascii="Arial" w:cs="Arial" w:eastAsia="Arial" w:hAnsi="Arial"/>
          <w:sz w:val="18"/>
          <w:szCs w:val="18"/>
          <w:color w:val="auto"/>
        </w:rPr>
        <w:t>The Board may amend, suspend, or terminate the Plan or the ESPP Addendum at any time, provided that amendments to any outstanding award agreements are subject to applicable legal restrictions and the consent of the participant if the participant’s right or obligations would be materially impaired.</w:t>
      </w: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NEW PLAN BENEFITS</w:t>
      </w:r>
    </w:p>
    <w:p>
      <w:pPr>
        <w:spacing w:after="0" w:line="197" w:lineRule="exact"/>
        <w:rPr>
          <w:sz w:val="20"/>
          <w:szCs w:val="20"/>
          <w:color w:val="auto"/>
        </w:rPr>
      </w:pPr>
    </w:p>
    <w:p>
      <w:pPr>
        <w:ind w:left="2" w:right="120"/>
        <w:spacing w:after="0" w:line="290" w:lineRule="auto"/>
        <w:rPr>
          <w:sz w:val="20"/>
          <w:szCs w:val="20"/>
          <w:color w:val="auto"/>
        </w:rPr>
      </w:pPr>
      <w:r>
        <w:rPr>
          <w:rFonts w:ascii="Arial" w:cs="Arial" w:eastAsia="Arial" w:hAnsi="Arial"/>
          <w:sz w:val="18"/>
          <w:szCs w:val="18"/>
          <w:color w:val="auto"/>
        </w:rPr>
        <w:t>The benefits that will be awarded or paid under the Amended Plan cannot currently be determined, except with respect to certain awards for current non-employee directors.</w:t>
      </w:r>
    </w:p>
    <w:p>
      <w:pPr>
        <w:spacing w:after="0" w:line="214"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Each non-employee director elected to the Board at the 2025 Annual Meeting is anticipated to be granted an RSU award on the date of the 2025 Annual Meeting with a target grant date value of $270,000, as discussed later under the section titled “Director Compensation.” In addition, each current non-employee director who served on a certain special committee is eligible to receive a grant of fully vested restricted stock units on the date of the 2025 Annual Meeting with a target grant date value equal to $2,000 times the number of special committee meetings the non-employee director attended since the previous annual meeting, subject to a $20,000 cap. Such grants are not subject to stockholder approval of the Amended Plan and are referred to herein collectively as the “Upcoming Director Grants”).</w:t>
      </w:r>
    </w:p>
    <w:p>
      <w:pPr>
        <w:spacing w:after="0" w:line="229" w:lineRule="exact"/>
        <w:rPr>
          <w:sz w:val="20"/>
          <w:szCs w:val="20"/>
          <w:color w:val="auto"/>
        </w:rPr>
      </w:pPr>
    </w:p>
    <w:p>
      <w:pPr>
        <w:ind w:left="2"/>
        <w:spacing w:after="0" w:line="281" w:lineRule="auto"/>
        <w:rPr>
          <w:sz w:val="20"/>
          <w:szCs w:val="20"/>
          <w:color w:val="auto"/>
        </w:rPr>
      </w:pPr>
      <w:r>
        <w:rPr>
          <w:rFonts w:ascii="Arial" w:cs="Arial" w:eastAsia="Arial" w:hAnsi="Arial"/>
          <w:sz w:val="18"/>
          <w:szCs w:val="18"/>
          <w:color w:val="auto"/>
        </w:rPr>
        <w:t>Awards granted under the Amended Plan are within the Compensation and Human Capital Committee’s discretion, and the Compensation and Human Capital Committee has not determined other future awards or who might receive them. The Amended Plan does not have set benefits or amounts, and no grants or awards have been made by the Compensation and Human Capital Committee or the Board that are conditioned upon stockholder approval of the Amended Plan.</w:t>
      </w:r>
    </w:p>
    <w:p>
      <w:pPr>
        <w:spacing w:after="0" w:line="224" w:lineRule="exact"/>
        <w:rPr>
          <w:sz w:val="20"/>
          <w:szCs w:val="20"/>
          <w:color w:val="auto"/>
        </w:rPr>
      </w:pPr>
    </w:p>
    <w:p>
      <w:pPr>
        <w:ind w:left="2" w:right="160"/>
        <w:spacing w:after="0" w:line="292" w:lineRule="auto"/>
        <w:rPr>
          <w:sz w:val="20"/>
          <w:szCs w:val="20"/>
          <w:color w:val="auto"/>
        </w:rPr>
      </w:pPr>
      <w:r>
        <w:rPr>
          <w:rFonts w:ascii="Arial" w:cs="Arial" w:eastAsia="Arial" w:hAnsi="Arial"/>
          <w:sz w:val="18"/>
          <w:szCs w:val="18"/>
          <w:color w:val="auto"/>
        </w:rPr>
        <w:t>The following New Plan Benefits table for the Amended Plan sets forth information pertaining to the Upcoming Director Grants currently contemplated to be made under the Amended Plan:</w:t>
      </w:r>
    </w:p>
    <w:p>
      <w:pPr>
        <w:spacing w:after="0" w:line="269"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5860" w:type="dxa"/>
            <w:vAlign w:val="bottom"/>
            <w:shd w:val="clear" w:color="auto" w:fill="000000"/>
          </w:tcPr>
          <w:p>
            <w:pPr>
              <w:spacing w:after="0"/>
              <w:rPr>
                <w:sz w:val="24"/>
                <w:szCs w:val="24"/>
                <w:color w:val="auto"/>
              </w:rPr>
            </w:pPr>
          </w:p>
        </w:tc>
        <w:tc>
          <w:tcPr>
            <w:tcW w:w="3100" w:type="dxa"/>
            <w:vAlign w:val="bottom"/>
            <w:shd w:val="clear" w:color="auto" w:fill="000000"/>
          </w:tcPr>
          <w:p>
            <w:pPr>
              <w:ind w:left="1940"/>
              <w:spacing w:after="0"/>
              <w:rPr>
                <w:sz w:val="20"/>
                <w:szCs w:val="20"/>
                <w:color w:val="auto"/>
              </w:rPr>
            </w:pPr>
            <w:r>
              <w:rPr>
                <w:rFonts w:ascii="Arial" w:cs="Arial" w:eastAsia="Arial" w:hAnsi="Arial"/>
                <w:sz w:val="14"/>
                <w:szCs w:val="14"/>
                <w:color w:val="FFFFFF"/>
              </w:rPr>
              <w:t>Stock Awards</w:t>
            </w:r>
          </w:p>
        </w:tc>
        <w:tc>
          <w:tcPr>
            <w:tcW w:w="1460" w:type="dxa"/>
            <w:vAlign w:val="bottom"/>
            <w:shd w:val="clear" w:color="auto" w:fill="000000"/>
          </w:tcPr>
          <w:p>
            <w:pPr>
              <w:spacing w:after="0"/>
              <w:rPr>
                <w:sz w:val="24"/>
                <w:szCs w:val="24"/>
                <w:color w:val="auto"/>
              </w:rPr>
            </w:pPr>
          </w:p>
        </w:tc>
      </w:tr>
      <w:tr>
        <w:trPr>
          <w:trHeight w:val="469"/>
        </w:trPr>
        <w:tc>
          <w:tcPr>
            <w:tcW w:w="586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 and Position</w:t>
            </w:r>
          </w:p>
        </w:tc>
        <w:tc>
          <w:tcPr>
            <w:tcW w:w="3100" w:type="dxa"/>
            <w:vAlign w:val="bottom"/>
            <w:shd w:val="clear" w:color="auto" w:fill="000000"/>
          </w:tcPr>
          <w:p>
            <w:pPr>
              <w:ind w:left="1940"/>
              <w:spacing w:after="0"/>
              <w:rPr>
                <w:sz w:val="20"/>
                <w:szCs w:val="20"/>
                <w:color w:val="auto"/>
              </w:rPr>
            </w:pPr>
            <w:r>
              <w:rPr>
                <w:rFonts w:ascii="Arial" w:cs="Arial" w:eastAsia="Arial" w:hAnsi="Arial"/>
                <w:sz w:val="14"/>
                <w:szCs w:val="14"/>
                <w:color w:val="FFFFFF"/>
              </w:rPr>
              <w:t>Dollar Value ($)</w:t>
            </w: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Units</w:t>
            </w:r>
          </w:p>
        </w:tc>
      </w:tr>
      <w:tr>
        <w:trPr>
          <w:trHeight w:val="149"/>
        </w:trPr>
        <w:tc>
          <w:tcPr>
            <w:tcW w:w="5860" w:type="dxa"/>
            <w:vAlign w:val="bottom"/>
            <w:shd w:val="clear" w:color="auto" w:fill="000000"/>
          </w:tcPr>
          <w:p>
            <w:pPr>
              <w:spacing w:after="0"/>
              <w:rPr>
                <w:sz w:val="12"/>
                <w:szCs w:val="12"/>
                <w:color w:val="auto"/>
              </w:rPr>
            </w:pPr>
          </w:p>
        </w:tc>
        <w:tc>
          <w:tcPr>
            <w:tcW w:w="3100" w:type="dxa"/>
            <w:vAlign w:val="bottom"/>
            <w:shd w:val="clear" w:color="auto" w:fill="000000"/>
          </w:tcPr>
          <w:p>
            <w:pPr>
              <w:spacing w:after="0"/>
              <w:rPr>
                <w:sz w:val="12"/>
                <w:szCs w:val="12"/>
                <w:color w:val="auto"/>
              </w:rPr>
            </w:pPr>
          </w:p>
        </w:tc>
        <w:tc>
          <w:tcPr>
            <w:tcW w:w="1460" w:type="dxa"/>
            <w:vAlign w:val="bottom"/>
            <w:shd w:val="clear" w:color="auto" w:fill="000000"/>
          </w:tcPr>
          <w:p>
            <w:pPr>
              <w:spacing w:after="0"/>
              <w:rPr>
                <w:sz w:val="12"/>
                <w:szCs w:val="12"/>
                <w:color w:val="auto"/>
              </w:rPr>
            </w:pPr>
          </w:p>
        </w:tc>
      </w:tr>
      <w:tr>
        <w:trPr>
          <w:trHeight w:val="390"/>
        </w:trPr>
        <w:tc>
          <w:tcPr>
            <w:tcW w:w="5860" w:type="dxa"/>
            <w:vAlign w:val="bottom"/>
          </w:tcPr>
          <w:p>
            <w:pPr>
              <w:ind w:left="180"/>
              <w:spacing w:after="0"/>
              <w:rPr>
                <w:sz w:val="20"/>
                <w:szCs w:val="20"/>
                <w:color w:val="auto"/>
              </w:rPr>
            </w:pPr>
            <w:r>
              <w:rPr>
                <w:rFonts w:ascii="Arial" w:cs="Arial" w:eastAsia="Arial" w:hAnsi="Arial"/>
                <w:sz w:val="16"/>
                <w:szCs w:val="16"/>
                <w:color w:val="auto"/>
              </w:rPr>
              <w:t>All Current Non-Employee Directors as a Group</w:t>
            </w:r>
            <w:r>
              <w:rPr>
                <w:rFonts w:ascii="Arial" w:cs="Arial" w:eastAsia="Arial" w:hAnsi="Arial"/>
                <w:sz w:val="19"/>
                <w:szCs w:val="19"/>
                <w:color w:val="auto"/>
                <w:vertAlign w:val="superscript"/>
              </w:rPr>
              <w:t>(1)</w:t>
            </w:r>
          </w:p>
        </w:tc>
        <w:tc>
          <w:tcPr>
            <w:tcW w:w="3100" w:type="dxa"/>
            <w:vAlign w:val="bottom"/>
          </w:tcPr>
          <w:p>
            <w:pPr>
              <w:ind w:left="1940"/>
              <w:spacing w:after="0"/>
              <w:rPr>
                <w:sz w:val="20"/>
                <w:szCs w:val="20"/>
                <w:color w:val="auto"/>
              </w:rPr>
            </w:pPr>
            <w:r>
              <w:rPr>
                <w:rFonts w:ascii="Arial" w:cs="Arial" w:eastAsia="Arial" w:hAnsi="Arial"/>
                <w:sz w:val="16"/>
                <w:szCs w:val="16"/>
                <w:color w:val="auto"/>
              </w:rPr>
              <w:t>1,890,000</w:t>
            </w:r>
          </w:p>
        </w:tc>
        <w:tc>
          <w:tcPr>
            <w:tcW w:w="1460" w:type="dxa"/>
            <w:vAlign w:val="bottom"/>
          </w:tcPr>
          <w:p>
            <w:pPr>
              <w:ind w:left="120"/>
              <w:spacing w:after="0"/>
              <w:rPr>
                <w:sz w:val="20"/>
                <w:szCs w:val="20"/>
                <w:color w:val="auto"/>
              </w:rPr>
            </w:pPr>
            <w:r>
              <w:rPr>
                <w:rFonts w:ascii="Arial" w:cs="Arial" w:eastAsia="Arial" w:hAnsi="Arial"/>
                <w:sz w:val="16"/>
                <w:szCs w:val="16"/>
                <w:color w:val="auto"/>
              </w:rPr>
              <w:t>N/A</w:t>
            </w:r>
          </w:p>
        </w:tc>
      </w:tr>
      <w:tr>
        <w:trPr>
          <w:trHeight w:val="74"/>
        </w:trPr>
        <w:tc>
          <w:tcPr>
            <w:tcW w:w="5860" w:type="dxa"/>
            <w:vAlign w:val="bottom"/>
            <w:tcBorders>
              <w:bottom w:val="single" w:sz="8" w:color="auto"/>
            </w:tcBorders>
          </w:tcPr>
          <w:p>
            <w:pPr>
              <w:spacing w:after="0"/>
              <w:rPr>
                <w:sz w:val="6"/>
                <w:szCs w:val="6"/>
                <w:color w:val="auto"/>
              </w:rPr>
            </w:pPr>
          </w:p>
        </w:tc>
        <w:tc>
          <w:tcPr>
            <w:tcW w:w="31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4948555</wp:posOffset>
                </wp:positionH>
                <wp:positionV relativeFrom="paragraph">
                  <wp:posOffset>-598170</wp:posOffset>
                </wp:positionV>
                <wp:extent cx="15138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384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65pt,-47.0999pt" to="508.85pt,-47.0999pt" o:allowincell="f" strokecolor="#FFFFFF" strokeweight="0.499pt"/>
            </w:pict>
          </mc:Fallback>
        </mc:AlternateContent>
      </w:r>
    </w:p>
    <w:p>
      <w:pPr>
        <w:spacing w:after="0" w:line="293" w:lineRule="exact"/>
        <w:rPr>
          <w:sz w:val="20"/>
          <w:szCs w:val="20"/>
          <w:color w:val="auto"/>
        </w:rPr>
      </w:pPr>
    </w:p>
    <w:p>
      <w:pPr>
        <w:ind w:left="142" w:right="20" w:hanging="142"/>
        <w:spacing w:after="0"/>
        <w:tabs>
          <w:tab w:leader="none" w:pos="142"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Represents the Upcoming Director Grants. Further information regarding non-employee director compensation is described under the heading “Director Compensation.” The total number of shares of our Common Stock subject to each RSU award granted to our NEDs is determined by dividing the total dollar value of the award by the volume-weighted average price of the Company’s Common Stock during the 30 consecutive trading day period ending on the grant date. Such average is determined based upon the closing price for each such trading day and the number of shares traded on such day.</w:t>
      </w:r>
    </w:p>
    <w:p>
      <w:pPr>
        <w:spacing w:after="0" w:line="350" w:lineRule="exact"/>
        <w:rPr>
          <w:sz w:val="20"/>
          <w:szCs w:val="20"/>
          <w:color w:val="auto"/>
        </w:rPr>
      </w:pPr>
    </w:p>
    <w:p>
      <w:pPr>
        <w:ind w:left="2"/>
        <w:spacing w:after="0"/>
        <w:rPr>
          <w:sz w:val="20"/>
          <w:szCs w:val="20"/>
          <w:color w:val="auto"/>
        </w:rPr>
      </w:pPr>
      <w:r>
        <w:rPr>
          <w:rFonts w:ascii="Arial" w:cs="Arial" w:eastAsia="Arial" w:hAnsi="Arial"/>
          <w:sz w:val="16"/>
          <w:szCs w:val="16"/>
          <w:color w:val="auto"/>
        </w:rPr>
        <w:t>U.S. FEDERAL INCOME TAX CONSEQUENCES</w:t>
      </w:r>
    </w:p>
    <w:p>
      <w:pPr>
        <w:spacing w:after="0" w:line="197" w:lineRule="exact"/>
        <w:rPr>
          <w:sz w:val="20"/>
          <w:szCs w:val="20"/>
          <w:color w:val="auto"/>
        </w:rPr>
      </w:pPr>
    </w:p>
    <w:p>
      <w:pPr>
        <w:ind w:left="2"/>
        <w:spacing w:after="0" w:line="280" w:lineRule="auto"/>
        <w:rPr>
          <w:sz w:val="20"/>
          <w:szCs w:val="20"/>
          <w:color w:val="auto"/>
        </w:rPr>
      </w:pPr>
      <w:r>
        <w:rPr>
          <w:rFonts w:ascii="Arial" w:cs="Arial" w:eastAsia="Arial" w:hAnsi="Arial"/>
          <w:sz w:val="18"/>
          <w:szCs w:val="18"/>
          <w:color w:val="auto"/>
        </w:rPr>
        <w:t>The following is a general summary under current law of certain United States federal income tax consequences to the Company and participants who are citizens or individual residents of the United States relating to awards granted under the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their own tax advisor as to the specific tax consequences of participation in the Plan under federal, state, local and other applicable laws.</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Non-Qualified Stock Options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 non-qualified stock option is an option that does not meet the requirements of Section 422 of the Code. A participant generally will not recognize taxable income when granted a non-qualified stock option. When the participant exercises the stock option, the participant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their disability, the three-month period is extended to one year. The three-month period does not apply in the case of the participant’s death. Similar tax consequences will apply to stock purchase rights under the ESPP Addendum.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SARs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193" w:lineRule="exact"/>
        <w:rPr>
          <w:sz w:val="20"/>
          <w:szCs w:val="20"/>
          <w:color w:val="auto"/>
        </w:rPr>
      </w:pPr>
    </w:p>
    <w:p>
      <w:pPr>
        <w:ind w:right="340"/>
        <w:spacing w:after="0" w:line="283" w:lineRule="auto"/>
        <w:rPr>
          <w:sz w:val="20"/>
          <w:szCs w:val="20"/>
          <w:color w:val="auto"/>
        </w:rPr>
      </w:pPr>
      <w:r>
        <w:rPr>
          <w:rFonts w:ascii="Arial" w:cs="Arial" w:eastAsia="Arial" w:hAnsi="Arial"/>
          <w:sz w:val="18"/>
          <w:szCs w:val="18"/>
          <w:color w:val="auto"/>
        </w:rPr>
        <w:t>A participant generally does not recognize income at the time a restricted stock unit award is granted. At the time of settlement of the award, the participant will generally recognize ordinary income equal to the fair market value of the</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39</w:t>
      </w:r>
    </w:p>
    <w:p>
      <w:pPr>
        <w:sectPr>
          <w:pgSz w:w="11880" w:h="15480" w:orient="portrait"/>
          <w:cols w:equalWidth="0" w:num="1">
            <w:col w:w="10420"/>
          </w:cols>
          <w:pgMar w:left="720" w:top="942" w:right="740" w:bottom="0" w:gutter="0" w:footer="0" w:header="0"/>
          <w:type w:val="continuous"/>
        </w:sectPr>
      </w:pPr>
    </w:p>
    <w:bookmarkStart w:id="45" w:name="page46"/>
    <w:bookmarkEnd w:id="45"/>
    <w:p>
      <w:pPr>
        <w:spacing w:after="0" w:line="282" w:lineRule="auto"/>
        <w:rPr>
          <w:sz w:val="20"/>
          <w:szCs w:val="20"/>
          <w:color w:val="auto"/>
        </w:rPr>
      </w:pPr>
      <w:r>
        <w:rPr>
          <w:rFonts w:ascii="Arial" w:cs="Arial" w:eastAsia="Arial" w:hAnsi="Arial"/>
          <w:sz w:val="18"/>
          <w:szCs w:val="18"/>
          <w:color w:val="auto"/>
        </w:rPr>
        <w:t>restricted stock units at the time of settlement of the award, and the Company generally will be allowed a corresponding tax deduction at that time, subject to any limits imposed under Section 162(m) of the Code. We will withhold any FICA taxes due in respect of the restricted stock units in the year they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Awards</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 subject to any limits imposed under Section 162(m) of the Code.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Cash Awards</w:t>
      </w:r>
    </w:p>
    <w:p>
      <w:pPr>
        <w:spacing w:after="0" w:line="193"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Upon the payment of a cash award, the amount of cash received will be ordinary income to the participant. We will be entitled to a deduction for such amount at the time it is includable in the income of the participant, subject to any limits imposed under Section 162(m) of the Code.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REGISTRATION WITH THE SEC</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If our stockholders approve the Amended Plan, we will file with the SEC a registration statement on Form S-8, as soon as reasonably practicable after the approval, to register the additional shares available for issuance under the Plan as a result of the Amended Plan.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VOTE REQUIRED</w:t>
      </w:r>
    </w:p>
    <w:p>
      <w:pPr>
        <w:spacing w:after="0" w:line="19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To be approved, a majority of the total votes cast on Proposal No. 4 must be voted “For” the approval of the amendment and restatement of the Lucid Group, Inc. Amended and Restated 2021 Stock Incentive Plan. Only votes “For” or “Against” will affect the outcome. Broker non-votes and abstentions will have no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554355</wp:posOffset>
                </wp:positionV>
                <wp:extent cx="6614160" cy="86169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861695"/>
                        </a:xfrm>
                        <a:prstGeom prst="rect">
                          <a:avLst/>
                        </a:prstGeom>
                        <a:solidFill>
                          <a:srgbClr val="000000"/>
                        </a:solidFill>
                      </wps:spPr>
                      <wps:bodyPr/>
                    </wps:wsp>
                  </a:graphicData>
                </a:graphic>
              </wp:anchor>
            </w:drawing>
          </mc:Choice>
          <mc:Fallback>
            <w:pict>
              <v:rect id="Shape 45" o:spid="_x0000_s1070" style="position:absolute;margin-left:-0.0499pt;margin-top:43.65pt;width:520.8pt;height:6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line="243" w:lineRule="auto"/>
        <w:rPr>
          <w:sz w:val="20"/>
          <w:szCs w:val="20"/>
          <w:color w:val="auto"/>
        </w:rPr>
      </w:pPr>
      <w:r>
        <w:rPr>
          <w:rFonts w:ascii="Arial" w:cs="Arial" w:eastAsia="Arial" w:hAnsi="Arial"/>
          <w:sz w:val="24"/>
          <w:szCs w:val="24"/>
          <w:color w:val="FFFFFF"/>
        </w:rPr>
        <w:t>THE BOARD OF DIRECTORS RECOMMENDS A VOTE “FOR” THE APPROVAL OF THE AMENDMENT AND RESTATEMENT OF THE LUCID GROUP, INC. AMENDED AND RESTATED 2021 STOCK INCENTIVE PLAN</w:t>
      </w:r>
    </w:p>
    <w:p>
      <w:pPr>
        <w:jc w:val="center"/>
        <w:ind w:right="20"/>
        <w:spacing w:after="0"/>
        <w:rPr>
          <w:sz w:val="20"/>
          <w:szCs w:val="20"/>
          <w:color w:val="auto"/>
        </w:rPr>
      </w:pPr>
      <w:r>
        <w:rPr>
          <w:rFonts w:ascii="Arial" w:cs="Arial" w:eastAsia="Arial" w:hAnsi="Arial"/>
          <w:sz w:val="24"/>
          <w:szCs w:val="24"/>
          <w:color w:val="FFFFFF"/>
        </w:rPr>
        <w:t>(PROPOSAL NO. 4)</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40"/>
          <w:szCs w:val="40"/>
          <w:color w:val="auto"/>
        </w:rPr>
        <w:t>Executive Officers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the date of this Proxy Statement: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6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1520" w:type="dxa"/>
            <w:vAlign w:val="bottom"/>
            <w:shd w:val="clear" w:color="auto" w:fill="000000"/>
          </w:tcPr>
          <w:p>
            <w:pPr>
              <w:ind w:left="1140"/>
              <w:spacing w:after="0"/>
              <w:rPr>
                <w:sz w:val="20"/>
                <w:szCs w:val="20"/>
                <w:color w:val="auto"/>
              </w:rPr>
            </w:pPr>
            <w:r>
              <w:rPr>
                <w:rFonts w:ascii="Arial" w:cs="Arial" w:eastAsia="Arial" w:hAnsi="Arial"/>
                <w:sz w:val="14"/>
                <w:szCs w:val="14"/>
                <w:color w:val="FFFFFF"/>
              </w:rPr>
              <w:t>Age</w:t>
            </w:r>
          </w:p>
        </w:tc>
        <w:tc>
          <w:tcPr>
            <w:tcW w:w="62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Position</w:t>
            </w:r>
          </w:p>
        </w:tc>
      </w:tr>
      <w:tr>
        <w:trPr>
          <w:trHeight w:val="149"/>
        </w:trPr>
        <w:tc>
          <w:tcPr>
            <w:tcW w:w="2640" w:type="dxa"/>
            <w:vAlign w:val="bottom"/>
            <w:shd w:val="clear" w:color="auto" w:fill="000000"/>
          </w:tcPr>
          <w:p>
            <w:pPr>
              <w:spacing w:after="0"/>
              <w:rPr>
                <w:sz w:val="12"/>
                <w:szCs w:val="12"/>
                <w:color w:val="auto"/>
              </w:rPr>
            </w:pPr>
          </w:p>
        </w:tc>
        <w:tc>
          <w:tcPr>
            <w:tcW w:w="1520" w:type="dxa"/>
            <w:vAlign w:val="bottom"/>
            <w:shd w:val="clear" w:color="auto" w:fill="000000"/>
          </w:tcPr>
          <w:p>
            <w:pPr>
              <w:spacing w:after="0"/>
              <w:rPr>
                <w:sz w:val="12"/>
                <w:szCs w:val="12"/>
                <w:color w:val="auto"/>
              </w:rPr>
            </w:pPr>
          </w:p>
        </w:tc>
        <w:tc>
          <w:tcPr>
            <w:tcW w:w="6260" w:type="dxa"/>
            <w:vAlign w:val="bottom"/>
            <w:shd w:val="clear" w:color="auto" w:fill="000000"/>
          </w:tcPr>
          <w:p>
            <w:pPr>
              <w:spacing w:after="0"/>
              <w:rPr>
                <w:sz w:val="12"/>
                <w:szCs w:val="12"/>
                <w:color w:val="auto"/>
              </w:rPr>
            </w:pPr>
          </w:p>
        </w:tc>
      </w:tr>
      <w:tr>
        <w:trPr>
          <w:trHeight w:val="326"/>
        </w:trPr>
        <w:tc>
          <w:tcPr>
            <w:tcW w:w="264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1520" w:type="dxa"/>
            <w:vAlign w:val="bottom"/>
          </w:tcPr>
          <w:p>
            <w:pPr>
              <w:ind w:left="1140"/>
              <w:spacing w:after="0"/>
              <w:rPr>
                <w:sz w:val="20"/>
                <w:szCs w:val="20"/>
                <w:color w:val="auto"/>
              </w:rPr>
            </w:pPr>
            <w:r>
              <w:rPr>
                <w:rFonts w:ascii="Arial" w:cs="Arial" w:eastAsia="Arial" w:hAnsi="Arial"/>
                <w:sz w:val="16"/>
                <w:szCs w:val="16"/>
                <w:color w:val="auto"/>
              </w:rPr>
              <w:t>56</w:t>
            </w:r>
          </w:p>
        </w:tc>
        <w:tc>
          <w:tcPr>
            <w:tcW w:w="6260" w:type="dxa"/>
            <w:vAlign w:val="bottom"/>
          </w:tcPr>
          <w:p>
            <w:pPr>
              <w:ind w:left="120"/>
              <w:spacing w:after="0"/>
              <w:rPr>
                <w:sz w:val="20"/>
                <w:szCs w:val="20"/>
                <w:color w:val="auto"/>
              </w:rPr>
            </w:pPr>
            <w:r>
              <w:rPr>
                <w:rFonts w:ascii="Arial" w:cs="Arial" w:eastAsia="Arial" w:hAnsi="Arial"/>
                <w:sz w:val="16"/>
                <w:szCs w:val="16"/>
                <w:color w:val="auto"/>
              </w:rPr>
              <w:t>Interim Chief Executive Officer</w:t>
            </w:r>
          </w:p>
        </w:tc>
      </w:tr>
      <w:tr>
        <w:trPr>
          <w:trHeight w:val="135"/>
        </w:trPr>
        <w:tc>
          <w:tcPr>
            <w:tcW w:w="26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r>
      <w:tr>
        <w:trPr>
          <w:trHeight w:val="304"/>
        </w:trPr>
        <w:tc>
          <w:tcPr>
            <w:tcW w:w="2640" w:type="dxa"/>
            <w:vAlign w:val="bottom"/>
          </w:tcPr>
          <w:p>
            <w:pPr>
              <w:ind w:left="180"/>
              <w:spacing w:after="0"/>
              <w:rPr>
                <w:sz w:val="20"/>
                <w:szCs w:val="20"/>
                <w:color w:val="auto"/>
              </w:rPr>
            </w:pPr>
            <w:r>
              <w:rPr>
                <w:rFonts w:ascii="Arial" w:cs="Arial" w:eastAsia="Arial" w:hAnsi="Arial"/>
                <w:sz w:val="16"/>
                <w:szCs w:val="16"/>
                <w:color w:val="auto"/>
              </w:rPr>
              <w:t>Taoufiq Boussaid</w:t>
            </w:r>
          </w:p>
        </w:tc>
        <w:tc>
          <w:tcPr>
            <w:tcW w:w="1520" w:type="dxa"/>
            <w:vAlign w:val="bottom"/>
          </w:tcPr>
          <w:p>
            <w:pPr>
              <w:ind w:left="1140"/>
              <w:spacing w:after="0"/>
              <w:rPr>
                <w:sz w:val="20"/>
                <w:szCs w:val="20"/>
                <w:color w:val="auto"/>
              </w:rPr>
            </w:pPr>
            <w:r>
              <w:rPr>
                <w:rFonts w:ascii="Arial" w:cs="Arial" w:eastAsia="Arial" w:hAnsi="Arial"/>
                <w:sz w:val="16"/>
                <w:szCs w:val="16"/>
                <w:color w:val="auto"/>
              </w:rPr>
              <w:t>54</w:t>
            </w:r>
          </w:p>
        </w:tc>
        <w:tc>
          <w:tcPr>
            <w:tcW w:w="626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135"/>
        </w:trPr>
        <w:tc>
          <w:tcPr>
            <w:tcW w:w="26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r>
      <w:tr>
        <w:trPr>
          <w:trHeight w:val="304"/>
        </w:trPr>
        <w:tc>
          <w:tcPr>
            <w:tcW w:w="26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1520" w:type="dxa"/>
            <w:vAlign w:val="bottom"/>
          </w:tcPr>
          <w:p>
            <w:pPr>
              <w:ind w:left="1140"/>
              <w:spacing w:after="0"/>
              <w:rPr>
                <w:sz w:val="20"/>
                <w:szCs w:val="20"/>
                <w:color w:val="auto"/>
              </w:rPr>
            </w:pPr>
            <w:r>
              <w:rPr>
                <w:rFonts w:ascii="Arial" w:cs="Arial" w:eastAsia="Arial" w:hAnsi="Arial"/>
                <w:sz w:val="16"/>
                <w:szCs w:val="16"/>
                <w:color w:val="auto"/>
              </w:rPr>
              <w:t>52</w:t>
            </w:r>
          </w:p>
        </w:tc>
        <w:tc>
          <w:tcPr>
            <w:tcW w:w="6260" w:type="dxa"/>
            <w:vAlign w:val="bottom"/>
          </w:tcPr>
          <w:p>
            <w:pPr>
              <w:ind w:left="120"/>
              <w:spacing w:after="0"/>
              <w:rPr>
                <w:sz w:val="20"/>
                <w:szCs w:val="20"/>
                <w:color w:val="auto"/>
              </w:rPr>
            </w:pPr>
            <w:r>
              <w:rPr>
                <w:rFonts w:ascii="Arial" w:cs="Arial" w:eastAsia="Arial" w:hAnsi="Arial"/>
                <w:sz w:val="16"/>
                <w:szCs w:val="16"/>
                <w:color w:val="auto"/>
              </w:rPr>
              <w:t>Senior Vice President, Product and Chief Engineer</w:t>
            </w:r>
          </w:p>
        </w:tc>
      </w:tr>
      <w:tr>
        <w:trPr>
          <w:trHeight w:val="138"/>
        </w:trPr>
        <w:tc>
          <w:tcPr>
            <w:tcW w:w="26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Biographies for our active named executive officers are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285750</wp:posOffset>
                </wp:positionV>
                <wp:extent cx="661416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2.5pt" to="520.75pt,22.5pt" o:allowincell="f" strokecolor="#000000" strokeweight="0.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20" w:right="400"/>
        <w:spacing w:after="0" w:line="256" w:lineRule="auto"/>
        <w:rPr>
          <w:sz w:val="20"/>
          <w:szCs w:val="20"/>
          <w:color w:val="auto"/>
        </w:rPr>
      </w:pPr>
      <w:r>
        <w:rPr>
          <w:rFonts w:ascii="Arial" w:cs="Arial" w:eastAsia="Arial" w:hAnsi="Arial"/>
          <w:sz w:val="18"/>
          <w:szCs w:val="18"/>
          <w:color w:val="auto"/>
        </w:rPr>
        <w:t>Marc Winterhoff is our Interim Chief Executive Officer and Principal Executive Officer since February 2025. Mr. Winterhoff previously served as our Chief Operating Officer from December 2023 to February 2025. Prior to joining us, Mr. Winterhoff was a partner at Roland Berger, the European management consultancy, where he focused on operational leadership for large automotive manufacturers; managing manufacturing and cost efficiency; introduction of sales, service, and new mobility concepts; and long-term strategies for renowned automotive brands from October 2011 to November 2023. Mr. Winterhoff holds an M.A. in electrical and electronics engineering and management from the Technische Universität Darmstadt.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-1369060</wp:posOffset>
            </wp:positionV>
            <wp:extent cx="1523365" cy="1523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1523365" cy="152336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24"/>
          <w:szCs w:val="24"/>
          <w:color w:val="auto"/>
        </w:rPr>
        <w:t>Marc Winterhoff</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INTERIM CHIEF</w:t>
      </w:r>
    </w:p>
    <w:p>
      <w:pPr>
        <w:ind w:left="360"/>
        <w:spacing w:after="0"/>
        <w:rPr>
          <w:sz w:val="20"/>
          <w:szCs w:val="20"/>
          <w:color w:val="auto"/>
        </w:rPr>
      </w:pPr>
      <w:r>
        <w:rPr>
          <w:rFonts w:ascii="Arial" w:cs="Arial" w:eastAsia="Arial" w:hAnsi="Arial"/>
          <w:sz w:val="16"/>
          <w:szCs w:val="16"/>
          <w:color w:val="auto"/>
        </w:rPr>
        <w:t>EXECUTIVE OFFICER</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212090</wp:posOffset>
                </wp:positionV>
                <wp:extent cx="661416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7pt" to="520.75pt,16.7pt" o:allowincell="f" strokecolor="#000000" strokeweight="0.499pt"/>
            </w:pict>
          </mc:Fallback>
        </mc:AlternateConten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24"/>
          <w:szCs w:val="24"/>
          <w:color w:val="auto"/>
        </w:rPr>
        <w:t>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-1778000</wp:posOffset>
            </wp:positionV>
            <wp:extent cx="1523365" cy="1523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1523365" cy="152336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CHIEF FINANCIAL</w:t>
      </w:r>
    </w:p>
    <w:p>
      <w:pPr>
        <w:ind w:left="360"/>
        <w:spacing w:after="0"/>
        <w:rPr>
          <w:sz w:val="20"/>
          <w:szCs w:val="20"/>
          <w:color w:val="auto"/>
        </w:rPr>
      </w:pPr>
      <w:r>
        <w:rPr>
          <w:rFonts w:ascii="Arial" w:cs="Arial" w:eastAsia="Arial" w:hAnsi="Arial"/>
          <w:sz w:val="16"/>
          <w:szCs w:val="16"/>
          <w:color w:val="auto"/>
        </w:rPr>
        <w:t>OFFICER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Taoufiq Boussaid is our Chief Financial Officer since February 2025. Before joining Lucid in January 2025 as our incoming Chief Financial Officer,</w:t>
      </w:r>
    </w:p>
    <w:p>
      <w:pPr>
        <w:ind w:right="420"/>
        <w:spacing w:after="0" w:line="255" w:lineRule="auto"/>
        <w:rPr>
          <w:sz w:val="20"/>
          <w:szCs w:val="20"/>
          <w:color w:val="auto"/>
        </w:rPr>
      </w:pPr>
      <w:r>
        <w:rPr>
          <w:rFonts w:ascii="Arial" w:cs="Arial" w:eastAsia="Arial" w:hAnsi="Arial"/>
          <w:sz w:val="18"/>
          <w:szCs w:val="18"/>
          <w:color w:val="auto"/>
        </w:rPr>
        <w:t>Mr. Boussaid was an advisor for N.V.Bekaert S.A., a Belgium-listed industrial steel and coatings technology group, from October 2024 to December 2024 and was the group’s Chief Financial Officer from July 2019 through October 2024. From 2007 to 2019, Mr. Boussaid was employed at Bombardier Transportation, a rolling stock and rail transport manufacturing company, where he served multiple leadership roles within its finance organization in different geographies with his most recent position as Vice President Finance for Western Europe, Asia Pacific, Middle East and Africa. From 2004 to 2007, he held several finance roles with United Technologies Corporation, a multinational conglomerate, including as Corporate Controller EMEA and Chief Financial Officer for their Carrier Heating Systems business in Europe. Mr. Boussaid started his career in international finance as an audit manager with Ernst &amp; Young Global Limited in France and The Coca-Cola Company in the 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426720</wp:posOffset>
                </wp:positionV>
                <wp:extent cx="66141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499pt,33.6pt" to="344.75pt,33.6pt" o:allowincell="f" strokecolor="#000000" strokeweight="0.499pt"/>
            </w:pict>
          </mc:Fallback>
        </mc:AlternateContent>
      </w:r>
    </w:p>
    <w:p>
      <w:pPr>
        <w:spacing w:after="0" w:line="537" w:lineRule="exact"/>
        <w:rPr>
          <w:sz w:val="20"/>
          <w:szCs w:val="20"/>
          <w:color w:val="auto"/>
        </w:rPr>
      </w:pPr>
    </w:p>
    <w:p>
      <w:pPr>
        <w:sectPr>
          <w:pgSz w:w="11880" w:h="15480" w:orient="portrait"/>
          <w:cols w:equalWidth="0" w:num="2">
            <w:col w:w="2800" w:space="720"/>
            <w:col w:w="6900"/>
          </w:cols>
          <w:pgMar w:left="720" w:top="876"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41</w:t>
      </w:r>
    </w:p>
    <w:p>
      <w:pPr>
        <w:sectPr>
          <w:pgSz w:w="11880" w:h="15480" w:orient="portrait"/>
          <w:cols w:equalWidth="0" w:num="1">
            <w:col w:w="10420"/>
          </w:cols>
          <w:pgMar w:left="720" w:top="876" w:right="740" w:bottom="0" w:gutter="0" w:footer="0" w:header="0"/>
          <w:type w:val="continuous"/>
        </w:sectPr>
      </w:pPr>
    </w:p>
    <w:bookmarkStart w:id="47" w:name="page48"/>
    <w:bookmarkEnd w:id="47"/>
    <w:p>
      <w:pPr>
        <w:ind w:left="3480" w:right="420"/>
        <w:spacing w:after="0"/>
        <w:rPr>
          <w:sz w:val="20"/>
          <w:szCs w:val="20"/>
          <w:color w:val="auto"/>
        </w:rPr>
      </w:pPr>
      <w:r>
        <w:rPr>
          <w:rFonts w:ascii="Arial" w:cs="Arial" w:eastAsia="Arial" w:hAnsi="Arial"/>
          <w:sz w:val="17"/>
          <w:szCs w:val="17"/>
          <w:color w:val="auto"/>
        </w:rPr>
        <mc:AlternateContent>
          <mc:Choice Requires="wps">
            <w:drawing>
              <wp:anchor simplePos="0" relativeHeight="251657728" behindDoc="1" locked="0" layoutInCell="0" allowOverlap="1">
                <wp:simplePos x="0" y="0"/>
                <wp:positionH relativeFrom="page">
                  <wp:posOffset>455930</wp:posOffset>
                </wp:positionH>
                <wp:positionV relativeFrom="page">
                  <wp:posOffset>636270</wp:posOffset>
                </wp:positionV>
                <wp:extent cx="661479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pt,50.1pt" to="556.75pt,50.1pt" o:allowincell="f" strokecolor="#000000" strokeweight="0.499pt">
                <w10:wrap anchorx="page" anchory="page"/>
              </v:line>
            </w:pict>
          </mc:Fallback>
        </mc:AlternateContent>
        <w:t>Eric Bach has served as our Senior Vice President, Product and Chief Engineer since March 2021. Mr. Bach previously served as our Vice President, Hardware Engineering from September 2018 to February 2021 and as Senior Director, Body Engineering from April 2015 to August 2018. Prior to joining us, Mr. Bach was Director of Engineering at Tesla, Inc., an electric vehicle company, from January 2012 to March 2015. From 2000 to December 2011, he served in a variety of engineering and program leadership roles at Volkswagen AG, a vehicle manufacturing company, in both Germany and the United States. Mr. Bach holds a Diplom-Ingenieur degree from Friedrich-Alexander University in Erlangen,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-1085850</wp:posOffset>
            </wp:positionV>
            <wp:extent cx="1544320" cy="154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1544320" cy="154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4"/>
          <w:szCs w:val="24"/>
          <w:color w:val="auto"/>
        </w:rPr>
        <w:t>Eric Bach</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SENIOR VICE PRESIDENT,</w:t>
      </w:r>
    </w:p>
    <w:p>
      <w:pPr>
        <w:ind w:left="360"/>
        <w:spacing w:after="0" w:line="234" w:lineRule="auto"/>
        <w:rPr>
          <w:sz w:val="20"/>
          <w:szCs w:val="20"/>
          <w:color w:val="auto"/>
        </w:rPr>
      </w:pPr>
      <w:r>
        <w:rPr>
          <w:rFonts w:ascii="Arial" w:cs="Arial" w:eastAsia="Arial" w:hAnsi="Arial"/>
          <w:sz w:val="16"/>
          <w:szCs w:val="16"/>
          <w:color w:val="auto"/>
        </w:rPr>
        <w:t>PRODUCT AND CHIEF</w:t>
      </w:r>
    </w:p>
    <w:p>
      <w:pPr>
        <w:ind w:left="360"/>
        <w:spacing w:after="0"/>
        <w:rPr>
          <w:sz w:val="20"/>
          <w:szCs w:val="20"/>
          <w:color w:val="auto"/>
        </w:rPr>
      </w:pPr>
      <w:r>
        <w:rPr>
          <w:rFonts w:ascii="Arial" w:cs="Arial" w:eastAsia="Arial" w:hAnsi="Arial"/>
          <w:sz w:val="16"/>
          <w:szCs w:val="16"/>
          <w:color w:val="auto"/>
        </w:rPr>
        <w:t>ENGINEER</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Age: 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212090</wp:posOffset>
                </wp:positionV>
                <wp:extent cx="66141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7pt" to="520.75pt,16.7pt" o:allowincell="f" strokecolor="#000000" strokeweight="0.499pt"/>
            </w:pict>
          </mc:Fallback>
        </mc:AlternateContent>
      </w:r>
    </w:p>
    <w:p>
      <w:pPr>
        <w:sectPr>
          <w:pgSz w:w="11880" w:h="15480" w:orient="portrait"/>
          <w:cols w:equalWidth="0" w:num="1">
            <w:col w:w="10420"/>
          </w:cols>
          <w:pgMar w:left="720" w:top="132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321" w:right="740" w:bottom="0" w:gutter="0" w:footer="0" w:header="0"/>
          <w:type w:val="continuous"/>
        </w:sectPr>
      </w:pPr>
    </w:p>
    <w:bookmarkStart w:id="48" w:name="page49"/>
    <w:bookmarkEnd w:id="48"/>
    <w:p>
      <w:pPr>
        <w:ind w:right="520"/>
        <w:spacing w:after="0" w:line="239" w:lineRule="auto"/>
        <w:rPr>
          <w:sz w:val="20"/>
          <w:szCs w:val="20"/>
          <w:color w:val="auto"/>
        </w:rPr>
      </w:pPr>
      <w:r>
        <w:rPr>
          <w:rFonts w:ascii="Times New Roman" w:cs="Times New Roman" w:eastAsia="Times New Roman" w:hAnsi="Times New Roman"/>
          <w:sz w:val="40"/>
          <w:szCs w:val="40"/>
          <w:color w:val="auto"/>
        </w:rPr>
        <w:t>Message to Stockholders From the Compensation and Human Capital Committee of the Board of Directors</w:t>
      </w:r>
    </w:p>
    <w:p>
      <w:pPr>
        <w:spacing w:after="0" w:line="200" w:lineRule="exact"/>
        <w:rPr>
          <w:sz w:val="20"/>
          <w:szCs w:val="20"/>
          <w:color w:val="auto"/>
        </w:rPr>
      </w:pPr>
    </w:p>
    <w:p>
      <w:pPr>
        <w:spacing w:after="0" w:line="223"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color w:val="auto"/>
        </w:rPr>
        <w:t>The Compensation and Human Capital Committee (the “Committee”) has reviewed and approved the executive compensation actions described in this report.</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 strong focus of the Company and the Committee is to drive a performance-based culture, deliver on the plans and commitments to our stockholders and hold our executives accountable accordingly. We have therefore been focused on the design, administration, and implementation of our pay-for-performance compensation philosophy and ensuring our compensation programs are aligned with our Company’s strategic imperatives and with our stockholders’ interests.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designed our executive compensation program to ensure alignment with our annual growth objectives as well as our long-term business plan. At the time we set the 2024 performance metrics, we believed that achieving them would require a high level of effort and skilled execution from our executives to achieve strong sales and operational success. This approach reinforces our performance-based culture by holding our executives accountable for delivering quantifiable results against measurable performance metrics and individual goals.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2024, we continued to emphasize performance-based equity awards as a crucial element of our long-term incentive plan for executives, including our named executive officers, while adjusting the mix of equity compensation elements offered. Additionally, we restructured our performance-based equity awards to emphasize multi-year performance, which, combined with our Annual Incentive Plan Program, balances long-term and short-term objectives. The successful execution of key corporate performance metrics allows our named executive officers to be appropriately rewarded, ensuring alignment between pay and performance.</w:t>
      </w:r>
    </w:p>
    <w:p>
      <w:pPr>
        <w:spacing w:after="0" w:line="200" w:lineRule="exact"/>
        <w:rPr>
          <w:sz w:val="20"/>
          <w:szCs w:val="20"/>
          <w:color w:val="auto"/>
        </w:rPr>
      </w:pP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As summarized below and detailed in the “Business Highlights and Key Accomplishments for 2024” section, we achieved several important milestones in 2024, spearheaded by the unique talent and sustained effort of our executive team: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Started production of the Lucid Gravity before end of December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Achieved four consecutive quarters of record deliveries, with 71% year-over-year growth in 2024.</w:t>
      </w:r>
    </w:p>
    <w:p>
      <w:pPr>
        <w:spacing w:after="0" w:line="176" w:lineRule="exact"/>
        <w:rPr>
          <w:sz w:val="20"/>
          <w:szCs w:val="20"/>
          <w:color w:val="auto"/>
        </w:rPr>
      </w:pPr>
    </w:p>
    <w:p>
      <w:pPr>
        <w:ind w:left="180" w:right="660"/>
        <w:spacing w:after="0" w:line="285" w:lineRule="auto"/>
        <w:rPr>
          <w:sz w:val="20"/>
          <w:szCs w:val="20"/>
          <w:color w:val="auto"/>
        </w:rPr>
      </w:pPr>
      <w:r>
        <w:rPr>
          <w:rFonts w:ascii="Arial" w:cs="Arial" w:eastAsia="Arial" w:hAnsi="Arial"/>
          <w:sz w:val="18"/>
          <w:szCs w:val="18"/>
          <w:color w:val="auto"/>
        </w:rPr>
        <w:t>Significantly improved key financial metrics: enhanced gross margin and working capital, and strengthened the balance sheet with approximately $6.13 billion in total liquidity at the end of 2024.</w:t>
      </w:r>
    </w:p>
    <w:p>
      <w:pPr>
        <w:spacing w:after="0" w:line="124" w:lineRule="exact"/>
        <w:rPr>
          <w:sz w:val="20"/>
          <w:szCs w:val="20"/>
          <w:color w:val="auto"/>
        </w:rPr>
      </w:pPr>
    </w:p>
    <w:p>
      <w:pPr>
        <w:ind w:left="180" w:right="200"/>
        <w:spacing w:after="0" w:line="285" w:lineRule="auto"/>
        <w:rPr>
          <w:sz w:val="20"/>
          <w:szCs w:val="20"/>
          <w:color w:val="auto"/>
        </w:rPr>
      </w:pPr>
      <w:r>
        <w:rPr>
          <w:rFonts w:ascii="Arial" w:cs="Arial" w:eastAsia="Arial" w:hAnsi="Arial"/>
          <w:sz w:val="18"/>
          <w:szCs w:val="18"/>
          <w:color w:val="auto"/>
        </w:rPr>
        <w:t>Achieved a landmark 5.0 miles per kilowatt hour (mi/kWh) and a record 146 MPGe EPA-estimated range rating for the most energy-efficient mass production car ever, the Air Pure.</w:t>
      </w:r>
    </w:p>
    <w:p>
      <w:pPr>
        <w:spacing w:after="0" w:line="125" w:lineRule="exact"/>
        <w:rPr>
          <w:sz w:val="20"/>
          <w:szCs w:val="20"/>
          <w:color w:val="auto"/>
        </w:rPr>
      </w:pPr>
    </w:p>
    <w:p>
      <w:pPr>
        <w:ind w:left="180" w:right="120"/>
        <w:spacing w:after="0" w:line="262" w:lineRule="auto"/>
        <w:rPr>
          <w:sz w:val="20"/>
          <w:szCs w:val="20"/>
          <w:color w:val="auto"/>
        </w:rPr>
      </w:pPr>
      <w:r>
        <w:rPr>
          <w:rFonts w:ascii="Arial" w:cs="Arial" w:eastAsia="Arial" w:hAnsi="Arial"/>
          <w:sz w:val="18"/>
          <w:szCs w:val="18"/>
          <w:color w:val="auto"/>
        </w:rPr>
        <w:t>Completed key expansion activities to bring installed capacity at Advanced Manufacturing Plant-1 to 90,000 vehicles per year.</w:t>
      </w:r>
    </w:p>
    <w:p>
      <w:pPr>
        <w:spacing w:after="0" w:line="390" w:lineRule="exact"/>
        <w:rPr>
          <w:sz w:val="20"/>
          <w:szCs w:val="20"/>
          <w:color w:val="auto"/>
        </w:rPr>
      </w:pPr>
    </w:p>
    <w:p>
      <w:pPr>
        <w:ind w:left="180" w:right="280"/>
        <w:spacing w:after="0" w:line="285" w:lineRule="auto"/>
        <w:rPr>
          <w:sz w:val="20"/>
          <w:szCs w:val="20"/>
          <w:color w:val="auto"/>
        </w:rPr>
      </w:pPr>
      <w:r>
        <w:rPr>
          <w:rFonts w:ascii="Arial" w:cs="Arial" w:eastAsia="Arial" w:hAnsi="Arial"/>
          <w:sz w:val="18"/>
          <w:szCs w:val="18"/>
          <w:color w:val="auto"/>
        </w:rPr>
        <w:t>Began expansion at Advanced Manufacturing Plant-2 in Saudi Arabia to enable completely-built-up unit production, adding an additional installed annual capacity of 150,000 vehicles.</w:t>
      </w:r>
    </w:p>
    <w:p>
      <w:pPr>
        <w:spacing w:after="0" w:line="215"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We have a robust and exciting series of additional milestones expected from this leadership team in 2025 and we will continue to endeavor to make the best decisions possible for both the present and future of the Company.</w:t>
      </w:r>
    </w:p>
    <w:p>
      <w:pPr>
        <w:spacing w:after="0" w:line="21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are also very aware that we are in an enterprise-building phase of our growth story. And we firmly believe that the people at Lucid are a big reason to be optimistic about our future. Therefore, we strive to attract and retain industry leading talent to the Company.</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thank you for being on this journey with us and we are committed to ensuring this journey is a rewarding one for all of our stakeholders.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Andrew Liveris, Chair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Ori Winitzer</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43</w:t>
      </w:r>
    </w:p>
    <w:p>
      <w:pPr>
        <w:sectPr>
          <w:pgSz w:w="11880" w:h="15480" w:orient="portrait"/>
          <w:cols w:equalWidth="0" w:num="1">
            <w:col w:w="10420"/>
          </w:cols>
          <w:pgMar w:left="720" w:top="876" w:right="740" w:bottom="0" w:gutter="0" w:footer="0" w:header="0"/>
          <w:type w:val="continuous"/>
        </w:sectPr>
      </w:pPr>
    </w:p>
    <w:bookmarkStart w:id="49" w:name="page50"/>
    <w:bookmarkEnd w:id="49"/>
    <w:p>
      <w:pPr>
        <w:ind w:left="2"/>
        <w:spacing w:after="0"/>
        <w:rPr>
          <w:sz w:val="20"/>
          <w:szCs w:val="20"/>
          <w:color w:val="auto"/>
        </w:rPr>
      </w:pPr>
      <w:r>
        <w:rPr>
          <w:rFonts w:ascii="Times New Roman" w:cs="Times New Roman" w:eastAsia="Times New Roman" w:hAnsi="Times New Roman"/>
          <w:sz w:val="40"/>
          <w:szCs w:val="40"/>
          <w:color w:val="auto"/>
        </w:rPr>
        <w:t>Compensation Discussion and Analysis</w:t>
      </w:r>
    </w:p>
    <w:p>
      <w:pPr>
        <w:spacing w:after="0" w:line="200" w:lineRule="exact"/>
        <w:rPr>
          <w:sz w:val="20"/>
          <w:szCs w:val="20"/>
          <w:color w:val="auto"/>
        </w:rPr>
      </w:pP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color w:val="auto"/>
        </w:rPr>
        <w:t>OVERVIEW</w:t>
      </w:r>
    </w:p>
    <w:p>
      <w:pPr>
        <w:spacing w:after="0" w:line="197" w:lineRule="exact"/>
        <w:rPr>
          <w:sz w:val="20"/>
          <w:szCs w:val="20"/>
          <w:color w:val="auto"/>
        </w:rPr>
      </w:pPr>
    </w:p>
    <w:p>
      <w:pPr>
        <w:jc w:val="both"/>
        <w:ind w:left="2" w:right="220"/>
        <w:spacing w:after="0" w:line="285" w:lineRule="auto"/>
        <w:rPr>
          <w:sz w:val="20"/>
          <w:szCs w:val="20"/>
          <w:color w:val="auto"/>
        </w:rPr>
      </w:pPr>
      <w:r>
        <w:rPr>
          <w:rFonts w:ascii="Arial" w:cs="Arial" w:eastAsia="Arial" w:hAnsi="Arial"/>
          <w:sz w:val="18"/>
          <w:szCs w:val="18"/>
          <w:color w:val="auto"/>
        </w:rPr>
        <w:t>This Compensation Discussion and Analysis (“CD&amp;A”) describes our executive compensation program in 2024 for our named executive officers (“NEOs”), including our compensation philosophy and process, the objectives and elements of the program, and the material factors considered in making compensation decisions.</w:t>
      </w:r>
    </w:p>
    <w:p>
      <w:pPr>
        <w:spacing w:after="0" w:line="220"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Our NEOs for 2024 included: (i) Peter Rawlinson, who stepped aside as our Chief Executive Officer (“CEO”) and Chief Technology Officer and was appointed as Strategic Technical Advisor to the Chairman of the Board on February 21, 2025,</w:t>
      </w:r>
    </w:p>
    <w:p>
      <w:pPr>
        <w:spacing w:after="0" w:line="1" w:lineRule="exact"/>
        <w:rPr>
          <w:sz w:val="20"/>
          <w:szCs w:val="20"/>
          <w:color w:val="auto"/>
        </w:rPr>
      </w:pPr>
    </w:p>
    <w:p>
      <w:pPr>
        <w:ind w:left="2" w:hanging="2"/>
        <w:spacing w:after="0" w:line="280" w:lineRule="auto"/>
        <w:tabs>
          <w:tab w:leader="none" w:pos="2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Gagan Dhingra, who served as our Interim Chief Financial Officer and was promoted from Vice President of Accounting to Senior Vice President, Finance and Accounting on February 25, 2025, (iii) Marc Winterhoff, who served as our Chief Operating Officer in 2024 and was appointed as Interim CEO on February 21, 2025, (iv) Eric Bach, our Senior Vice President, Product and Chief Engineer, and (v) Michael Bell, our former Senior Vice President, Digital, who stepped down from the position on May 3, 2024. Each individual who was serving as an executive officer (as defined under Rule 3b-7 of the Exchange Act) of the Company as of December 31, 2024 is included as a NEO.</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6"/>
          <w:szCs w:val="16"/>
          <w:color w:val="auto"/>
        </w:rPr>
        <w:t>BUSINESS HIGHLIGHTS AND KEY ACCOMPLISHMENTS FOR 2024</w:t>
      </w:r>
    </w:p>
    <w:p>
      <w:pPr>
        <w:spacing w:after="0" w:line="197" w:lineRule="exact"/>
        <w:rPr>
          <w:sz w:val="20"/>
          <w:szCs w:val="20"/>
          <w:color w:val="auto"/>
        </w:rPr>
      </w:pPr>
    </w:p>
    <w:p>
      <w:pPr>
        <w:ind w:left="2" w:right="540"/>
        <w:spacing w:after="0" w:line="292" w:lineRule="auto"/>
        <w:rPr>
          <w:sz w:val="20"/>
          <w:szCs w:val="20"/>
          <w:color w:val="auto"/>
        </w:rPr>
      </w:pPr>
      <w:r>
        <w:rPr>
          <w:rFonts w:ascii="Arial" w:cs="Arial" w:eastAsia="Arial" w:hAnsi="Arial"/>
          <w:sz w:val="18"/>
          <w:szCs w:val="18"/>
          <w:color w:val="auto"/>
        </w:rPr>
        <w:t>During fiscal year 2024, we significantly advanced our strategic initiatives and continued to set new standards and achieve recognition for our luxury electric vehicles.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173355</wp:posOffset>
                </wp:positionV>
                <wp:extent cx="661479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65pt" to="520.85pt,13.65pt" o:allowincell="f" strokecolor="#000000" strokeweight="0.499pt"/>
            </w:pict>
          </mc:Fallback>
        </mc:AlternateContent>
      </w:r>
    </w:p>
    <w:p>
      <w:pPr>
        <w:spacing w:after="0" w:line="384" w:lineRule="exact"/>
        <w:rPr>
          <w:sz w:val="20"/>
          <w:szCs w:val="20"/>
          <w:color w:val="auto"/>
        </w:rPr>
      </w:pPr>
    </w:p>
    <w:p>
      <w:pPr>
        <w:ind w:left="4042" w:right="320"/>
        <w:spacing w:after="0" w:line="238" w:lineRule="auto"/>
        <w:rPr>
          <w:sz w:val="20"/>
          <w:szCs w:val="20"/>
          <w:color w:val="auto"/>
        </w:rPr>
      </w:pPr>
      <w:r>
        <w:rPr>
          <w:rFonts w:ascii="Arial" w:cs="Arial" w:eastAsia="Arial" w:hAnsi="Arial"/>
          <w:sz w:val="16"/>
          <w:szCs w:val="16"/>
          <w:color w:val="auto"/>
        </w:rPr>
        <w:t>The Lucid Air was selected to Car and Driver’s highly anticipated and esteemed annual ranking, 10Best Cars for 2025, for the second consecutive year. The Lucid Air Pure and Touring trims were both included in 2025 and impressed editors with their modern design, stylish interface, impressive packaging and outstanding driving dynamics.</w:t>
      </w:r>
    </w:p>
    <w:p>
      <w:pPr>
        <w:spacing w:after="0" w:line="105" w:lineRule="exact"/>
        <w:rPr>
          <w:sz w:val="20"/>
          <w:szCs w:val="20"/>
          <w:color w:val="auto"/>
        </w:rPr>
      </w:pPr>
    </w:p>
    <w:p>
      <w:pPr>
        <w:ind w:left="4042" w:right="1120"/>
        <w:spacing w:after="0" w:line="242" w:lineRule="auto"/>
        <w:rPr>
          <w:sz w:val="20"/>
          <w:szCs w:val="20"/>
          <w:color w:val="auto"/>
        </w:rPr>
      </w:pPr>
      <w:r>
        <w:rPr>
          <w:rFonts w:ascii="Arial" w:cs="Arial" w:eastAsia="Arial" w:hAnsi="Arial"/>
          <w:sz w:val="16"/>
          <w:szCs w:val="16"/>
          <w:color w:val="auto"/>
        </w:rPr>
        <w:t>The Lucid Air secured the Best Luxury Electric Car award for the third consecutive year, for its unmatched range and outstanding driving performance.</w:t>
      </w:r>
    </w:p>
    <w:p>
      <w:pPr>
        <w:spacing w:after="0" w:line="101" w:lineRule="exact"/>
        <w:rPr>
          <w:sz w:val="20"/>
          <w:szCs w:val="20"/>
          <w:color w:val="auto"/>
        </w:rPr>
      </w:pPr>
    </w:p>
    <w:p>
      <w:pPr>
        <w:ind w:left="4042" w:right="680"/>
        <w:spacing w:after="0" w:line="250" w:lineRule="auto"/>
        <w:rPr>
          <w:sz w:val="20"/>
          <w:szCs w:val="20"/>
          <w:color w:val="auto"/>
        </w:rPr>
      </w:pPr>
      <w:r>
        <w:rPr>
          <w:rFonts w:ascii="Arial" w:cs="Arial" w:eastAsia="Arial" w:hAnsi="Arial"/>
          <w:sz w:val="16"/>
          <w:szCs w:val="16"/>
          <w:color w:val="auto"/>
        </w:rPr>
        <w:t>We received the prestigious Top Gear Electric Award for Best Luxury EV for Lucid Air Sapphire.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-1272540</wp:posOffset>
            </wp:positionV>
            <wp:extent cx="1031240" cy="128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a:extLst>
                        <a:ext uri="{28A0092B-C50C-407E-A947-70E740481C1C}"/>
                      </a:extLst>
                    </a:blip>
                    <a:srcRect/>
                    <a:stretch>
                      <a:fillRect/>
                    </a:stretch>
                  </pic:blipFill>
                  <pic:spPr bwMode="auto">
                    <a:xfrm>
                      <a:off x="0" y="0"/>
                      <a:ext cx="1031240" cy="1289050"/>
                    </a:xfrm>
                    <a:prstGeom prst="rect">
                      <a:avLst/>
                    </a:prstGeom>
                    <a:noFill/>
                  </pic:spPr>
                </pic:pic>
              </a:graphicData>
            </a:graphic>
          </wp:anchor>
        </w:drawing>
      </w:r>
    </w:p>
    <w:p>
      <w:pPr>
        <w:spacing w:after="0" w:line="148" w:lineRule="exact"/>
        <w:rPr>
          <w:sz w:val="20"/>
          <w:szCs w:val="20"/>
          <w:color w:val="auto"/>
        </w:rPr>
      </w:pPr>
    </w:p>
    <w:p>
      <w:pPr>
        <w:ind w:left="182"/>
        <w:spacing w:after="0"/>
        <w:rPr>
          <w:sz w:val="20"/>
          <w:szCs w:val="20"/>
          <w:color w:val="auto"/>
        </w:rPr>
      </w:pPr>
      <w:r>
        <w:rPr>
          <w:rFonts w:ascii="Arial" w:cs="Arial" w:eastAsia="Arial" w:hAnsi="Arial"/>
          <w:sz w:val="16"/>
          <w:szCs w:val="16"/>
          <w:color w:val="auto"/>
        </w:rPr>
        <w:t>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wp:posOffset>
                </wp:positionV>
                <wp:extent cx="661479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5pt" to="520.85pt,7.55pt" o:allowincell="f" strokecolor="#000000" strokeweight="0.249pt"/>
            </w:pict>
          </mc:Fallback>
        </mc:AlternateContent>
      </w:r>
    </w:p>
    <w:p>
      <w:pPr>
        <w:spacing w:after="0" w:line="256" w:lineRule="exact"/>
        <w:rPr>
          <w:sz w:val="20"/>
          <w:szCs w:val="20"/>
          <w:color w:val="auto"/>
        </w:rPr>
      </w:pPr>
    </w:p>
    <w:p>
      <w:pPr>
        <w:ind w:left="4042" w:right="480"/>
        <w:spacing w:after="0" w:line="243" w:lineRule="auto"/>
        <w:rPr>
          <w:sz w:val="20"/>
          <w:szCs w:val="20"/>
          <w:color w:val="auto"/>
        </w:rPr>
      </w:pPr>
      <w:r>
        <w:rPr>
          <w:rFonts w:ascii="Arial" w:cs="Arial" w:eastAsia="Arial" w:hAnsi="Arial"/>
          <w:sz w:val="16"/>
          <w:szCs w:val="16"/>
          <w:color w:val="auto"/>
        </w:rPr>
        <w:t>In the four consecutive quarters of 2024, we delivered 1,967, 2,394, 2,781, and 3,099 vehicles, respectively, achieving an impressive 71% year-over-year growth.</w:t>
      </w:r>
    </w:p>
    <w:p>
      <w:pPr>
        <w:spacing w:after="0" w:line="285" w:lineRule="exact"/>
        <w:rPr>
          <w:sz w:val="20"/>
          <w:szCs w:val="20"/>
          <w:color w:val="auto"/>
        </w:rPr>
      </w:pPr>
    </w:p>
    <w:p>
      <w:pPr>
        <w:ind w:left="4042" w:right="300"/>
        <w:spacing w:after="0" w:line="242" w:lineRule="auto"/>
        <w:rPr>
          <w:sz w:val="20"/>
          <w:szCs w:val="20"/>
          <w:color w:val="auto"/>
        </w:rPr>
      </w:pPr>
      <w:r>
        <w:rPr>
          <w:rFonts w:ascii="Arial" w:cs="Arial" w:eastAsia="Arial" w:hAnsi="Arial"/>
          <w:sz w:val="16"/>
          <w:szCs w:val="16"/>
          <w:color w:val="auto"/>
        </w:rPr>
        <w:t>We also significantly improved our gross margin and working capital, as well as strengthened our balance sheet, ending 2024 with approximately $6.13 billion in total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-739140</wp:posOffset>
            </wp:positionV>
            <wp:extent cx="2163445" cy="850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8">
                      <a:extLst>
                        <a:ext uri="{28A0092B-C50C-407E-A947-70E740481C1C}"/>
                      </a:extLst>
                    </a:blip>
                    <a:srcRect/>
                    <a:stretch>
                      <a:fillRect/>
                    </a:stretch>
                  </pic:blipFill>
                  <pic:spPr bwMode="auto">
                    <a:xfrm>
                      <a:off x="0" y="0"/>
                      <a:ext cx="2163445" cy="850265"/>
                    </a:xfrm>
                    <a:prstGeom prst="rect">
                      <a:avLst/>
                    </a:prstGeom>
                    <a:noFill/>
                  </pic:spPr>
                </pic:pic>
              </a:graphicData>
            </a:graphic>
          </wp:anchor>
        </w:drawing>
      </w:r>
    </w:p>
    <w:p>
      <w:pPr>
        <w:spacing w:after="0" w:line="294" w:lineRule="exact"/>
        <w:rPr>
          <w:sz w:val="20"/>
          <w:szCs w:val="20"/>
          <w:color w:val="auto"/>
        </w:rPr>
      </w:pPr>
    </w:p>
    <w:p>
      <w:pPr>
        <w:ind w:left="182"/>
        <w:spacing w:after="0"/>
        <w:rPr>
          <w:sz w:val="20"/>
          <w:szCs w:val="20"/>
          <w:color w:val="auto"/>
        </w:rPr>
      </w:pPr>
      <w:r>
        <w:rPr>
          <w:rFonts w:ascii="Arial" w:cs="Arial" w:eastAsia="Arial" w:hAnsi="Arial"/>
          <w:sz w:val="16"/>
          <w:szCs w:val="16"/>
          <w:color w:val="auto"/>
        </w:rPr>
        <w:t>Four Consecutive Quarter of Record</w:t>
      </w:r>
    </w:p>
    <w:p>
      <w:pPr>
        <w:ind w:left="182"/>
        <w:spacing w:after="0"/>
        <w:rPr>
          <w:sz w:val="20"/>
          <w:szCs w:val="20"/>
          <w:color w:val="auto"/>
        </w:rPr>
      </w:pPr>
      <w:r>
        <w:rPr>
          <w:rFonts w:ascii="Arial" w:cs="Arial" w:eastAsia="Arial" w:hAnsi="Arial"/>
          <w:sz w:val="16"/>
          <w:szCs w:val="16"/>
          <w:color w:val="auto"/>
        </w:rPr>
        <w:t>Deliveries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wp:posOffset>
                </wp:positionV>
                <wp:extent cx="66147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5pt" to="520.85pt,7.55pt" o:allowincell="f" strokecolor="#000000" strokeweight="0.249pt"/>
            </w:pict>
          </mc:Fallback>
        </mc:AlternateContent>
      </w:r>
    </w:p>
    <w:p>
      <w:pPr>
        <w:spacing w:after="0" w:line="256" w:lineRule="exact"/>
        <w:rPr>
          <w:sz w:val="20"/>
          <w:szCs w:val="20"/>
          <w:color w:val="auto"/>
        </w:rPr>
      </w:pPr>
    </w:p>
    <w:p>
      <w:pPr>
        <w:ind w:left="4042" w:right="360"/>
        <w:spacing w:after="0" w:line="242" w:lineRule="auto"/>
        <w:rPr>
          <w:sz w:val="20"/>
          <w:szCs w:val="20"/>
          <w:color w:val="auto"/>
        </w:rPr>
      </w:pPr>
      <w:r>
        <w:rPr>
          <w:rFonts w:ascii="Arial" w:cs="Arial" w:eastAsia="Arial" w:hAnsi="Arial"/>
          <w:sz w:val="16"/>
          <w:szCs w:val="16"/>
          <w:color w:val="auto"/>
        </w:rPr>
        <w:t>We started the production of the Lucid Gravity at our Advanced Manufacturing Plant-1 (“AMP-1”) factory in Arizona and delivered to customers (employees, friends and families) before end of December 2024.</w:t>
      </w:r>
    </w:p>
    <w:p>
      <w:pPr>
        <w:spacing w:after="0" w:line="101" w:lineRule="exact"/>
        <w:rPr>
          <w:sz w:val="20"/>
          <w:szCs w:val="20"/>
          <w:color w:val="auto"/>
        </w:rPr>
      </w:pPr>
    </w:p>
    <w:p>
      <w:pPr>
        <w:ind w:left="4042" w:right="320"/>
        <w:spacing w:after="0" w:line="239" w:lineRule="auto"/>
        <w:rPr>
          <w:sz w:val="20"/>
          <w:szCs w:val="20"/>
          <w:color w:val="auto"/>
        </w:rPr>
      </w:pPr>
      <w:r>
        <w:rPr>
          <w:rFonts w:ascii="Arial" w:cs="Arial" w:eastAsia="Arial" w:hAnsi="Arial"/>
          <w:sz w:val="16"/>
          <w:szCs w:val="16"/>
          <w:color w:val="auto"/>
        </w:rPr>
        <w:t>The Lucid Gravity provides a space for up to seven adults, game-changing versatility, and an unparalleled driving experience. Leveraging Lucid’s in-house powertrain technology, we engineered the Lucid Gravity to deliver up to 450 miles of EPA-estimated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-850900</wp:posOffset>
            </wp:positionV>
            <wp:extent cx="2163445" cy="850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9">
                      <a:extLst>
                        <a:ext uri="{28A0092B-C50C-407E-A947-70E740481C1C}"/>
                      </a:extLst>
                    </a:blip>
                    <a:srcRect/>
                    <a:stretch>
                      <a:fillRect/>
                    </a:stretch>
                  </pic:blipFill>
                  <pic:spPr bwMode="auto">
                    <a:xfrm>
                      <a:off x="0" y="0"/>
                      <a:ext cx="2163445" cy="850265"/>
                    </a:xfrm>
                    <a:prstGeom prst="rect">
                      <a:avLst/>
                    </a:prstGeom>
                    <a:noFill/>
                  </pic:spPr>
                </pic:pic>
              </a:graphicData>
            </a:graphic>
          </wp:anchor>
        </w:drawing>
      </w:r>
    </w:p>
    <w:p>
      <w:pPr>
        <w:spacing w:after="0" w:line="122" w:lineRule="exact"/>
        <w:rPr>
          <w:sz w:val="20"/>
          <w:szCs w:val="20"/>
          <w:color w:val="auto"/>
        </w:rPr>
      </w:pPr>
    </w:p>
    <w:p>
      <w:pPr>
        <w:ind w:left="182"/>
        <w:spacing w:after="0"/>
        <w:rPr>
          <w:sz w:val="20"/>
          <w:szCs w:val="20"/>
          <w:color w:val="auto"/>
        </w:rPr>
      </w:pPr>
      <w:r>
        <w:rPr>
          <w:rFonts w:ascii="Arial" w:cs="Arial" w:eastAsia="Arial" w:hAnsi="Arial"/>
          <w:sz w:val="16"/>
          <w:szCs w:val="16"/>
          <w:color w:val="auto"/>
        </w:rPr>
        <w:t>Started the Production of the Lucid Gravity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66147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520.85pt,7.8pt" o:allowincell="f" strokecolor="#000000" strokeweight="0.499pt"/>
            </w:pict>
          </mc:Fallback>
        </mc:AlternateContent>
      </w:r>
    </w:p>
    <w:p>
      <w:pPr>
        <w:sectPr>
          <w:pgSz w:w="11880" w:h="15480" w:orient="portrait"/>
          <w:cols w:equalWidth="0" w:num="1">
            <w:col w:w="10422"/>
          </w:cols>
          <w:pgMar w:left="718"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876" w:right="740" w:bottom="0" w:gutter="0" w:footer="0" w:header="0"/>
          <w:type w:val="continuous"/>
        </w:sectPr>
      </w:pPr>
    </w:p>
    <w:bookmarkStart w:id="50" w:name="page51"/>
    <w:bookmarkEnd w:id="50"/>
    <w:p>
      <w:pPr>
        <w:ind w:left="4042" w:right="440"/>
        <w:spacing w:after="0" w:line="247" w:lineRule="auto"/>
        <w:rPr>
          <w:sz w:val="20"/>
          <w:szCs w:val="20"/>
          <w:color w:val="auto"/>
        </w:rPr>
      </w:pPr>
      <w:r>
        <w:rPr>
          <w:rFonts w:ascii="Arial" w:cs="Arial" w:eastAsia="Arial" w:hAnsi="Arial"/>
          <w:sz w:val="16"/>
          <w:szCs w:val="16"/>
          <w:color w:val="auto"/>
        </w:rPr>
        <mc:AlternateContent>
          <mc:Choice Requires="wps">
            <w:drawing>
              <wp:anchor simplePos="0" relativeHeight="251657728" behindDoc="1" locked="0" layoutInCell="0" allowOverlap="1">
                <wp:simplePos x="0" y="0"/>
                <wp:positionH relativeFrom="page">
                  <wp:posOffset>455930</wp:posOffset>
                </wp:positionH>
                <wp:positionV relativeFrom="page">
                  <wp:posOffset>573405</wp:posOffset>
                </wp:positionV>
                <wp:extent cx="66147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pt,45.15pt" to="556.75pt,45.15pt" o:allowincell="f" strokecolor="#000000" strokeweight="0.499pt">
                <w10:wrap anchorx="page" anchory="page"/>
              </v:line>
            </w:pict>
          </mc:Fallback>
        </mc:AlternateContent>
        <w:t>The 2025 Air Pure offers a remarkable 420 miles of EPA-estimated range, with just an 84-kWh battery pack, and thus achieves a landmark 5.0 miles per kilowatt hour of energy, making it the most efficient vehicle on the market today.</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-350520</wp:posOffset>
            </wp:positionV>
            <wp:extent cx="2163445" cy="850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0">
                      <a:extLst>
                        <a:ext uri="{28A0092B-C50C-407E-A947-70E740481C1C}"/>
                      </a:extLst>
                    </a:blip>
                    <a:srcRect/>
                    <a:stretch>
                      <a:fillRect/>
                    </a:stretch>
                  </pic:blipFill>
                  <pic:spPr bwMode="auto">
                    <a:xfrm>
                      <a:off x="0" y="0"/>
                      <a:ext cx="2163445" cy="85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2"/>
        <w:spacing w:after="0"/>
        <w:rPr>
          <w:sz w:val="20"/>
          <w:szCs w:val="20"/>
          <w:color w:val="auto"/>
        </w:rPr>
      </w:pPr>
      <w:r>
        <w:rPr>
          <w:rFonts w:ascii="Arial" w:cs="Arial" w:eastAsia="Arial" w:hAnsi="Arial"/>
          <w:sz w:val="16"/>
          <w:szCs w:val="16"/>
          <w:color w:val="auto"/>
        </w:rPr>
        <w:t>Unparalleled Range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wp:posOffset>
                </wp:positionV>
                <wp:extent cx="66147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5pt" to="520.85pt,7.55pt" o:allowincell="f" strokecolor="#000000" strokeweight="0.249pt"/>
            </w:pict>
          </mc:Fallback>
        </mc:AlternateContent>
      </w:r>
    </w:p>
    <w:p>
      <w:pPr>
        <w:sectPr>
          <w:pgSz w:w="11880" w:h="15480" w:orient="portrait"/>
          <w:cols w:equalWidth="0" w:num="1">
            <w:col w:w="10422"/>
          </w:cols>
          <w:pgMar w:left="718" w:top="103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2" w:right="440"/>
        <w:spacing w:after="0" w:line="251" w:lineRule="auto"/>
        <w:rPr>
          <w:sz w:val="20"/>
          <w:szCs w:val="20"/>
          <w:color w:val="auto"/>
        </w:rPr>
      </w:pPr>
      <w:r>
        <w:rPr>
          <w:rFonts w:ascii="Arial" w:cs="Arial" w:eastAsia="Arial" w:hAnsi="Arial"/>
          <w:sz w:val="16"/>
          <w:szCs w:val="16"/>
          <w:color w:val="auto"/>
        </w:rPr>
        <w:t>Advancements in Lucid’s Vertically Integrated Production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-1185545</wp:posOffset>
            </wp:positionV>
            <wp:extent cx="2163445" cy="850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a:extLst>
                        <a:ext uri="{28A0092B-C50C-407E-A947-70E740481C1C}"/>
                      </a:extLst>
                    </a:blip>
                    <a:srcRect/>
                    <a:stretch>
                      <a:fillRect/>
                    </a:stretch>
                  </pic:blipFill>
                  <pic:spPr bwMode="auto">
                    <a:xfrm>
                      <a:off x="0" y="0"/>
                      <a:ext cx="2163445" cy="850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680"/>
        <w:spacing w:after="0" w:line="242" w:lineRule="auto"/>
        <w:rPr>
          <w:sz w:val="20"/>
          <w:szCs w:val="20"/>
          <w:color w:val="auto"/>
        </w:rPr>
      </w:pPr>
      <w:r>
        <w:rPr>
          <w:rFonts w:ascii="Arial" w:cs="Arial" w:eastAsia="Arial" w:hAnsi="Arial"/>
          <w:sz w:val="16"/>
          <w:szCs w:val="16"/>
          <w:color w:val="auto"/>
        </w:rPr>
        <w:t>The Lucid Air and the Lucid Gravity are assembled at AMP-1. In 2024, we completed key expansion activities to bring installed capacity at AMP-1 to 90,000 vehicles per year.</w:t>
      </w:r>
    </w:p>
    <w:p>
      <w:pPr>
        <w:spacing w:after="0" w:line="101"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We also broke ground on the Advanced Manufacturing Plant-2 in Saudi Arabia (“AMP-2”). In 2024, we started an expansion at AMP-2 to enable completely-built-up unit production with an additional installed annual capacity of 150,000 vehicles.</w:t>
      </w:r>
    </w:p>
    <w:p>
      <w:pPr>
        <w:spacing w:after="0" w:line="286" w:lineRule="exact"/>
        <w:rPr>
          <w:sz w:val="20"/>
          <w:szCs w:val="20"/>
          <w:color w:val="auto"/>
        </w:rPr>
      </w:pPr>
    </w:p>
    <w:p>
      <w:pPr>
        <w:ind w:right="1180"/>
        <w:spacing w:after="0" w:line="250" w:lineRule="auto"/>
        <w:rPr>
          <w:sz w:val="20"/>
          <w:szCs w:val="20"/>
          <w:color w:val="auto"/>
        </w:rPr>
      </w:pPr>
      <w:r>
        <w:rPr>
          <w:rFonts w:ascii="Arial" w:cs="Arial" w:eastAsia="Arial" w:hAnsi="Arial"/>
          <w:sz w:val="16"/>
          <w:szCs w:val="16"/>
          <w:color w:val="auto"/>
        </w:rPr>
        <w:t>In addition, we achieved ISO 14001 / 45001 certification for AMP-2 manufacturing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-2566035</wp:posOffset>
                </wp:positionH>
                <wp:positionV relativeFrom="paragraph">
                  <wp:posOffset>106680</wp:posOffset>
                </wp:positionV>
                <wp:extent cx="66141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0499pt,8.4pt" to="318.75pt,8.4pt" o:allowincell="f" strokecolor="#000000" strokeweight="0.249pt"/>
            </w:pict>
          </mc:Fallback>
        </mc:AlternateContent>
      </w:r>
    </w:p>
    <w:p>
      <w:pPr>
        <w:spacing w:after="0" w:line="238" w:lineRule="exact"/>
        <w:rPr>
          <w:sz w:val="20"/>
          <w:szCs w:val="20"/>
          <w:color w:val="auto"/>
        </w:rPr>
      </w:pPr>
    </w:p>
    <w:p>
      <w:pPr>
        <w:sectPr>
          <w:pgSz w:w="11880" w:h="15480" w:orient="portrait"/>
          <w:cols w:equalWidth="0" w:num="2">
            <w:col w:w="3322" w:space="720"/>
            <w:col w:w="6380"/>
          </w:cols>
          <w:pgMar w:left="718" w:top="1032" w:right="740" w:bottom="0" w:gutter="0" w:footer="0" w:header="0"/>
          <w:type w:val="continuous"/>
        </w:sectPr>
      </w:pPr>
    </w:p>
    <w:p>
      <w:pPr>
        <w:spacing w:after="0" w:line="55" w:lineRule="exact"/>
        <w:rPr>
          <w:sz w:val="20"/>
          <w:szCs w:val="20"/>
          <w:color w:val="auto"/>
        </w:rPr>
      </w:pPr>
    </w:p>
    <w:p>
      <w:pPr>
        <w:ind w:left="4042" w:right="640"/>
        <w:spacing w:after="0" w:line="250" w:lineRule="auto"/>
        <w:rPr>
          <w:sz w:val="20"/>
          <w:szCs w:val="20"/>
          <w:color w:val="auto"/>
        </w:rPr>
      </w:pPr>
      <w:r>
        <w:rPr>
          <w:rFonts w:ascii="Arial" w:cs="Arial" w:eastAsia="Arial" w:hAnsi="Arial"/>
          <w:sz w:val="16"/>
          <w:szCs w:val="16"/>
          <w:color w:val="auto"/>
        </w:rPr>
        <w:t>Lucid Gravity, sold with a NACS charge port, gains wide access to the most available and convenient charging network without an adapter.</w:t>
      </w:r>
    </w:p>
    <w:p>
      <w:pPr>
        <w:spacing w:after="0" w:line="95" w:lineRule="exact"/>
        <w:rPr>
          <w:sz w:val="20"/>
          <w:szCs w:val="20"/>
          <w:color w:val="auto"/>
        </w:rPr>
      </w:pPr>
    </w:p>
    <w:p>
      <w:pPr>
        <w:ind w:left="4042" w:right="280"/>
        <w:spacing w:after="0" w:line="239" w:lineRule="auto"/>
        <w:rPr>
          <w:sz w:val="20"/>
          <w:szCs w:val="20"/>
          <w:color w:val="auto"/>
        </w:rPr>
      </w:pPr>
      <w:r>
        <w:rPr>
          <w:rFonts w:ascii="Arial" w:cs="Arial" w:eastAsia="Arial" w:hAnsi="Arial"/>
          <w:sz w:val="16"/>
          <w:szCs w:val="16"/>
          <w:color w:val="auto"/>
        </w:rPr>
        <w:t>The Lucid Air earned the highest possible overall safety rating from the National Highway Traffic Safety Administration for 2025, with the entire Lucid Air lineup receiving the maximum five-star scores for overall safety in frontal crash, side crash, and rollover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-737235</wp:posOffset>
            </wp:positionV>
            <wp:extent cx="2163445" cy="850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2">
                      <a:extLst>
                        <a:ext uri="{28A0092B-C50C-407E-A947-70E740481C1C}"/>
                      </a:extLst>
                    </a:blip>
                    <a:srcRect/>
                    <a:stretch>
                      <a:fillRect/>
                    </a:stretch>
                  </pic:blipFill>
                  <pic:spPr bwMode="auto">
                    <a:xfrm>
                      <a:off x="0" y="0"/>
                      <a:ext cx="2163445" cy="850900"/>
                    </a:xfrm>
                    <a:prstGeom prst="rect">
                      <a:avLst/>
                    </a:prstGeom>
                    <a:noFill/>
                  </pic:spPr>
                </pic:pic>
              </a:graphicData>
            </a:graphic>
          </wp:anchor>
        </w:drawing>
      </w:r>
    </w:p>
    <w:p>
      <w:pPr>
        <w:spacing w:after="0" w:line="297" w:lineRule="exact"/>
        <w:rPr>
          <w:sz w:val="20"/>
          <w:szCs w:val="20"/>
          <w:color w:val="auto"/>
        </w:rPr>
      </w:pPr>
    </w:p>
    <w:p>
      <w:pPr>
        <w:ind w:left="182"/>
        <w:spacing w:after="0"/>
        <w:rPr>
          <w:sz w:val="20"/>
          <w:szCs w:val="20"/>
          <w:color w:val="auto"/>
        </w:rPr>
      </w:pPr>
      <w:r>
        <w:rPr>
          <w:rFonts w:ascii="Arial" w:cs="Arial" w:eastAsia="Arial" w:hAnsi="Arial"/>
          <w:sz w:val="16"/>
          <w:szCs w:val="16"/>
          <w:color w:val="auto"/>
        </w:rPr>
        <w:t>Technological Advances for Customer</w:t>
      </w:r>
    </w:p>
    <w:p>
      <w:pPr>
        <w:ind w:left="182"/>
        <w:spacing w:after="0"/>
        <w:rPr>
          <w:sz w:val="20"/>
          <w:szCs w:val="20"/>
          <w:color w:val="auto"/>
        </w:rPr>
      </w:pPr>
      <w:r>
        <w:rPr>
          <w:rFonts w:ascii="Arial" w:cs="Arial" w:eastAsia="Arial" w:hAnsi="Arial"/>
          <w:sz w:val="16"/>
          <w:szCs w:val="16"/>
          <w:color w:val="auto"/>
        </w:rPr>
        <w:t>Convenience and Safety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wp:posOffset>
                </wp:positionV>
                <wp:extent cx="66147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5pt" to="520.85pt,7.55pt" o:allowincell="f" strokecolor="#000000" strokeweight="0.249pt"/>
            </w:pict>
          </mc:Fallback>
        </mc:AlternateContent>
      </w:r>
    </w:p>
    <w:p>
      <w:pPr>
        <w:spacing w:after="0" w:line="256" w:lineRule="exact"/>
        <w:rPr>
          <w:sz w:val="20"/>
          <w:szCs w:val="20"/>
          <w:color w:val="auto"/>
        </w:rPr>
      </w:pPr>
    </w:p>
    <w:p>
      <w:pPr>
        <w:ind w:left="4042" w:right="420"/>
        <w:spacing w:after="0" w:line="238" w:lineRule="auto"/>
        <w:rPr>
          <w:sz w:val="20"/>
          <w:szCs w:val="20"/>
          <w:color w:val="auto"/>
        </w:rPr>
      </w:pPr>
      <w:r>
        <w:rPr>
          <w:rFonts w:ascii="Arial" w:cs="Arial" w:eastAsia="Arial" w:hAnsi="Arial"/>
          <w:sz w:val="16"/>
          <w:szCs w:val="16"/>
          <w:color w:val="auto"/>
        </w:rPr>
        <w:t>The Lucid Air and the Lucid Gravity are true software-defined vehicles, designed to improve over time, with over-the-air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-546735</wp:posOffset>
            </wp:positionV>
            <wp:extent cx="2163445" cy="850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3">
                      <a:extLst>
                        <a:ext uri="{28A0092B-C50C-407E-A947-70E740481C1C}"/>
                      </a:extLst>
                    </a:blip>
                    <a:srcRect/>
                    <a:stretch>
                      <a:fillRect/>
                    </a:stretch>
                  </pic:blipFill>
                  <pic:spPr bwMode="auto">
                    <a:xfrm>
                      <a:off x="0" y="0"/>
                      <a:ext cx="2163445" cy="85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
        <w:spacing w:after="0"/>
        <w:rPr>
          <w:sz w:val="20"/>
          <w:szCs w:val="20"/>
          <w:color w:val="auto"/>
        </w:rPr>
      </w:pPr>
      <w:r>
        <w:rPr>
          <w:rFonts w:ascii="Arial" w:cs="Arial" w:eastAsia="Arial" w:hAnsi="Arial"/>
          <w:sz w:val="16"/>
          <w:szCs w:val="16"/>
          <w:color w:val="auto"/>
        </w:rPr>
        <w:t>Superior In-House Developed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66147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520.85pt,7.8pt" o:allowincell="f" strokecolor="#000000" strokeweight="0.499pt"/>
            </w:pict>
          </mc:Fallback>
        </mc:AlternateContent>
      </w:r>
    </w:p>
    <w:p>
      <w:pPr>
        <w:spacing w:after="0" w:line="200" w:lineRule="exact"/>
        <w:rPr>
          <w:sz w:val="20"/>
          <w:szCs w:val="20"/>
          <w:color w:val="auto"/>
        </w:rPr>
      </w:pPr>
    </w:p>
    <w:p>
      <w:pPr>
        <w:spacing w:after="0" w:line="205" w:lineRule="exact"/>
        <w:rPr>
          <w:sz w:val="20"/>
          <w:szCs w:val="20"/>
          <w:color w:val="auto"/>
        </w:rPr>
      </w:pPr>
    </w:p>
    <w:p>
      <w:pPr>
        <w:ind w:left="142" w:hanging="142"/>
        <w:spacing w:after="0"/>
        <w:tabs>
          <w:tab w:leader="none" w:pos="142" w:val="left"/>
        </w:tabs>
        <w:numPr>
          <w:ilvl w:val="0"/>
          <w:numId w:val="28"/>
        </w:numPr>
        <w:rPr>
          <w:rFonts w:ascii="Arial" w:cs="Arial" w:eastAsia="Arial" w:hAnsi="Arial"/>
          <w:sz w:val="17"/>
          <w:szCs w:val="17"/>
          <w:color w:val="auto"/>
          <w:vertAlign w:val="superscript"/>
        </w:rPr>
      </w:pPr>
      <w:r>
        <w:rPr>
          <w:rFonts w:ascii="Arial" w:cs="Arial" w:eastAsia="Arial" w:hAnsi="Arial"/>
          <w:sz w:val="11"/>
          <w:szCs w:val="11"/>
          <w:color w:val="auto"/>
        </w:rPr>
        <w:t>When equipped with 19” wheels; range and battery power vary with temperature, driving habits, charging and battery condition and actual results will vary.</w:t>
      </w:r>
    </w:p>
    <w:p>
      <w:pPr>
        <w:spacing w:after="0" w:line="255" w:lineRule="exact"/>
        <w:rPr>
          <w:sz w:val="20"/>
          <w:szCs w:val="20"/>
          <w:color w:val="auto"/>
        </w:rPr>
      </w:pPr>
    </w:p>
    <w:p>
      <w:pPr>
        <w:ind w:left="2"/>
        <w:spacing w:after="0"/>
        <w:rPr>
          <w:sz w:val="20"/>
          <w:szCs w:val="20"/>
          <w:color w:val="auto"/>
        </w:rPr>
      </w:pPr>
      <w:r>
        <w:rPr>
          <w:rFonts w:ascii="Arial" w:cs="Arial" w:eastAsia="Arial" w:hAnsi="Arial"/>
          <w:sz w:val="16"/>
          <w:szCs w:val="16"/>
          <w:color w:val="auto"/>
        </w:rPr>
        <w:t>2024 PAY ACTIONS RELATED TO TARGET COMPENSATION</w:t>
      </w:r>
    </w:p>
    <w:p>
      <w:pPr>
        <w:spacing w:after="0" w:line="197" w:lineRule="exact"/>
        <w:rPr>
          <w:sz w:val="20"/>
          <w:szCs w:val="20"/>
          <w:color w:val="auto"/>
        </w:rPr>
      </w:pPr>
    </w:p>
    <w:p>
      <w:pPr>
        <w:ind w:left="2" w:right="80"/>
        <w:spacing w:after="0" w:line="296" w:lineRule="auto"/>
        <w:rPr>
          <w:sz w:val="20"/>
          <w:szCs w:val="20"/>
          <w:color w:val="auto"/>
        </w:rPr>
      </w:pPr>
      <w:r>
        <w:rPr>
          <w:rFonts w:ascii="Arial" w:cs="Arial" w:eastAsia="Arial" w:hAnsi="Arial"/>
          <w:sz w:val="18"/>
          <w:szCs w:val="18"/>
          <w:color w:val="auto"/>
        </w:rPr>
        <w:t>We believe our executive compensation program provides effective incentives for our NEOs to lead us to achieve significant future growth, thereby producing long-term value for our stockholders. In light of our key accomplishments through 2024, our Compensation and Human Capital Committee approved the following pay actions for our NEOs, each of which is more fully described below in this CD&amp;A:</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28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Pay Element</w:t>
            </w:r>
          </w:p>
        </w:tc>
        <w:tc>
          <w:tcPr>
            <w:tcW w:w="7620" w:type="dxa"/>
            <w:vAlign w:val="bottom"/>
            <w:shd w:val="clear" w:color="auto" w:fill="000000"/>
          </w:tcPr>
          <w:p>
            <w:pPr>
              <w:ind w:left="880"/>
              <w:spacing w:after="0"/>
              <w:rPr>
                <w:sz w:val="20"/>
                <w:szCs w:val="20"/>
                <w:color w:val="auto"/>
              </w:rPr>
            </w:pPr>
            <w:r>
              <w:rPr>
                <w:rFonts w:ascii="Arial" w:cs="Arial" w:eastAsia="Arial" w:hAnsi="Arial"/>
                <w:sz w:val="14"/>
                <w:szCs w:val="14"/>
                <w:color w:val="FFFFFF"/>
              </w:rPr>
              <w:t>Pay Action</w:t>
            </w:r>
          </w:p>
        </w:tc>
      </w:tr>
      <w:tr>
        <w:trPr>
          <w:trHeight w:val="69"/>
        </w:trPr>
        <w:tc>
          <w:tcPr>
            <w:tcW w:w="2800" w:type="dxa"/>
            <w:vAlign w:val="bottom"/>
            <w:shd w:val="clear" w:color="auto" w:fill="000000"/>
          </w:tcPr>
          <w:p>
            <w:pPr>
              <w:spacing w:after="0"/>
              <w:rPr>
                <w:sz w:val="5"/>
                <w:szCs w:val="5"/>
                <w:color w:val="auto"/>
              </w:rPr>
            </w:pPr>
          </w:p>
        </w:tc>
        <w:tc>
          <w:tcPr>
            <w:tcW w:w="7620" w:type="dxa"/>
            <w:vAlign w:val="bottom"/>
            <w:shd w:val="clear" w:color="auto" w:fill="000000"/>
          </w:tcPr>
          <w:p>
            <w:pPr>
              <w:spacing w:after="0"/>
              <w:rPr>
                <w:sz w:val="5"/>
                <w:szCs w:val="5"/>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6"/>
                <w:szCs w:val="16"/>
                <w:color w:val="auto"/>
              </w:rPr>
              <w:t>Base Salary</w:t>
            </w:r>
          </w:p>
        </w:tc>
        <w:tc>
          <w:tcPr>
            <w:tcW w:w="7620" w:type="dxa"/>
            <w:vAlign w:val="bottom"/>
          </w:tcPr>
          <w:p>
            <w:pPr>
              <w:ind w:left="880"/>
              <w:spacing w:after="0"/>
              <w:rPr>
                <w:sz w:val="20"/>
                <w:szCs w:val="20"/>
                <w:color w:val="auto"/>
              </w:rPr>
            </w:pPr>
            <w:r>
              <w:rPr>
                <w:rFonts w:ascii="Arial" w:cs="Arial" w:eastAsia="Arial" w:hAnsi="Arial"/>
                <w:sz w:val="16"/>
                <w:szCs w:val="16"/>
                <w:color w:val="auto"/>
              </w:rPr>
              <w:t>In January 2024, the Compensation and Human Capital Committee increased the</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base salaries by approximately 5% for Mr. Dhingra and 8% for Mr. Bach. Such</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increases were primarily based on executive performance, competitive peer group</w:t>
            </w:r>
          </w:p>
        </w:tc>
      </w:tr>
      <w:tr>
        <w:trPr>
          <w:trHeight w:val="197"/>
        </w:trPr>
        <w:tc>
          <w:tcPr>
            <w:tcW w:w="2800" w:type="dxa"/>
            <w:vAlign w:val="bottom"/>
          </w:tcPr>
          <w:p>
            <w:pPr>
              <w:spacing w:after="0"/>
              <w:rPr>
                <w:sz w:val="17"/>
                <w:szCs w:val="17"/>
                <w:color w:val="auto"/>
              </w:rPr>
            </w:pPr>
          </w:p>
        </w:tc>
        <w:tc>
          <w:tcPr>
            <w:tcW w:w="7620" w:type="dxa"/>
            <w:vAlign w:val="bottom"/>
          </w:tcPr>
          <w:p>
            <w:pPr>
              <w:ind w:left="1040"/>
              <w:spacing w:after="0"/>
              <w:rPr>
                <w:sz w:val="20"/>
                <w:szCs w:val="20"/>
                <w:color w:val="auto"/>
              </w:rPr>
            </w:pPr>
            <w:r>
              <w:rPr>
                <w:rFonts w:ascii="Arial" w:cs="Arial" w:eastAsia="Arial" w:hAnsi="Arial"/>
                <w:sz w:val="16"/>
                <w:szCs w:val="16"/>
                <w:color w:val="auto"/>
              </w:rPr>
              <w:t>data, and internal pay equity.</w:t>
            </w:r>
          </w:p>
        </w:tc>
      </w:tr>
      <w:tr>
        <w:trPr>
          <w:trHeight w:val="55"/>
        </w:trPr>
        <w:tc>
          <w:tcPr>
            <w:tcW w:w="2800" w:type="dxa"/>
            <w:vAlign w:val="bottom"/>
            <w:tcBorders>
              <w:bottom w:val="single" w:sz="8" w:color="auto"/>
            </w:tcBorders>
          </w:tcPr>
          <w:p>
            <w:pPr>
              <w:spacing w:after="0"/>
              <w:rPr>
                <w:sz w:val="4"/>
                <w:szCs w:val="4"/>
                <w:color w:val="auto"/>
              </w:rPr>
            </w:pPr>
          </w:p>
        </w:tc>
        <w:tc>
          <w:tcPr>
            <w:tcW w:w="7620" w:type="dxa"/>
            <w:vAlign w:val="bottom"/>
            <w:tcBorders>
              <w:bottom w:val="single" w:sz="8" w:color="auto"/>
            </w:tcBorders>
          </w:tcPr>
          <w:p>
            <w:pPr>
              <w:spacing w:after="0"/>
              <w:rPr>
                <w:sz w:val="4"/>
                <w:szCs w:val="4"/>
                <w:color w:val="auto"/>
              </w:rPr>
            </w:pPr>
          </w:p>
        </w:tc>
      </w:tr>
      <w:tr>
        <w:trPr>
          <w:trHeight w:val="207"/>
        </w:trPr>
        <w:tc>
          <w:tcPr>
            <w:tcW w:w="2800" w:type="dxa"/>
            <w:vAlign w:val="bottom"/>
          </w:tcPr>
          <w:p>
            <w:pPr>
              <w:ind w:left="180"/>
              <w:spacing w:after="0"/>
              <w:rPr>
                <w:sz w:val="20"/>
                <w:szCs w:val="20"/>
                <w:color w:val="auto"/>
              </w:rPr>
            </w:pPr>
            <w:r>
              <w:rPr>
                <w:rFonts w:ascii="Arial" w:cs="Arial" w:eastAsia="Arial" w:hAnsi="Arial"/>
                <w:sz w:val="16"/>
                <w:szCs w:val="16"/>
                <w:color w:val="auto"/>
              </w:rPr>
              <w:t>Annual Cash Incentive</w:t>
            </w:r>
          </w:p>
        </w:tc>
        <w:tc>
          <w:tcPr>
            <w:tcW w:w="7620" w:type="dxa"/>
            <w:vAlign w:val="bottom"/>
          </w:tcPr>
          <w:p>
            <w:pPr>
              <w:ind w:left="880"/>
              <w:spacing w:after="0"/>
              <w:rPr>
                <w:sz w:val="20"/>
                <w:szCs w:val="20"/>
                <w:color w:val="auto"/>
              </w:rPr>
            </w:pPr>
            <w:r>
              <w:rPr>
                <w:rFonts w:ascii="Arial" w:cs="Arial" w:eastAsia="Arial" w:hAnsi="Arial"/>
                <w:sz w:val="16"/>
                <w:szCs w:val="16"/>
                <w:color w:val="auto"/>
              </w:rPr>
              <w:t>In June 2024, the Board approved our annual cash incentive program for 2024,</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under which the target incentives were 100% of base salary for Mr. Rawlinson, 90%</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of base salary for Mr. Winterhoff, 75% of base salary for Mr. Bach, and 50% of base</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salary for Mr. Dhingra. Mr. Bell, who departed in May 2024, was not eligible for an</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annual bonus opportunity that year. The annual cash incentive program metrics</w:t>
            </w:r>
          </w:p>
        </w:tc>
      </w:tr>
      <w:tr>
        <w:trPr>
          <w:trHeight w:val="180"/>
        </w:trPr>
        <w:tc>
          <w:tcPr>
            <w:tcW w:w="2800" w:type="dxa"/>
            <w:vAlign w:val="bottom"/>
          </w:tcPr>
          <w:p>
            <w:pPr>
              <w:spacing w:after="0"/>
              <w:rPr>
                <w:sz w:val="15"/>
                <w:szCs w:val="15"/>
                <w:color w:val="auto"/>
              </w:rPr>
            </w:pPr>
          </w:p>
        </w:tc>
        <w:tc>
          <w:tcPr>
            <w:tcW w:w="7620" w:type="dxa"/>
            <w:vAlign w:val="bottom"/>
          </w:tcPr>
          <w:p>
            <w:pPr>
              <w:ind w:left="1040"/>
              <w:spacing w:after="0" w:line="180" w:lineRule="exact"/>
              <w:rPr>
                <w:sz w:val="20"/>
                <w:szCs w:val="20"/>
                <w:color w:val="auto"/>
              </w:rPr>
            </w:pPr>
            <w:r>
              <w:rPr>
                <w:rFonts w:ascii="Arial" w:cs="Arial" w:eastAsia="Arial" w:hAnsi="Arial"/>
                <w:sz w:val="16"/>
                <w:szCs w:val="16"/>
                <w:color w:val="auto"/>
              </w:rPr>
              <w:t>were deliveries, gross margin, free cash flow, and start of production of the Lucid</w:t>
            </w:r>
          </w:p>
        </w:tc>
      </w:tr>
      <w:tr>
        <w:trPr>
          <w:trHeight w:val="197"/>
        </w:trPr>
        <w:tc>
          <w:tcPr>
            <w:tcW w:w="2800" w:type="dxa"/>
            <w:vAlign w:val="bottom"/>
          </w:tcPr>
          <w:p>
            <w:pPr>
              <w:spacing w:after="0"/>
              <w:rPr>
                <w:sz w:val="17"/>
                <w:szCs w:val="17"/>
                <w:color w:val="auto"/>
              </w:rPr>
            </w:pPr>
          </w:p>
        </w:tc>
        <w:tc>
          <w:tcPr>
            <w:tcW w:w="7620" w:type="dxa"/>
            <w:vAlign w:val="bottom"/>
          </w:tcPr>
          <w:p>
            <w:pPr>
              <w:ind w:left="1040"/>
              <w:spacing w:after="0"/>
              <w:rPr>
                <w:sz w:val="20"/>
                <w:szCs w:val="20"/>
                <w:color w:val="auto"/>
              </w:rPr>
            </w:pPr>
            <w:r>
              <w:rPr>
                <w:rFonts w:ascii="Arial" w:cs="Arial" w:eastAsia="Arial" w:hAnsi="Arial"/>
                <w:sz w:val="16"/>
                <w:szCs w:val="16"/>
                <w:color w:val="auto"/>
              </w:rPr>
              <w:t>Gravity, with an individual performance modifier.</w:t>
            </w:r>
          </w:p>
        </w:tc>
      </w:tr>
      <w:tr>
        <w:trPr>
          <w:trHeight w:val="138"/>
        </w:trPr>
        <w:tc>
          <w:tcPr>
            <w:tcW w:w="2800" w:type="dxa"/>
            <w:vAlign w:val="bottom"/>
            <w:tcBorders>
              <w:bottom w:val="single" w:sz="8" w:color="auto"/>
            </w:tcBorders>
          </w:tcPr>
          <w:p>
            <w:pPr>
              <w:spacing w:after="0"/>
              <w:rPr>
                <w:sz w:val="11"/>
                <w:szCs w:val="11"/>
                <w:color w:val="auto"/>
              </w:rPr>
            </w:pPr>
          </w:p>
        </w:tc>
        <w:tc>
          <w:tcPr>
            <w:tcW w:w="762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ectPr>
          <w:pgSz w:w="11880" w:h="15480" w:orient="portrait"/>
          <w:cols w:equalWidth="0" w:num="1">
            <w:col w:w="10422"/>
          </w:cols>
          <w:pgMar w:left="718" w:top="1032" w:right="740" w:bottom="0" w:gutter="0" w:footer="0" w:header="0"/>
          <w:type w:val="continuous"/>
        </w:sectPr>
      </w:pPr>
    </w:p>
    <w:p>
      <w:pPr>
        <w:spacing w:after="0" w:line="383"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45</w:t>
      </w:r>
    </w:p>
    <w:p>
      <w:pPr>
        <w:sectPr>
          <w:pgSz w:w="11880" w:h="15480" w:orient="portrait"/>
          <w:cols w:equalWidth="0" w:num="1">
            <w:col w:w="10422"/>
          </w:cols>
          <w:pgMar w:left="718" w:top="1032" w:right="740" w:bottom="0" w:gutter="0" w:footer="0" w:header="0"/>
          <w:type w:val="continuous"/>
        </w:sectPr>
      </w:pPr>
    </w:p>
    <w:bookmarkStart w:id="51" w:name="page52"/>
    <w:bookmarkEnd w:id="51"/>
    <w:p>
      <w:pPr>
        <w:ind w:left="180"/>
        <w:spacing w:after="0"/>
        <w:tabs>
          <w:tab w:leader="none" w:pos="3660" w:val="left"/>
        </w:tabs>
        <w:rPr>
          <w:sz w:val="20"/>
          <w:szCs w:val="20"/>
          <w:color w:val="auto"/>
        </w:rPr>
      </w:pPr>
      <w:r>
        <w:rPr>
          <w:rFonts w:ascii="Arial" w:cs="Arial" w:eastAsia="Arial" w:hAnsi="Arial"/>
          <w:sz w:val="14"/>
          <w:szCs w:val="14"/>
          <w:color w:val="FFFFFF"/>
        </w:rPr>
        <mc:AlternateContent>
          <mc:Choice Requires="wps">
            <w:drawing>
              <wp:anchor simplePos="0" relativeHeight="251657728" behindDoc="1" locked="0" layoutInCell="0" allowOverlap="1">
                <wp:simplePos x="0" y="0"/>
                <wp:positionH relativeFrom="page">
                  <wp:posOffset>455930</wp:posOffset>
                </wp:positionH>
                <wp:positionV relativeFrom="page">
                  <wp:posOffset>633730</wp:posOffset>
                </wp:positionV>
                <wp:extent cx="6614795" cy="24384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243840"/>
                        </a:xfrm>
                        <a:prstGeom prst="rect">
                          <a:avLst/>
                        </a:prstGeom>
                        <a:solidFill>
                          <a:srgbClr val="000000"/>
                        </a:solidFill>
                      </wps:spPr>
                      <wps:bodyPr/>
                    </wps:wsp>
                  </a:graphicData>
                </a:graphic>
              </wp:anchor>
            </w:drawing>
          </mc:Choice>
          <mc:Fallback>
            <w:pict>
              <v:rect id="Shape 70" o:spid="_x0000_s1095" style="position:absolute;margin-left:35.9pt;margin-top:49.9pt;width:520.85pt;height:1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Pay Element</w:t>
      </w:r>
      <w:r>
        <w:rPr>
          <w:sz w:val="20"/>
          <w:szCs w:val="20"/>
          <w:color w:val="auto"/>
        </w:rPr>
        <w:tab/>
      </w:r>
      <w:r>
        <w:rPr>
          <w:rFonts w:ascii="Arial" w:cs="Arial" w:eastAsia="Arial" w:hAnsi="Arial"/>
          <w:sz w:val="14"/>
          <w:szCs w:val="14"/>
          <w:color w:val="FFFFFF"/>
        </w:rPr>
        <w:t>Pay Action</w:t>
      </w:r>
    </w:p>
    <w:p>
      <w:pPr>
        <w:spacing w:after="0" w:line="124" w:lineRule="exact"/>
        <w:rPr>
          <w:sz w:val="20"/>
          <w:szCs w:val="20"/>
          <w:color w:val="auto"/>
        </w:rPr>
      </w:pPr>
    </w:p>
    <w:p>
      <w:pPr>
        <w:ind w:left="180"/>
        <w:spacing w:after="0"/>
        <w:tabs>
          <w:tab w:leader="none" w:pos="3820" w:val="left"/>
        </w:tabs>
        <w:rPr>
          <w:sz w:val="20"/>
          <w:szCs w:val="20"/>
          <w:color w:val="auto"/>
        </w:rPr>
      </w:pPr>
      <w:r>
        <w:rPr>
          <w:rFonts w:ascii="Arial" w:cs="Arial" w:eastAsia="Arial" w:hAnsi="Arial"/>
          <w:sz w:val="16"/>
          <w:szCs w:val="16"/>
          <w:color w:val="auto"/>
        </w:rPr>
        <w:t>Long-Term Equity Incentives and 2024</w:t>
      </w:r>
      <w:r>
        <w:rPr>
          <w:sz w:val="20"/>
          <w:szCs w:val="20"/>
          <w:color w:val="auto"/>
        </w:rPr>
        <w:tab/>
      </w:r>
      <w:r>
        <w:rPr>
          <w:rFonts w:ascii="Arial" w:cs="Arial" w:eastAsia="Arial" w:hAnsi="Arial"/>
          <w:sz w:val="16"/>
          <w:szCs w:val="16"/>
          <w:color w:val="auto"/>
        </w:rPr>
        <w:t>In an ongoing effort to achieve strong support for our executive compensation</w:t>
      </w:r>
    </w:p>
    <w:p>
      <w:pPr>
        <w:ind w:left="3840" w:right="440" w:hanging="3651"/>
        <w:spacing w:after="0" w:line="237" w:lineRule="auto"/>
        <w:tabs>
          <w:tab w:leader="none" w:pos="3820" w:val="left"/>
        </w:tabs>
        <w:rPr>
          <w:sz w:val="20"/>
          <w:szCs w:val="20"/>
          <w:color w:val="auto"/>
        </w:rPr>
      </w:pPr>
      <w:r>
        <w:rPr>
          <w:rFonts w:ascii="Arial" w:cs="Arial" w:eastAsia="Arial" w:hAnsi="Arial"/>
          <w:sz w:val="16"/>
          <w:szCs w:val="16"/>
          <w:color w:val="auto"/>
        </w:rPr>
        <w:t>Equity Award Mix</w:t>
      </w:r>
      <w:r>
        <w:rPr>
          <w:sz w:val="20"/>
          <w:szCs w:val="20"/>
          <w:color w:val="auto"/>
        </w:rPr>
        <w:tab/>
      </w:r>
      <w:r>
        <w:rPr>
          <w:rFonts w:ascii="Arial" w:cs="Arial" w:eastAsia="Arial" w:hAnsi="Arial"/>
          <w:sz w:val="16"/>
          <w:szCs w:val="16"/>
          <w:color w:val="auto"/>
        </w:rPr>
        <w:t>program and to further align executive incentives with stockholder interests, the Compensation and Human Capital Committee considered and evaluated modifications to the long-term equity incentive component effective for 2024. Based on the feedback received from stockholder engagement and consistent with our pay-for-performance compensation philosophy, we maintained performance-based equity awards as a significant component of the equity awards program for our executive leaders (including our NEOs).</w:t>
      </w:r>
    </w:p>
    <w:p>
      <w:pPr>
        <w:spacing w:after="0" w:line="106" w:lineRule="exact"/>
        <w:rPr>
          <w:sz w:val="20"/>
          <w:szCs w:val="20"/>
          <w:color w:val="auto"/>
        </w:rPr>
      </w:pPr>
    </w:p>
    <w:p>
      <w:pPr>
        <w:ind w:left="3840" w:right="340"/>
        <w:spacing w:after="0"/>
        <w:rPr>
          <w:sz w:val="20"/>
          <w:szCs w:val="20"/>
          <w:color w:val="auto"/>
        </w:rPr>
      </w:pPr>
      <w:r>
        <w:rPr>
          <w:rFonts w:ascii="Arial" w:cs="Arial" w:eastAsia="Arial" w:hAnsi="Arial"/>
          <w:sz w:val="16"/>
          <w:szCs w:val="16"/>
          <w:color w:val="auto"/>
        </w:rPr>
        <w:t>For 2024, we continued to utilize performance-based restricted stock units (“PSUs”) as a core component of annual equity delivery, which are aligned with our financial, operational, and strategic goals. The Board, upon the recommendation of the Compensation and Human Capital Committee, also elected not to grant premium-priced stock options in 2024 and instead increased the weighting of PSUs to maintain linkage to stock price performance, while further aligning executive compensation with our financial, operational, and strategic objectives.</w:t>
      </w:r>
    </w:p>
    <w:p>
      <w:pPr>
        <w:spacing w:after="0" w:line="268" w:lineRule="exact"/>
        <w:rPr>
          <w:sz w:val="20"/>
          <w:szCs w:val="20"/>
          <w:color w:val="auto"/>
        </w:rPr>
      </w:pPr>
    </w:p>
    <w:p>
      <w:pPr>
        <w:ind w:left="3840" w:right="520"/>
        <w:spacing w:after="0" w:line="238" w:lineRule="auto"/>
        <w:rPr>
          <w:sz w:val="20"/>
          <w:szCs w:val="20"/>
          <w:color w:val="auto"/>
        </w:rPr>
      </w:pPr>
      <w:r>
        <w:rPr>
          <w:rFonts w:ascii="Arial" w:cs="Arial" w:eastAsia="Arial" w:hAnsi="Arial"/>
          <w:sz w:val="16"/>
          <w:szCs w:val="16"/>
          <w:color w:val="auto"/>
        </w:rPr>
        <w:t>We also restructured our long-term incentive plan to feature two one-year performance periods, each aligned with key corporate performance metrics for the respective years, in order to balance long-term and short-term objectives. Additionally, we have eliminated the individual performance modifier to underscore our commitment to collective effort and teamwork.</w:t>
      </w:r>
    </w:p>
    <w:p>
      <w:pPr>
        <w:spacing w:after="0" w:line="105" w:lineRule="exact"/>
        <w:rPr>
          <w:sz w:val="20"/>
          <w:szCs w:val="20"/>
          <w:color w:val="auto"/>
        </w:rPr>
      </w:pPr>
    </w:p>
    <w:p>
      <w:pPr>
        <w:ind w:left="3840" w:right="380"/>
        <w:spacing w:after="0" w:line="234" w:lineRule="auto"/>
        <w:rPr>
          <w:sz w:val="20"/>
          <w:szCs w:val="20"/>
          <w:color w:val="auto"/>
        </w:rPr>
      </w:pPr>
      <w:r>
        <w:rPr>
          <w:rFonts w:ascii="Arial" w:cs="Arial" w:eastAsia="Arial" w:hAnsi="Arial"/>
          <w:sz w:val="16"/>
          <w:szCs w:val="16"/>
          <w:color w:val="auto"/>
        </w:rPr>
        <w:t>For 2024, in accordance with the Company’s grant guidelines under its 2024 long-term incentive plan, the 2024 equity award mix for our NEOs was as follows:</w:t>
      </w:r>
    </w:p>
    <w:p>
      <w:pPr>
        <w:ind w:left="3840" w:right="300"/>
        <w:spacing w:after="0" w:line="237" w:lineRule="auto"/>
        <w:rPr>
          <w:sz w:val="20"/>
          <w:szCs w:val="20"/>
          <w:color w:val="auto"/>
        </w:rPr>
      </w:pPr>
      <w:r>
        <w:rPr>
          <w:rFonts w:ascii="Arial" w:cs="Arial" w:eastAsia="Arial" w:hAnsi="Arial"/>
          <w:sz w:val="16"/>
          <w:szCs w:val="16"/>
          <w:color w:val="auto"/>
        </w:rPr>
        <w:t>(1) for Mr. Bach, the 2024 equity award mix was allocated 60% to PSUs and 40% to time-based vesting restricted stock units (“RSUs”); (2) for Mr. Dhingra, the 2024 equity award mix was allocated 50% to PSUs and 50% to RSUs. For Mr. Winterhoff, 100% of the equity awards granted in 2024 were in the form of PSUs pursuant to his new hire compensation referenced in his offer letter. Mr. Bell, who departed in May 2024, was not eligible for an equity award in 2024.</w:t>
      </w:r>
    </w:p>
    <w:p>
      <w:pPr>
        <w:spacing w:after="0" w:line="107" w:lineRule="exact"/>
        <w:rPr>
          <w:sz w:val="20"/>
          <w:szCs w:val="20"/>
          <w:color w:val="auto"/>
        </w:rPr>
      </w:pPr>
    </w:p>
    <w:p>
      <w:pPr>
        <w:ind w:left="3840" w:right="360"/>
        <w:spacing w:after="0"/>
        <w:rPr>
          <w:sz w:val="20"/>
          <w:szCs w:val="20"/>
          <w:color w:val="auto"/>
        </w:rPr>
      </w:pPr>
      <w:r>
        <w:rPr>
          <w:rFonts w:ascii="Arial" w:cs="Arial" w:eastAsia="Arial" w:hAnsi="Arial"/>
          <w:sz w:val="16"/>
          <w:szCs w:val="16"/>
          <w:color w:val="auto"/>
        </w:rPr>
        <w:t>Following a review provided by the independent consultant, Pay Governance LLC (“Pay Governance”), and in view of still-outstanding value from the 2021 CEO Grant (defined below), the Compensation and Human Capital Committee determined not to grant Mr. Rawlinson an equity award in 2024, as confirmed by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203835</wp:posOffset>
                </wp:positionV>
                <wp:extent cx="661416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05pt" to="520.75pt,16.05pt" o:allowincell="f" strokecolor="#000000" strokeweight="0.499pt"/>
            </w:pict>
          </mc:Fallback>
        </mc:AlternateConten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COMPENSATION GOVERNANCE BEST PRACTICES</w:t>
      </w:r>
    </w:p>
    <w:p>
      <w:pPr>
        <w:spacing w:after="0" w:line="197" w:lineRule="exact"/>
        <w:rPr>
          <w:sz w:val="20"/>
          <w:szCs w:val="20"/>
          <w:color w:val="auto"/>
        </w:rPr>
      </w:pPr>
    </w:p>
    <w:p>
      <w:pPr>
        <w:jc w:val="both"/>
        <w:ind w:right="60"/>
        <w:spacing w:after="0" w:line="296" w:lineRule="auto"/>
        <w:rPr>
          <w:sz w:val="20"/>
          <w:szCs w:val="20"/>
          <w:color w:val="auto"/>
        </w:rPr>
      </w:pPr>
      <w:r>
        <w:rPr>
          <w:rFonts w:ascii="Arial" w:cs="Arial" w:eastAsia="Arial" w:hAnsi="Arial"/>
          <w:sz w:val="18"/>
          <w:szCs w:val="18"/>
          <w:color w:val="auto"/>
        </w:rPr>
        <w:t>We maintain strong corporate governance standards with respect to our executive and director compensation programs and are mindful of the perspectives of our stockholders. Our executive compensation program is guided by the following corporate governance best practices designed to protect the interests of our stockholders: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516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What We Do</w:t>
            </w:r>
          </w:p>
        </w:tc>
        <w:tc>
          <w:tcPr>
            <w:tcW w:w="5260" w:type="dxa"/>
            <w:vAlign w:val="bottom"/>
            <w:shd w:val="clear" w:color="auto" w:fill="000000"/>
          </w:tcPr>
          <w:p>
            <w:pPr>
              <w:ind w:left="140"/>
              <w:spacing w:after="0"/>
              <w:rPr>
                <w:sz w:val="20"/>
                <w:szCs w:val="20"/>
                <w:color w:val="auto"/>
              </w:rPr>
            </w:pPr>
            <w:r>
              <w:rPr>
                <w:rFonts w:ascii="Arial" w:cs="Arial" w:eastAsia="Arial" w:hAnsi="Arial"/>
                <w:sz w:val="14"/>
                <w:szCs w:val="14"/>
                <w:color w:val="FFFFFF"/>
              </w:rPr>
              <w:t>What We Don’t Do</w:t>
            </w:r>
          </w:p>
        </w:tc>
      </w:tr>
      <w:tr>
        <w:trPr>
          <w:trHeight w:val="69"/>
        </w:trPr>
        <w:tc>
          <w:tcPr>
            <w:tcW w:w="5160" w:type="dxa"/>
            <w:vAlign w:val="bottom"/>
            <w:shd w:val="clear" w:color="auto" w:fill="000000"/>
          </w:tcPr>
          <w:p>
            <w:pPr>
              <w:spacing w:after="0"/>
              <w:rPr>
                <w:sz w:val="5"/>
                <w:szCs w:val="5"/>
                <w:color w:val="auto"/>
              </w:rPr>
            </w:pPr>
          </w:p>
        </w:tc>
        <w:tc>
          <w:tcPr>
            <w:tcW w:w="5260" w:type="dxa"/>
            <w:vAlign w:val="bottom"/>
            <w:shd w:val="clear" w:color="auto" w:fill="000000"/>
          </w:tcPr>
          <w:p>
            <w:pPr>
              <w:spacing w:after="0"/>
              <w:rPr>
                <w:sz w:val="5"/>
                <w:szCs w:val="5"/>
                <w:color w:val="auto"/>
              </w:rPr>
            </w:pPr>
          </w:p>
        </w:tc>
      </w:tr>
      <w:tr>
        <w:trPr>
          <w:trHeight w:val="241"/>
        </w:trPr>
        <w:tc>
          <w:tcPr>
            <w:tcW w:w="5160" w:type="dxa"/>
            <w:vAlign w:val="bottom"/>
          </w:tcPr>
          <w:p>
            <w:pPr>
              <w:ind w:left="660"/>
              <w:spacing w:after="0"/>
              <w:rPr>
                <w:sz w:val="20"/>
                <w:szCs w:val="20"/>
                <w:color w:val="auto"/>
              </w:rPr>
            </w:pPr>
            <w:r>
              <w:rPr>
                <w:rFonts w:ascii="Arial" w:cs="Arial" w:eastAsia="Arial" w:hAnsi="Arial"/>
                <w:sz w:val="16"/>
                <w:szCs w:val="16"/>
                <w:i w:val="1"/>
                <w:iCs w:val="1"/>
                <w:color w:val="auto"/>
              </w:rPr>
              <w:t xml:space="preserve">Annual Compensation Review. </w:t>
            </w:r>
            <w:r>
              <w:rPr>
                <w:rFonts w:ascii="Arial" w:cs="Arial" w:eastAsia="Arial" w:hAnsi="Arial"/>
                <w:sz w:val="16"/>
                <w:szCs w:val="16"/>
                <w:color w:val="auto"/>
              </w:rPr>
              <w:t>The Compensation and</w:t>
            </w:r>
          </w:p>
        </w:tc>
        <w:tc>
          <w:tcPr>
            <w:tcW w:w="5260" w:type="dxa"/>
            <w:vAlign w:val="bottom"/>
          </w:tcPr>
          <w:p>
            <w:pPr>
              <w:ind w:left="620"/>
              <w:spacing w:after="0"/>
              <w:rPr>
                <w:sz w:val="20"/>
                <w:szCs w:val="20"/>
                <w:color w:val="auto"/>
              </w:rPr>
            </w:pPr>
            <w:r>
              <w:rPr>
                <w:rFonts w:ascii="Arial" w:cs="Arial" w:eastAsia="Arial" w:hAnsi="Arial"/>
                <w:sz w:val="16"/>
                <w:szCs w:val="16"/>
                <w:i w:val="1"/>
                <w:iCs w:val="1"/>
                <w:color w:val="auto"/>
              </w:rPr>
              <w:t xml:space="preserve">No Option/SAR Repricing or Buy Outs. </w:t>
            </w:r>
            <w:r>
              <w:rPr>
                <w:rFonts w:ascii="Arial" w:cs="Arial" w:eastAsia="Arial" w:hAnsi="Arial"/>
                <w:sz w:val="16"/>
                <w:szCs w:val="16"/>
                <w:color w:val="auto"/>
              </w:rPr>
              <w:t>Our Amended</w:t>
            </w: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Human Capital Committee conducts a review at least</w:t>
            </w:r>
          </w:p>
        </w:tc>
        <w:tc>
          <w:tcPr>
            <w:tcW w:w="5260" w:type="dxa"/>
            <w:vAlign w:val="bottom"/>
          </w:tcPr>
          <w:p>
            <w:pPr>
              <w:ind w:left="620"/>
              <w:spacing w:after="0" w:line="179" w:lineRule="exact"/>
              <w:rPr>
                <w:sz w:val="20"/>
                <w:szCs w:val="20"/>
                <w:color w:val="auto"/>
              </w:rPr>
            </w:pPr>
            <w:r>
              <w:rPr>
                <w:rFonts w:ascii="Arial" w:cs="Arial" w:eastAsia="Arial" w:hAnsi="Arial"/>
                <w:sz w:val="16"/>
                <w:szCs w:val="16"/>
                <w:color w:val="auto"/>
              </w:rPr>
              <w:t>and Restated 2021 Stock Incentive Plan prohibits,</w:t>
            </w: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annually of our executive compensation philosophy and</w:t>
            </w:r>
          </w:p>
        </w:tc>
        <w:tc>
          <w:tcPr>
            <w:tcW w:w="5260" w:type="dxa"/>
            <w:vAlign w:val="bottom"/>
          </w:tcPr>
          <w:p>
            <w:pPr>
              <w:ind w:left="620"/>
              <w:spacing w:after="0" w:line="179" w:lineRule="exact"/>
              <w:rPr>
                <w:sz w:val="20"/>
                <w:szCs w:val="20"/>
                <w:color w:val="auto"/>
              </w:rPr>
            </w:pPr>
            <w:r>
              <w:rPr>
                <w:rFonts w:ascii="Arial" w:cs="Arial" w:eastAsia="Arial" w:hAnsi="Arial"/>
                <w:sz w:val="16"/>
                <w:szCs w:val="16"/>
                <w:color w:val="auto"/>
              </w:rPr>
              <w:t>without stockholder approval, repricing of stock options</w:t>
            </w: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strategy, including a market assessment of executive pay</w:t>
            </w:r>
          </w:p>
        </w:tc>
        <w:tc>
          <w:tcPr>
            <w:tcW w:w="5260" w:type="dxa"/>
            <w:vAlign w:val="bottom"/>
          </w:tcPr>
          <w:p>
            <w:pPr>
              <w:ind w:left="620"/>
              <w:spacing w:after="0" w:line="179" w:lineRule="exact"/>
              <w:rPr>
                <w:sz w:val="20"/>
                <w:szCs w:val="20"/>
                <w:color w:val="auto"/>
              </w:rPr>
            </w:pPr>
            <w:r>
              <w:rPr>
                <w:rFonts w:ascii="Arial" w:cs="Arial" w:eastAsia="Arial" w:hAnsi="Arial"/>
                <w:sz w:val="16"/>
                <w:szCs w:val="16"/>
                <w:color w:val="auto"/>
              </w:rPr>
              <w:t>and stock appreciation rights, and buyouts of</w:t>
            </w:r>
          </w:p>
        </w:tc>
      </w:tr>
      <w:tr>
        <w:trPr>
          <w:trHeight w:val="197"/>
        </w:trPr>
        <w:tc>
          <w:tcPr>
            <w:tcW w:w="5160" w:type="dxa"/>
            <w:vAlign w:val="bottom"/>
          </w:tcPr>
          <w:p>
            <w:pPr>
              <w:ind w:left="660"/>
              <w:spacing w:after="0"/>
              <w:rPr>
                <w:sz w:val="20"/>
                <w:szCs w:val="20"/>
                <w:color w:val="auto"/>
              </w:rPr>
            </w:pPr>
            <w:r>
              <w:rPr>
                <w:rFonts w:ascii="Arial" w:cs="Arial" w:eastAsia="Arial" w:hAnsi="Arial"/>
                <w:sz w:val="16"/>
                <w:szCs w:val="16"/>
                <w:color w:val="auto"/>
              </w:rPr>
              <w:t>practices at peer companies.</w:t>
            </w:r>
          </w:p>
        </w:tc>
        <w:tc>
          <w:tcPr>
            <w:tcW w:w="5260" w:type="dxa"/>
            <w:vAlign w:val="bottom"/>
          </w:tcPr>
          <w:p>
            <w:pPr>
              <w:ind w:left="620"/>
              <w:spacing w:after="0"/>
              <w:rPr>
                <w:sz w:val="20"/>
                <w:szCs w:val="20"/>
                <w:color w:val="auto"/>
              </w:rPr>
            </w:pPr>
            <w:r>
              <w:rPr>
                <w:rFonts w:ascii="Arial" w:cs="Arial" w:eastAsia="Arial" w:hAnsi="Arial"/>
                <w:sz w:val="16"/>
                <w:szCs w:val="16"/>
                <w:color w:val="auto"/>
              </w:rPr>
              <w:t>underwater stock options and stock appreciation rights.</w:t>
            </w:r>
          </w:p>
        </w:tc>
      </w:tr>
      <w:tr>
        <w:trPr>
          <w:trHeight w:val="55"/>
        </w:trPr>
        <w:tc>
          <w:tcPr>
            <w:tcW w:w="516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r>
      <w:tr>
        <w:trPr>
          <w:trHeight w:val="219"/>
        </w:trPr>
        <w:tc>
          <w:tcPr>
            <w:tcW w:w="5160" w:type="dxa"/>
            <w:vAlign w:val="bottom"/>
          </w:tcPr>
          <w:p>
            <w:pPr>
              <w:ind w:left="660"/>
              <w:spacing w:after="0"/>
              <w:rPr>
                <w:sz w:val="20"/>
                <w:szCs w:val="20"/>
                <w:color w:val="auto"/>
              </w:rPr>
            </w:pPr>
            <w:r>
              <w:rPr>
                <w:rFonts w:ascii="Arial" w:cs="Arial" w:eastAsia="Arial" w:hAnsi="Arial"/>
                <w:sz w:val="16"/>
                <w:szCs w:val="16"/>
                <w:i w:val="1"/>
                <w:iCs w:val="1"/>
                <w:color w:val="auto"/>
              </w:rPr>
              <w:t xml:space="preserve">Annual Compensation-Related Risk Assessment. </w:t>
            </w:r>
            <w:r>
              <w:rPr>
                <w:rFonts w:ascii="Arial" w:cs="Arial" w:eastAsia="Arial" w:hAnsi="Arial"/>
                <w:sz w:val="16"/>
                <w:szCs w:val="16"/>
                <w:color w:val="auto"/>
              </w:rPr>
              <w:t>We</w:t>
            </w:r>
          </w:p>
        </w:tc>
        <w:tc>
          <w:tcPr>
            <w:tcW w:w="5260" w:type="dxa"/>
            <w:vAlign w:val="bottom"/>
          </w:tcPr>
          <w:p>
            <w:pPr>
              <w:ind w:left="620"/>
              <w:spacing w:after="0"/>
              <w:rPr>
                <w:sz w:val="20"/>
                <w:szCs w:val="20"/>
                <w:color w:val="auto"/>
              </w:rPr>
            </w:pPr>
            <w:r>
              <w:rPr>
                <w:rFonts w:ascii="Arial" w:cs="Arial" w:eastAsia="Arial" w:hAnsi="Arial"/>
                <w:sz w:val="16"/>
                <w:szCs w:val="16"/>
                <w:i w:val="1"/>
                <w:iCs w:val="1"/>
                <w:color w:val="auto"/>
              </w:rPr>
              <w:t xml:space="preserve">No Dividends on Unvested Awards. </w:t>
            </w:r>
            <w:r>
              <w:rPr>
                <w:rFonts w:ascii="Arial" w:cs="Arial" w:eastAsia="Arial" w:hAnsi="Arial"/>
                <w:sz w:val="16"/>
                <w:szCs w:val="16"/>
                <w:color w:val="auto"/>
              </w:rPr>
              <w:t>We do not pay</w:t>
            </w: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have strong risk and control policies, consider risk</w:t>
            </w:r>
          </w:p>
        </w:tc>
        <w:tc>
          <w:tcPr>
            <w:tcW w:w="5260" w:type="dxa"/>
            <w:vAlign w:val="bottom"/>
          </w:tcPr>
          <w:p>
            <w:pPr>
              <w:ind w:left="620"/>
              <w:spacing w:after="0" w:line="179" w:lineRule="exact"/>
              <w:rPr>
                <w:sz w:val="20"/>
                <w:szCs w:val="20"/>
                <w:color w:val="auto"/>
              </w:rPr>
            </w:pPr>
            <w:r>
              <w:rPr>
                <w:rFonts w:ascii="Arial" w:cs="Arial" w:eastAsia="Arial" w:hAnsi="Arial"/>
                <w:sz w:val="16"/>
                <w:szCs w:val="16"/>
                <w:color w:val="auto"/>
              </w:rPr>
              <w:t>dividends on unvested equity awards.</w:t>
            </w: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management when making executive compensation</w:t>
            </w:r>
          </w:p>
        </w:tc>
        <w:tc>
          <w:tcPr>
            <w:tcW w:w="5260" w:type="dxa"/>
            <w:vAlign w:val="bottom"/>
          </w:tcPr>
          <w:p>
            <w:pPr>
              <w:spacing w:after="0"/>
              <w:rPr>
                <w:sz w:val="15"/>
                <w:szCs w:val="15"/>
                <w:color w:val="auto"/>
              </w:rPr>
            </w:pP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decisions, and conduct an annual risk assessment of our</w:t>
            </w:r>
          </w:p>
        </w:tc>
        <w:tc>
          <w:tcPr>
            <w:tcW w:w="5260" w:type="dxa"/>
            <w:vAlign w:val="bottom"/>
          </w:tcPr>
          <w:p>
            <w:pPr>
              <w:spacing w:after="0"/>
              <w:rPr>
                <w:sz w:val="15"/>
                <w:szCs w:val="15"/>
                <w:color w:val="auto"/>
              </w:rPr>
            </w:pPr>
          </w:p>
        </w:tc>
      </w:tr>
      <w:tr>
        <w:trPr>
          <w:trHeight w:val="179"/>
        </w:trPr>
        <w:tc>
          <w:tcPr>
            <w:tcW w:w="5160" w:type="dxa"/>
            <w:vAlign w:val="bottom"/>
          </w:tcPr>
          <w:p>
            <w:pPr>
              <w:ind w:left="660"/>
              <w:spacing w:after="0" w:line="179" w:lineRule="exact"/>
              <w:rPr>
                <w:sz w:val="20"/>
                <w:szCs w:val="20"/>
                <w:color w:val="auto"/>
              </w:rPr>
            </w:pPr>
            <w:r>
              <w:rPr>
                <w:rFonts w:ascii="Arial" w:cs="Arial" w:eastAsia="Arial" w:hAnsi="Arial"/>
                <w:sz w:val="16"/>
                <w:szCs w:val="16"/>
                <w:color w:val="auto"/>
              </w:rPr>
              <w:t>compensation programs to promote prudent risk</w:t>
            </w:r>
          </w:p>
        </w:tc>
        <w:tc>
          <w:tcPr>
            <w:tcW w:w="5260" w:type="dxa"/>
            <w:vAlign w:val="bottom"/>
          </w:tcPr>
          <w:p>
            <w:pPr>
              <w:spacing w:after="0"/>
              <w:rPr>
                <w:sz w:val="15"/>
                <w:szCs w:val="15"/>
                <w:color w:val="auto"/>
              </w:rPr>
            </w:pPr>
          </w:p>
        </w:tc>
      </w:tr>
      <w:tr>
        <w:trPr>
          <w:trHeight w:val="197"/>
        </w:trPr>
        <w:tc>
          <w:tcPr>
            <w:tcW w:w="5160" w:type="dxa"/>
            <w:vAlign w:val="bottom"/>
          </w:tcPr>
          <w:p>
            <w:pPr>
              <w:ind w:left="660"/>
              <w:spacing w:after="0"/>
              <w:rPr>
                <w:sz w:val="20"/>
                <w:szCs w:val="20"/>
                <w:color w:val="auto"/>
              </w:rPr>
            </w:pPr>
            <w:r>
              <w:rPr>
                <w:rFonts w:ascii="Arial" w:cs="Arial" w:eastAsia="Arial" w:hAnsi="Arial"/>
                <w:sz w:val="16"/>
                <w:szCs w:val="16"/>
                <w:color w:val="auto"/>
              </w:rPr>
              <w:t>management.</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36195</wp:posOffset>
                </wp:positionV>
                <wp:extent cx="661416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85pt" to="520.75pt,2.85pt" o:allowincell="f" strokecolor="#000000" strokeweight="0.249pt"/>
            </w:pict>
          </mc:Fallback>
        </mc:AlternateContent>
        <w:drawing>
          <wp:anchor simplePos="0" relativeHeight="251657728" behindDoc="1" locked="0" layoutInCell="0" allowOverlap="1">
            <wp:simplePos x="0" y="0"/>
            <wp:positionH relativeFrom="column">
              <wp:posOffset>113030</wp:posOffset>
            </wp:positionH>
            <wp:positionV relativeFrom="paragraph">
              <wp:posOffset>-1316990</wp:posOffset>
            </wp:positionV>
            <wp:extent cx="86360" cy="863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-1316990</wp:posOffset>
            </wp:positionV>
            <wp:extent cx="86360" cy="86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113030</wp:posOffset>
            </wp:positionH>
            <wp:positionV relativeFrom="paragraph">
              <wp:posOffset>-664210</wp:posOffset>
            </wp:positionV>
            <wp:extent cx="86360" cy="86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-664210</wp:posOffset>
            </wp:positionV>
            <wp:extent cx="86360" cy="86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ectPr>
          <w:pgSz w:w="11880" w:h="15480" w:orient="portrait"/>
          <w:cols w:equalWidth="0" w:num="1">
            <w:col w:w="10420"/>
          </w:cols>
          <w:pgMar w:left="720" w:top="1141" w:right="740" w:bottom="0" w:gutter="0" w:footer="0" w:header="0"/>
        </w:sectPr>
      </w:pPr>
    </w:p>
    <w:p>
      <w:pPr>
        <w:spacing w:after="0" w:line="113" w:lineRule="exact"/>
        <w:rPr>
          <w:sz w:val="20"/>
          <w:szCs w:val="20"/>
          <w:color w:val="auto"/>
        </w:rPr>
      </w:pPr>
    </w:p>
    <w:p>
      <w:pPr>
        <w:ind w:left="660"/>
        <w:spacing w:after="0" w:line="242" w:lineRule="auto"/>
        <w:rPr>
          <w:sz w:val="20"/>
          <w:szCs w:val="20"/>
          <w:color w:val="auto"/>
        </w:rPr>
      </w:pPr>
      <w:r>
        <w:rPr>
          <w:rFonts w:ascii="Arial" w:cs="Arial" w:eastAsia="Arial" w:hAnsi="Arial"/>
          <w:sz w:val="16"/>
          <w:szCs w:val="16"/>
          <w:i w:val="1"/>
          <w:iCs w:val="1"/>
          <w:color w:val="auto"/>
        </w:rPr>
        <w:t xml:space="preserve">Balanced Short-Term and Long-Term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short- and long-term incentives to discourage short-term risk-taking at the expense of long-term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149860</wp:posOffset>
                </wp:positionV>
                <wp:extent cx="66141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8pt" to="520.75pt,11.8pt" o:allowincell="f" strokecolor="#000000" strokeweight="0.249pt"/>
            </w:pict>
          </mc:Fallback>
        </mc:AlternateContent>
        <w:drawing>
          <wp:anchor simplePos="0" relativeHeight="251657728" behindDoc="1" locked="0" layoutInCell="0" allowOverlap="1">
            <wp:simplePos x="0" y="0"/>
            <wp:positionH relativeFrom="column">
              <wp:posOffset>113030</wp:posOffset>
            </wp:positionH>
            <wp:positionV relativeFrom="paragraph">
              <wp:posOffset>-322580</wp:posOffset>
            </wp:positionV>
            <wp:extent cx="86360" cy="86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-322580</wp:posOffset>
            </wp:positionV>
            <wp:extent cx="86360" cy="863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40"/>
        <w:spacing w:after="0" w:line="239" w:lineRule="auto"/>
        <w:rPr>
          <w:sz w:val="20"/>
          <w:szCs w:val="20"/>
          <w:color w:val="auto"/>
        </w:rPr>
      </w:pPr>
      <w:r>
        <w:rPr>
          <w:rFonts w:ascii="Arial" w:cs="Arial" w:eastAsia="Arial" w:hAnsi="Arial"/>
          <w:sz w:val="16"/>
          <w:szCs w:val="16"/>
          <w:i w:val="1"/>
          <w:iCs w:val="1"/>
          <w:color w:val="auto"/>
        </w:rPr>
        <w:t xml:space="preserve">No “Single-Trigger” Change in Control Arrangements. </w:t>
      </w:r>
      <w:r>
        <w:rPr>
          <w:rFonts w:ascii="Arial" w:cs="Arial" w:eastAsia="Arial" w:hAnsi="Arial"/>
          <w:sz w:val="16"/>
          <w:szCs w:val="16"/>
          <w:color w:val="auto"/>
        </w:rPr>
        <w:t>We do not provide for “single-trigger” acceleration of equity or other compensation or benefits solely upon a change in control.</w:t>
      </w:r>
    </w:p>
    <w:p>
      <w:pPr>
        <w:spacing w:after="0" w:line="116" w:lineRule="exact"/>
        <w:rPr>
          <w:sz w:val="20"/>
          <w:szCs w:val="20"/>
          <w:color w:val="auto"/>
        </w:rPr>
      </w:pPr>
    </w:p>
    <w:p>
      <w:pPr>
        <w:sectPr>
          <w:pgSz w:w="11880" w:h="15480" w:orient="portrait"/>
          <w:cols w:equalWidth="0" w:num="2">
            <w:col w:w="5060" w:space="720"/>
            <w:col w:w="4640"/>
          </w:cols>
          <w:pgMar w:left="720" w:top="1141" w:right="740" w:bottom="0" w:gutter="0" w:footer="0" w:header="0"/>
          <w:type w:val="continuous"/>
        </w:sectPr>
      </w:pPr>
    </w:p>
    <w:p>
      <w:pPr>
        <w:ind w:left="660" w:right="460"/>
        <w:spacing w:after="0" w:line="239" w:lineRule="auto"/>
        <w:rPr>
          <w:sz w:val="20"/>
          <w:szCs w:val="20"/>
          <w:color w:val="auto"/>
        </w:rPr>
      </w:pPr>
      <w:r>
        <w:rPr>
          <w:rFonts w:ascii="Arial" w:cs="Arial" w:eastAsia="Arial" w:hAnsi="Arial"/>
          <w:sz w:val="16"/>
          <w:szCs w:val="16"/>
          <w:i w:val="1"/>
          <w:iCs w:val="1"/>
          <w:color w:val="auto"/>
        </w:rPr>
        <w:t xml:space="preserve">Independent Compensation and Human Capital Committee Advisor. </w:t>
      </w:r>
      <w:r>
        <w:rPr>
          <w:rFonts w:ascii="Arial" w:cs="Arial" w:eastAsia="Arial" w:hAnsi="Arial"/>
          <w:sz w:val="16"/>
          <w:szCs w:val="16"/>
          <w:color w:val="auto"/>
        </w:rPr>
        <w:t>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Committee engages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-434340</wp:posOffset>
            </wp:positionV>
            <wp:extent cx="86360" cy="863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0">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42" w:lineRule="auto"/>
        <w:rPr>
          <w:sz w:val="20"/>
          <w:szCs w:val="20"/>
          <w:color w:val="auto"/>
        </w:rPr>
      </w:pPr>
      <w:r>
        <w:rPr>
          <w:rFonts w:ascii="Arial" w:cs="Arial" w:eastAsia="Arial" w:hAnsi="Arial"/>
          <w:sz w:val="16"/>
          <w:szCs w:val="16"/>
          <w:i w:val="1"/>
          <w:iCs w:val="1"/>
          <w:color w:val="auto"/>
        </w:rPr>
        <w:t xml:space="preserve">No Excise Tax “Gross-Ups.” </w:t>
      </w:r>
      <w:r>
        <w:rPr>
          <w:rFonts w:ascii="Arial" w:cs="Arial" w:eastAsia="Arial" w:hAnsi="Arial"/>
          <w:sz w:val="16"/>
          <w:szCs w:val="16"/>
          <w:color w:val="auto"/>
        </w:rPr>
        <w:t>We do not provide any</w:t>
      </w:r>
      <w:r>
        <w:rPr>
          <w:rFonts w:ascii="Arial" w:cs="Arial" w:eastAsia="Arial" w:hAnsi="Arial"/>
          <w:sz w:val="16"/>
          <w:szCs w:val="16"/>
          <w:i w:val="1"/>
          <w:iCs w:val="1"/>
          <w:color w:val="auto"/>
        </w:rPr>
        <w:t xml:space="preserve"> </w:t>
      </w:r>
      <w:r>
        <w:rPr>
          <w:rFonts w:ascii="Arial" w:cs="Arial" w:eastAsia="Arial" w:hAnsi="Arial"/>
          <w:sz w:val="16"/>
          <w:szCs w:val="16"/>
          <w:color w:val="auto"/>
        </w:rPr>
        <w:t>excise tax “gross-ups” on severance or other payments in connection with a change in control.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-3670935</wp:posOffset>
                </wp:positionH>
                <wp:positionV relativeFrom="paragraph">
                  <wp:posOffset>178435</wp:posOffset>
                </wp:positionV>
                <wp:extent cx="661416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0499pt,14.05pt" to="231.75pt,14.05pt" o:allowincell="f" strokecolor="#000000" strokeweight="0.499pt"/>
            </w:pict>
          </mc:Fallback>
        </mc:AlternateContent>
        <w:drawing>
          <wp:anchor simplePos="0" relativeHeight="251657728" behindDoc="1" locked="0" layoutInCell="0" allowOverlap="1">
            <wp:simplePos x="0" y="0"/>
            <wp:positionH relativeFrom="column">
              <wp:posOffset>-306070</wp:posOffset>
            </wp:positionH>
            <wp:positionV relativeFrom="paragraph">
              <wp:posOffset>-322580</wp:posOffset>
            </wp:positionV>
            <wp:extent cx="86360" cy="863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1">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376" w:lineRule="exact"/>
        <w:rPr>
          <w:sz w:val="20"/>
          <w:szCs w:val="20"/>
          <w:color w:val="auto"/>
        </w:rPr>
      </w:pPr>
    </w:p>
    <w:p>
      <w:pPr>
        <w:sectPr>
          <w:pgSz w:w="11880" w:h="15480" w:orient="portrait"/>
          <w:cols w:equalWidth="0" w:num="2">
            <w:col w:w="5060" w:space="720"/>
            <w:col w:w="4640"/>
          </w:cols>
          <w:pgMar w:left="720" w:top="1141"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141" w:right="740" w:bottom="0" w:gutter="0" w:footer="0" w:header="0"/>
          <w:type w:val="continuous"/>
        </w:sectPr>
      </w:pPr>
    </w:p>
    <w:bookmarkStart w:id="52" w:name="page53"/>
    <w:bookmarkEnd w:id="52"/>
    <w:p>
      <w:pPr>
        <w:ind w:left="182"/>
        <w:spacing w:after="0"/>
        <w:rPr>
          <w:sz w:val="20"/>
          <w:szCs w:val="20"/>
          <w:color w:val="auto"/>
        </w:rPr>
      </w:pPr>
      <w:r>
        <w:rPr>
          <w:rFonts w:ascii="Arial" w:cs="Arial" w:eastAsia="Arial" w:hAnsi="Arial"/>
          <w:sz w:val="14"/>
          <w:szCs w:val="14"/>
          <w:color w:val="FFFFFF"/>
        </w:rPr>
        <w:t>What We Do</w:t>
      </w:r>
    </w:p>
    <w:p>
      <w:pPr>
        <w:spacing w:after="0" w:line="141" w:lineRule="exact"/>
        <w:rPr>
          <w:sz w:val="20"/>
          <w:szCs w:val="20"/>
          <w:color w:val="auto"/>
        </w:rPr>
      </w:pPr>
    </w:p>
    <w:p>
      <w:pPr>
        <w:ind w:left="662"/>
        <w:spacing w:after="0" w:line="237" w:lineRule="auto"/>
        <w:rPr>
          <w:sz w:val="20"/>
          <w:szCs w:val="20"/>
          <w:color w:val="auto"/>
        </w:rPr>
      </w:pPr>
      <w:r>
        <w:rPr>
          <w:rFonts w:ascii="Arial" w:cs="Arial" w:eastAsia="Arial" w:hAnsi="Arial"/>
          <w:sz w:val="16"/>
          <w:szCs w:val="16"/>
          <w:i w:val="1"/>
          <w:iCs w:val="1"/>
          <w:color w:val="auto"/>
        </w:rPr>
        <w:t xml:space="preserve">Independent Compensation and Human Capital Committee. </w:t>
      </w:r>
      <w:r>
        <w:rPr>
          <w:rFonts w:ascii="Arial" w:cs="Arial" w:eastAsia="Arial" w:hAnsi="Arial"/>
          <w:sz w:val="16"/>
          <w:szCs w:val="16"/>
          <w:color w:val="auto"/>
        </w:rPr>
        <w:t>The Compensation and Human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consists only of independent directors under Nasdaq rules, even though, as a controlled company, we are not required to have an independent compensation committee under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-661670</wp:posOffset>
            </wp:positionV>
            <wp:extent cx="86360" cy="863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2">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FFFFFF"/>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-3366135</wp:posOffset>
                </wp:positionH>
                <wp:positionV relativeFrom="paragraph">
                  <wp:posOffset>-191135</wp:posOffset>
                </wp:positionV>
                <wp:extent cx="6614160" cy="24193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241935"/>
                        </a:xfrm>
                        <a:prstGeom prst="rect">
                          <a:avLst/>
                        </a:prstGeom>
                        <a:solidFill>
                          <a:srgbClr val="000000"/>
                        </a:solidFill>
                      </wps:spPr>
                      <wps:bodyPr/>
                    </wps:wsp>
                  </a:graphicData>
                </a:graphic>
              </wp:anchor>
            </w:drawing>
          </mc:Choice>
          <mc:Fallback>
            <w:pict>
              <v:rect id="Shape 84" o:spid="_x0000_s1109" style="position:absolute;margin-left:-265.0499pt;margin-top:-15.0499pt;width:520.8pt;height: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21" w:lineRule="exact"/>
        <w:rPr>
          <w:sz w:val="20"/>
          <w:szCs w:val="20"/>
          <w:color w:val="auto"/>
        </w:rPr>
      </w:pPr>
    </w:p>
    <w:p>
      <w:pPr>
        <w:ind w:left="480" w:right="240"/>
        <w:spacing w:after="0" w:line="242" w:lineRule="auto"/>
        <w:rPr>
          <w:sz w:val="20"/>
          <w:szCs w:val="20"/>
          <w:color w:val="auto"/>
        </w:rPr>
      </w:pPr>
      <w:r>
        <w:rPr>
          <w:rFonts w:ascii="Arial" w:cs="Arial" w:eastAsia="Arial" w:hAnsi="Arial"/>
          <w:sz w:val="16"/>
          <w:szCs w:val="16"/>
          <w:i w:val="1"/>
          <w:iCs w:val="1"/>
          <w:color w:val="auto"/>
        </w:rPr>
        <w:t xml:space="preserve">No Hedging or Pledging Permitted. </w:t>
      </w:r>
      <w:r>
        <w:rPr>
          <w:rFonts w:ascii="Arial" w:cs="Arial" w:eastAsia="Arial" w:hAnsi="Arial"/>
          <w:sz w:val="16"/>
          <w:szCs w:val="16"/>
          <w:color w:val="auto"/>
        </w:rPr>
        <w:t>We prohibit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employees (including our NEOs) from hedging or pledging Lucid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-3366135</wp:posOffset>
                </wp:positionH>
                <wp:positionV relativeFrom="paragraph">
                  <wp:posOffset>405765</wp:posOffset>
                </wp:positionV>
                <wp:extent cx="661416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0499pt,31.95pt" to="255.75pt,31.95pt" o:allowincell="f" strokecolor="#000000" strokeweight="0.499pt"/>
            </w:pict>
          </mc:Fallback>
        </mc:AlternateContent>
        <w:drawing>
          <wp:anchor simplePos="0" relativeHeight="251657728" behindDoc="1" locked="0" layoutInCell="0" allowOverlap="1">
            <wp:simplePos x="0" y="0"/>
            <wp:positionH relativeFrom="column">
              <wp:posOffset>-1270</wp:posOffset>
            </wp:positionH>
            <wp:positionV relativeFrom="paragraph">
              <wp:posOffset>-322580</wp:posOffset>
            </wp:positionV>
            <wp:extent cx="86360" cy="863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3">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733" w:lineRule="exact"/>
        <w:rPr>
          <w:sz w:val="20"/>
          <w:szCs w:val="20"/>
          <w:color w:val="auto"/>
        </w:rPr>
      </w:pPr>
    </w:p>
    <w:p>
      <w:pPr>
        <w:sectPr>
          <w:pgSz w:w="11880" w:h="15480" w:orient="portrait"/>
          <w:cols w:equalWidth="0" w:num="2">
            <w:col w:w="5002" w:space="300"/>
            <w:col w:w="5120"/>
          </w:cols>
          <w:pgMar w:left="718" w:top="1138" w:right="740" w:bottom="0" w:gutter="0" w:footer="0" w:header="0"/>
        </w:sectPr>
      </w:pPr>
    </w:p>
    <w:p>
      <w:pPr>
        <w:spacing w:after="0" w:line="109" w:lineRule="exact"/>
        <w:rPr>
          <w:sz w:val="20"/>
          <w:szCs w:val="20"/>
          <w:color w:val="auto"/>
        </w:rPr>
      </w:pPr>
    </w:p>
    <w:p>
      <w:pPr>
        <w:ind w:left="2"/>
        <w:spacing w:after="0"/>
        <w:rPr>
          <w:sz w:val="20"/>
          <w:szCs w:val="20"/>
          <w:color w:val="auto"/>
        </w:rPr>
      </w:pPr>
      <w:r>
        <w:rPr>
          <w:rFonts w:ascii="Arial" w:cs="Arial" w:eastAsia="Arial" w:hAnsi="Arial"/>
          <w:sz w:val="16"/>
          <w:szCs w:val="16"/>
          <w:color w:val="auto"/>
        </w:rPr>
        <w:t>COMPENSATION PHILOSOPHY AND OBJECTIVES</w:t>
      </w:r>
    </w:p>
    <w:p>
      <w:pPr>
        <w:spacing w:after="0" w:line="197" w:lineRule="exact"/>
        <w:rPr>
          <w:sz w:val="20"/>
          <w:szCs w:val="20"/>
          <w:color w:val="auto"/>
        </w:rPr>
      </w:pPr>
    </w:p>
    <w:p>
      <w:pPr>
        <w:ind w:left="2" w:right="120"/>
        <w:spacing w:after="0" w:line="272" w:lineRule="auto"/>
        <w:rPr>
          <w:sz w:val="20"/>
          <w:szCs w:val="20"/>
          <w:color w:val="auto"/>
        </w:rPr>
      </w:pPr>
      <w:r>
        <w:rPr>
          <w:rFonts w:ascii="Arial" w:cs="Arial" w:eastAsia="Arial" w:hAnsi="Arial"/>
          <w:sz w:val="18"/>
          <w:szCs w:val="18"/>
          <w:color w:val="auto"/>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w:t>
      </w:r>
    </w:p>
    <w:p>
      <w:pPr>
        <w:spacing w:after="0" w:line="1" w:lineRule="exact"/>
        <w:rPr>
          <w:sz w:val="20"/>
          <w:szCs w:val="20"/>
          <w:color w:val="auto"/>
        </w:rPr>
      </w:pPr>
    </w:p>
    <w:p>
      <w:pPr>
        <w:ind w:left="2" w:hanging="2"/>
        <w:spacing w:after="0" w:line="276" w:lineRule="auto"/>
        <w:tabs>
          <w:tab w:leader="none" w:pos="2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closely aligning the interests of our NEOs with those of our stockholders by providing a significant portion of our NEOs’ compensation in equity and, with the emphasis of performance-based equity awards, linking a significant portion of equity compensation to performance-based results; and (iii) appropriately aligning compensation with both short-term and long-term Company performance measures and strategic objectives. Being a technology and automotive company that is setting new standards with the world’s most advanced electric vehicles, we seek to hire and retain experienced talent from the competitive technology sector who have the ability to lead across multiple disciplines and through our highly regulated industries.</w:t>
      </w:r>
    </w:p>
    <w:p>
      <w:pPr>
        <w:spacing w:after="0" w:line="200" w:lineRule="exact"/>
        <w:rPr>
          <w:sz w:val="20"/>
          <w:szCs w:val="20"/>
          <w:color w:val="auto"/>
        </w:rPr>
      </w:pPr>
    </w:p>
    <w:p>
      <w:pPr>
        <w:spacing w:after="0" w:line="260" w:lineRule="exact"/>
        <w:rPr>
          <w:sz w:val="20"/>
          <w:szCs w:val="20"/>
          <w:color w:val="auto"/>
        </w:rPr>
      </w:pPr>
    </w:p>
    <w:p>
      <w:pPr>
        <w:jc w:val="both"/>
        <w:ind w:left="2" w:right="20"/>
        <w:spacing w:after="0" w:line="280"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p>
    <w:p>
      <w:pPr>
        <w:spacing w:after="0" w:line="222" w:lineRule="exact"/>
        <w:rPr>
          <w:sz w:val="20"/>
          <w:szCs w:val="20"/>
          <w:color w:val="auto"/>
        </w:rPr>
      </w:pPr>
    </w:p>
    <w:p>
      <w:pPr>
        <w:ind w:left="2" w:right="280"/>
        <w:spacing w:after="0" w:line="287" w:lineRule="auto"/>
        <w:rPr>
          <w:sz w:val="20"/>
          <w:szCs w:val="20"/>
          <w:color w:val="auto"/>
        </w:rPr>
      </w:pPr>
      <w:r>
        <w:rPr>
          <w:rFonts w:ascii="Arial" w:cs="Arial" w:eastAsia="Arial" w:hAnsi="Arial"/>
          <w:sz w:val="18"/>
          <w:szCs w:val="18"/>
          <w:color w:val="auto"/>
        </w:rPr>
        <w:t>Our executive compensation program design reflects our pay-for-performance philosophy and includes a mix of three key compensation elements — base salary, annual cash incentive awards, and long-term equity incentive awards.</w:t>
      </w:r>
    </w:p>
    <w:p>
      <w:pPr>
        <w:spacing w:after="0" w:line="215" w:lineRule="exact"/>
        <w:rPr>
          <w:sz w:val="20"/>
          <w:szCs w:val="20"/>
          <w:color w:val="auto"/>
        </w:rPr>
      </w:pPr>
    </w:p>
    <w:p>
      <w:pPr>
        <w:ind w:left="2" w:right="40"/>
        <w:spacing w:after="0" w:line="276" w:lineRule="auto"/>
        <w:rPr>
          <w:sz w:val="20"/>
          <w:szCs w:val="20"/>
          <w:color w:val="auto"/>
        </w:rPr>
      </w:pPr>
      <w:r>
        <w:rPr>
          <w:rFonts w:ascii="Arial" w:cs="Arial" w:eastAsia="Arial" w:hAnsi="Arial"/>
          <w:sz w:val="18"/>
          <w:szCs w:val="18"/>
          <w:color w:val="auto"/>
        </w:rPr>
        <w:t>The Compensation and Human Capital Committee annually reviews and analyzes market trends (including compensation market data from an approved peer group of companies) and adjusts the design and operation of our executive compensation program from time to time as it deems appropriate. As we continue to grow as a public company, the Compensation and Human Capital Committee continues to consider the extent to which the equity compensation of our NEOs should be linked to performance-based results, and the Compensation and Human Capital Committee has recently taken action to further link equity compensation to performance-based results by approving performance-based equity awards, as briefly described below.</w:t>
      </w:r>
    </w:p>
    <w:p>
      <w:pPr>
        <w:spacing w:after="0" w:line="200" w:lineRule="exact"/>
        <w:rPr>
          <w:sz w:val="20"/>
          <w:szCs w:val="20"/>
          <w:color w:val="auto"/>
        </w:rPr>
      </w:pPr>
    </w:p>
    <w:p>
      <w:pPr>
        <w:spacing w:after="0" w:line="278" w:lineRule="exact"/>
        <w:rPr>
          <w:sz w:val="20"/>
          <w:szCs w:val="20"/>
          <w:color w:val="auto"/>
        </w:rPr>
      </w:pPr>
    </w:p>
    <w:p>
      <w:pPr>
        <w:ind w:left="2"/>
        <w:spacing w:after="0"/>
        <w:rPr>
          <w:sz w:val="20"/>
          <w:szCs w:val="20"/>
          <w:color w:val="auto"/>
        </w:rPr>
      </w:pPr>
      <w:r>
        <w:rPr>
          <w:rFonts w:ascii="Arial" w:cs="Arial" w:eastAsia="Arial" w:hAnsi="Arial"/>
          <w:sz w:val="16"/>
          <w:szCs w:val="16"/>
          <w:color w:val="auto"/>
        </w:rPr>
        <w:t>RECRUITMENT PHILOSOPHY AND OBJECTIVES</w:t>
      </w:r>
    </w:p>
    <w:p>
      <w:pPr>
        <w:spacing w:after="0" w:line="197" w:lineRule="exact"/>
        <w:rPr>
          <w:sz w:val="20"/>
          <w:szCs w:val="20"/>
          <w:color w:val="auto"/>
        </w:rPr>
      </w:pPr>
    </w:p>
    <w:p>
      <w:pPr>
        <w:ind w:left="2" w:right="80"/>
        <w:spacing w:after="0" w:line="279" w:lineRule="auto"/>
        <w:rPr>
          <w:sz w:val="20"/>
          <w:szCs w:val="20"/>
          <w:color w:val="auto"/>
        </w:rPr>
      </w:pPr>
      <w:r>
        <w:rPr>
          <w:rFonts w:ascii="Arial" w:cs="Arial" w:eastAsia="Arial" w:hAnsi="Arial"/>
          <w:sz w:val="18"/>
          <w:szCs w:val="18"/>
          <w:color w:val="auto"/>
        </w:rPr>
        <w:t>Lucid’s mission is to advance the state-of-the-art of EV technology for the benefit of all. At Lucid, we strongly believe in the power of our talented employees and partners to create, build, and support the most advanced EVs available in the global market. We seek to attract and retain employees whose respective professional backgrounds and individual skill sets can help craft an unparalleled suite of state-of-the-art, technologically advanced, California-inspired vehicles for consumers worldwide.</w:t>
      </w:r>
    </w:p>
    <w:p>
      <w:pPr>
        <w:spacing w:after="0" w:line="200" w:lineRule="exact"/>
        <w:rPr>
          <w:sz w:val="20"/>
          <w:szCs w:val="20"/>
          <w:color w:val="auto"/>
        </w:rPr>
      </w:pPr>
    </w:p>
    <w:p>
      <w:pPr>
        <w:spacing w:after="0" w:line="254" w:lineRule="exact"/>
        <w:rPr>
          <w:sz w:val="20"/>
          <w:szCs w:val="20"/>
          <w:color w:val="auto"/>
        </w:rPr>
      </w:pPr>
    </w:p>
    <w:p>
      <w:pPr>
        <w:ind w:left="2"/>
        <w:spacing w:after="0" w:line="276" w:lineRule="auto"/>
        <w:rPr>
          <w:sz w:val="20"/>
          <w:szCs w:val="20"/>
          <w:color w:val="auto"/>
        </w:rPr>
      </w:pPr>
      <w:r>
        <w:rPr>
          <w:rFonts w:ascii="Arial" w:cs="Arial" w:eastAsia="Arial" w:hAnsi="Arial"/>
          <w:sz w:val="18"/>
          <w:szCs w:val="18"/>
          <w:color w:val="auto"/>
        </w:rPr>
        <w:t>We recognize the critical importance of attracting, recruiting, developing, and retaining top talent at all levels of the organization through a comprehensive global human capital management strategy. The Compensation and Human Capital Committee oversees this strategy and receives regular updates from management, led by our Senior Vice President of People, on our global talent initiatives. Since 2024, we have successfully continued to strengthen our next-generation executive leadership team by hiring seasoned executives across key roles, including Mr. Taoufiq Boussaid, who joined as our Chief Financial Officer in the first quarter of 2025.</w:t>
      </w:r>
    </w:p>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color w:val="auto"/>
        </w:rPr>
        <w:t>EXECUTIVE COMPENSATION PROCESS</w:t>
      </w:r>
    </w:p>
    <w:p>
      <w:pPr>
        <w:spacing w:after="0" w:line="256" w:lineRule="exact"/>
        <w:rPr>
          <w:sz w:val="20"/>
          <w:szCs w:val="20"/>
          <w:color w:val="auto"/>
        </w:rPr>
      </w:pPr>
    </w:p>
    <w:p>
      <w:pPr>
        <w:ind w:left="2"/>
        <w:spacing w:after="0"/>
        <w:rPr>
          <w:sz w:val="20"/>
          <w:szCs w:val="20"/>
          <w:color w:val="auto"/>
        </w:rPr>
      </w:pPr>
      <w:r>
        <w:rPr>
          <w:rFonts w:ascii="Arial" w:cs="Arial" w:eastAsia="Arial" w:hAnsi="Arial"/>
          <w:sz w:val="18"/>
          <w:szCs w:val="18"/>
          <w:color w:val="auto"/>
        </w:rPr>
        <w:t>Roles of the Compensation and Human Capital Committee and Management</w:t>
      </w:r>
    </w:p>
    <w:p>
      <w:pPr>
        <w:spacing w:after="0" w:line="193" w:lineRule="exact"/>
        <w:rPr>
          <w:sz w:val="20"/>
          <w:szCs w:val="20"/>
          <w:color w:val="auto"/>
        </w:rPr>
      </w:pPr>
    </w:p>
    <w:p>
      <w:pPr>
        <w:ind w:left="2" w:right="60"/>
        <w:spacing w:after="0" w:line="280" w:lineRule="auto"/>
        <w:rPr>
          <w:sz w:val="20"/>
          <w:szCs w:val="20"/>
          <w:color w:val="auto"/>
        </w:rPr>
      </w:pPr>
      <w:r>
        <w:rPr>
          <w:rFonts w:ascii="Arial" w:cs="Arial" w:eastAsia="Arial" w:hAnsi="Arial"/>
          <w:sz w:val="18"/>
          <w:szCs w:val="18"/>
          <w:color w:val="auto"/>
        </w:rPr>
        <w:t>Our executive compensation program is administered primarily by the Compensation and Human Capital Committee, which is comprised entirely of independent directors under Nasdaq rules (even though, as a controlled company, we are not required to have an independent compensation committee under Nasdaq rules). The Compensation and Human</w:t>
      </w:r>
    </w:p>
    <w:p>
      <w:pPr>
        <w:sectPr>
          <w:pgSz w:w="11880" w:h="15480" w:orient="portrait"/>
          <w:cols w:equalWidth="0" w:num="1">
            <w:col w:w="10422"/>
          </w:cols>
          <w:pgMar w:left="718" w:top="1138" w:right="740" w:bottom="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47</w:t>
      </w:r>
    </w:p>
    <w:p>
      <w:pPr>
        <w:sectPr>
          <w:pgSz w:w="11880" w:h="15480" w:orient="portrait"/>
          <w:cols w:equalWidth="0" w:num="1">
            <w:col w:w="10422"/>
          </w:cols>
          <w:pgMar w:left="718" w:top="1138" w:right="740" w:bottom="0" w:gutter="0" w:footer="0" w:header="0"/>
          <w:type w:val="continuous"/>
        </w:sectPr>
      </w:pPr>
    </w:p>
    <w:bookmarkStart w:id="53" w:name="page54"/>
    <w:bookmarkEnd w:id="53"/>
    <w:p>
      <w:pPr>
        <w:ind w:right="80"/>
        <w:spacing w:after="0" w:line="292" w:lineRule="auto"/>
        <w:rPr>
          <w:sz w:val="20"/>
          <w:szCs w:val="20"/>
          <w:color w:val="auto"/>
        </w:rPr>
      </w:pPr>
      <w:r>
        <w:rPr>
          <w:rFonts w:ascii="Arial" w:cs="Arial" w:eastAsia="Arial" w:hAnsi="Arial"/>
          <w:sz w:val="18"/>
          <w:szCs w:val="18"/>
          <w:color w:val="auto"/>
        </w:rPr>
        <w:t>Capital Committee establishes our overall compensation philosophy and objectives and is responsible for establishing, overseeing, and evaluating our executive compensation program. The Compensation and Human Capital Committee reviews and assesses whether our executive compensation program aligns with our compensation philosophy and objectives and generally approves the cash compensation of our NEOs (other than the CEO), and recommends to the Board for approval, the cash compensation for our CEO and equity grants to our NEOs (including the CEO).</w:t>
      </w:r>
    </w:p>
    <w:p>
      <w:pPr>
        <w:spacing w:after="0" w:line="24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Compensation and Human Capital Committee also consults with and reviews feedback from members of our management team, including our CEO and Human Resources senior leadership, when making compensation decisions (other than for their own). Our CEO works closely with the Compensation and Human Capital Committee and provides the Compensation and Human Capital Committee with performance assessments and compensation recommendations for each NEO (other than himself), based on each NEO’s level of performance and overall Company performance. While the Compensation and Human Capital Committee considers our CEO’s recommendations, the Compensation and Human Capital Committee ultimately uses its own business judgment and experience in making compensation decisions and recommendations.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Role of Compensation Consultant</w:t>
      </w:r>
    </w:p>
    <w:p>
      <w:pPr>
        <w:spacing w:after="0" w:line="193" w:lineRule="exact"/>
        <w:rPr>
          <w:sz w:val="20"/>
          <w:szCs w:val="20"/>
          <w:color w:val="auto"/>
        </w:rPr>
      </w:pPr>
    </w:p>
    <w:p>
      <w:pPr>
        <w:ind w:right="320"/>
        <w:spacing w:after="0" w:line="315" w:lineRule="auto"/>
        <w:rPr>
          <w:sz w:val="20"/>
          <w:szCs w:val="20"/>
          <w:color w:val="auto"/>
        </w:rPr>
      </w:pPr>
      <w:r>
        <w:rPr>
          <w:rFonts w:ascii="Arial" w:cs="Arial" w:eastAsia="Arial" w:hAnsi="Arial"/>
          <w:sz w:val="18"/>
          <w:szCs w:val="18"/>
          <w:color w:val="auto"/>
        </w:rPr>
        <w:t>The Compensation and Human Capital Committee is directly responsible for the appointment, compensation and oversight of the work of any compensation advisor and has sole authority to approve all such advisors’ fees and other retention terms.</w:t>
      </w:r>
    </w:p>
    <w:p>
      <w:pPr>
        <w:spacing w:after="0" w:line="200" w:lineRule="exact"/>
        <w:rPr>
          <w:sz w:val="20"/>
          <w:szCs w:val="20"/>
          <w:color w:val="auto"/>
        </w:rPr>
      </w:pPr>
    </w:p>
    <w:p>
      <w:pPr>
        <w:spacing w:after="0" w:line="25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Compensation and Human Capital Committee has retained Pay Governance as its independent compensation consultant since November 2021 to provide the committee with advice and guidance on the design of our executive compensation program. The Nominating and Corporate Governance Committee also has retained Pay Governance as an independent consultant to assist with evaluating non-employee director compensation. Pay Governance provides the committees with market data and analysis on competitive compensation levels, practices and trends and provides recommendations when requested. Pay Governance has not provided any other services to us and has not received any compensation from us other than with respect to such services to the Compensation and Human Capital Committee and the Nominating and Corporate Governance Committee.</w:t>
      </w:r>
    </w:p>
    <w:p>
      <w:pPr>
        <w:spacing w:after="0" w:line="200" w:lineRule="exact"/>
        <w:rPr>
          <w:sz w:val="20"/>
          <w:szCs w:val="20"/>
          <w:color w:val="auto"/>
        </w:rPr>
      </w:pPr>
    </w:p>
    <w:p>
      <w:pPr>
        <w:spacing w:after="0" w:line="286" w:lineRule="exact"/>
        <w:rPr>
          <w:sz w:val="20"/>
          <w:szCs w:val="20"/>
          <w:color w:val="auto"/>
        </w:rPr>
      </w:pPr>
    </w:p>
    <w:p>
      <w:pPr>
        <w:jc w:val="both"/>
        <w:ind w:right="60"/>
        <w:spacing w:after="0" w:line="296" w:lineRule="auto"/>
        <w:rPr>
          <w:sz w:val="20"/>
          <w:szCs w:val="20"/>
          <w:color w:val="auto"/>
        </w:rPr>
      </w:pPr>
      <w:r>
        <w:rPr>
          <w:rFonts w:ascii="Arial" w:cs="Arial" w:eastAsia="Arial" w:hAnsi="Arial"/>
          <w:sz w:val="18"/>
          <w:szCs w:val="18"/>
          <w:color w:val="auto"/>
        </w:rPr>
        <w:t>Each year, the Compensation and Human Capital Committee reviews the independence of the compensation consultant and other advisors who provide advice to the Compensation and Human Capital Committee, utilizing the independence criteria and factors specified under Nasdaq rules.</w:t>
      </w:r>
    </w:p>
    <w:p>
      <w:pPr>
        <w:spacing w:after="0" w:line="236" w:lineRule="exact"/>
        <w:rPr>
          <w:sz w:val="20"/>
          <w:szCs w:val="20"/>
          <w:color w:val="auto"/>
        </w:rPr>
      </w:pPr>
    </w:p>
    <w:p>
      <w:pPr>
        <w:ind w:right="500"/>
        <w:spacing w:after="0" w:line="304" w:lineRule="auto"/>
        <w:rPr>
          <w:sz w:val="20"/>
          <w:szCs w:val="20"/>
          <w:color w:val="auto"/>
        </w:rPr>
      </w:pPr>
      <w:r>
        <w:rPr>
          <w:rFonts w:ascii="Arial" w:cs="Arial" w:eastAsia="Arial" w:hAnsi="Arial"/>
          <w:sz w:val="18"/>
          <w:szCs w:val="18"/>
          <w:color w:val="auto"/>
        </w:rPr>
        <w:t>The Compensation and Human Capital Committee has determined that Pay Governance is independent within the meaning of the Nasdaq rules, and Pay Governance’s work for the committee has not raised any conflicts of interest.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Peer Group</w:t>
      </w:r>
    </w:p>
    <w:p>
      <w:pPr>
        <w:spacing w:after="0" w:line="193"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In September 2023, based on input from management and Pay Governance, the Compensation and Human Capital Committee approved an executive compensation peer group to define external benchmarks to help inform compensation decision-making for 2024. While external benchmarks are not the only factor used in the Compensation and Human Capital Committee’s decision process, the Compensation and Human Capital Committee believes external benchmarks to be a valuable tool in understanding the competitive market as it develops compensation policies and practices intended to attract, motivate, and retain top-level talent.</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3" w:right="740" w:bottom="0" w:gutter="0" w:footer="0" w:header="0"/>
          <w:type w:val="continuous"/>
        </w:sectPr>
      </w:pPr>
    </w:p>
    <w:bookmarkStart w:id="54" w:name="page55"/>
    <w:bookmarkEnd w:id="54"/>
    <w:p>
      <w:pPr>
        <w:jc w:val="both"/>
        <w:ind w:right="20"/>
        <w:spacing w:after="0" w:line="278" w:lineRule="auto"/>
        <w:rPr>
          <w:sz w:val="20"/>
          <w:szCs w:val="20"/>
          <w:color w:val="auto"/>
        </w:rPr>
      </w:pPr>
      <w:r>
        <w:rPr>
          <w:rFonts w:ascii="Arial" w:cs="Arial" w:eastAsia="Arial" w:hAnsi="Arial"/>
          <w:sz w:val="18"/>
          <w:szCs w:val="18"/>
          <w:color w:val="auto"/>
        </w:rPr>
        <w:t>In developing the peer group, consideration was given to our unique combination of key attributes—high price-to-sales ratio, large-scale manufacturing, and a technology-heavy workforce. Our 2024 compensation peer group included the following companies based on the aforementioned criteria: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180975</wp:posOffset>
                </wp:positionV>
                <wp:extent cx="661416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25pt" to="520.75pt,14.25pt" o:allowincell="f" strokecolor="#000000" strokeweight="0.499pt"/>
            </w:pict>
          </mc:Fallback>
        </mc:AlternateConten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ind w:left="180"/>
              <w:spacing w:after="0"/>
              <w:rPr>
                <w:sz w:val="20"/>
                <w:szCs w:val="20"/>
                <w:color w:val="auto"/>
              </w:rPr>
            </w:pPr>
            <w:r>
              <w:rPr>
                <w:rFonts w:ascii="Arial" w:cs="Arial" w:eastAsia="Arial" w:hAnsi="Arial"/>
                <w:sz w:val="16"/>
                <w:szCs w:val="16"/>
                <w:color w:val="auto"/>
              </w:rPr>
              <w:t>Airbnb, Inc.</w:t>
            </w:r>
          </w:p>
        </w:tc>
        <w:tc>
          <w:tcPr>
            <w:tcW w:w="2280" w:type="dxa"/>
            <w:vAlign w:val="bottom"/>
          </w:tcPr>
          <w:p>
            <w:pPr>
              <w:ind w:left="340"/>
              <w:spacing w:after="0"/>
              <w:rPr>
                <w:sz w:val="20"/>
                <w:szCs w:val="20"/>
                <w:color w:val="auto"/>
              </w:rPr>
            </w:pPr>
            <w:r>
              <w:rPr>
                <w:rFonts w:ascii="Arial" w:cs="Arial" w:eastAsia="Arial" w:hAnsi="Arial"/>
                <w:sz w:val="16"/>
                <w:szCs w:val="16"/>
                <w:color w:val="auto"/>
              </w:rPr>
              <w:t>Magna International</w:t>
            </w:r>
          </w:p>
        </w:tc>
        <w:tc>
          <w:tcPr>
            <w:tcW w:w="2000" w:type="dxa"/>
            <w:vAlign w:val="bottom"/>
          </w:tcPr>
          <w:p>
            <w:pPr>
              <w:ind w:left="120"/>
              <w:spacing w:after="0"/>
              <w:rPr>
                <w:sz w:val="20"/>
                <w:szCs w:val="20"/>
                <w:color w:val="auto"/>
              </w:rPr>
            </w:pPr>
            <w:r>
              <w:rPr>
                <w:rFonts w:ascii="Arial" w:cs="Arial" w:eastAsia="Arial" w:hAnsi="Arial"/>
                <w:sz w:val="16"/>
                <w:szCs w:val="16"/>
                <w:color w:val="auto"/>
              </w:rPr>
              <w:t>Mobileye Global Inc.</w:t>
            </w:r>
          </w:p>
        </w:tc>
        <w:tc>
          <w:tcPr>
            <w:tcW w:w="1980" w:type="dxa"/>
            <w:vAlign w:val="bottom"/>
          </w:tcPr>
          <w:p>
            <w:pPr>
              <w:ind w:left="160"/>
              <w:spacing w:after="0"/>
              <w:rPr>
                <w:sz w:val="20"/>
                <w:szCs w:val="20"/>
                <w:color w:val="auto"/>
              </w:rPr>
            </w:pPr>
            <w:r>
              <w:rPr>
                <w:rFonts w:ascii="Arial" w:cs="Arial" w:eastAsia="Arial" w:hAnsi="Arial"/>
                <w:sz w:val="16"/>
                <w:szCs w:val="16"/>
                <w:color w:val="auto"/>
              </w:rPr>
              <w:t>Tesla, Inc.</w:t>
            </w:r>
          </w:p>
        </w:tc>
        <w:tc>
          <w:tcPr>
            <w:tcW w:w="2280" w:type="dxa"/>
            <w:vAlign w:val="bottom"/>
          </w:tcPr>
          <w:p>
            <w:pPr>
              <w:ind w:left="220"/>
              <w:spacing w:after="0"/>
              <w:rPr>
                <w:sz w:val="20"/>
                <w:szCs w:val="20"/>
                <w:color w:val="auto"/>
              </w:rPr>
            </w:pPr>
            <w:r>
              <w:rPr>
                <w:rFonts w:ascii="Arial" w:cs="Arial" w:eastAsia="Arial" w:hAnsi="Arial"/>
                <w:sz w:val="16"/>
                <w:szCs w:val="16"/>
                <w:color w:val="auto"/>
              </w:rPr>
              <w:t>Uber Technologies,</w:t>
            </w:r>
          </w:p>
        </w:tc>
      </w:tr>
      <w:tr>
        <w:trPr>
          <w:trHeight w:val="197"/>
        </w:trPr>
        <w:tc>
          <w:tcPr>
            <w:tcW w:w="1880" w:type="dxa"/>
            <w:vAlign w:val="bottom"/>
          </w:tcPr>
          <w:p>
            <w:pPr>
              <w:spacing w:after="0"/>
              <w:rPr>
                <w:sz w:val="17"/>
                <w:szCs w:val="17"/>
                <w:color w:val="auto"/>
              </w:rPr>
            </w:pPr>
          </w:p>
        </w:tc>
        <w:tc>
          <w:tcPr>
            <w:tcW w:w="2280" w:type="dxa"/>
            <w:vAlign w:val="bottom"/>
          </w:tcPr>
          <w:p>
            <w:pPr>
              <w:ind w:left="500"/>
              <w:spacing w:after="0"/>
              <w:rPr>
                <w:sz w:val="20"/>
                <w:szCs w:val="20"/>
                <w:color w:val="auto"/>
              </w:rPr>
            </w:pPr>
            <w:r>
              <w:rPr>
                <w:rFonts w:ascii="Arial" w:cs="Arial" w:eastAsia="Arial" w:hAnsi="Arial"/>
                <w:sz w:val="16"/>
                <w:szCs w:val="16"/>
                <w:color w:val="auto"/>
              </w:rPr>
              <w:t>Inc.</w:t>
            </w:r>
          </w:p>
        </w:tc>
        <w:tc>
          <w:tcPr>
            <w:tcW w:w="2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80" w:type="dxa"/>
            <w:vAlign w:val="bottom"/>
          </w:tcPr>
          <w:p>
            <w:pPr>
              <w:ind w:left="380"/>
              <w:spacing w:after="0"/>
              <w:rPr>
                <w:sz w:val="20"/>
                <w:szCs w:val="20"/>
                <w:color w:val="auto"/>
              </w:rPr>
            </w:pPr>
            <w:r>
              <w:rPr>
                <w:rFonts w:ascii="Arial" w:cs="Arial" w:eastAsia="Arial" w:hAnsi="Arial"/>
                <w:sz w:val="16"/>
                <w:szCs w:val="16"/>
                <w:color w:val="auto"/>
              </w:rPr>
              <w:t>Inc.</w:t>
            </w:r>
          </w:p>
        </w:tc>
      </w:tr>
      <w:tr>
        <w:trPr>
          <w:trHeight w:val="135"/>
        </w:trPr>
        <w:tc>
          <w:tcPr>
            <w:tcW w:w="18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r>
        <w:trPr>
          <w:trHeight w:val="287"/>
        </w:trPr>
        <w:tc>
          <w:tcPr>
            <w:tcW w:w="1880" w:type="dxa"/>
            <w:vAlign w:val="bottom"/>
          </w:tcPr>
          <w:p>
            <w:pPr>
              <w:ind w:left="180"/>
              <w:spacing w:after="0"/>
              <w:rPr>
                <w:sz w:val="20"/>
                <w:szCs w:val="20"/>
                <w:color w:val="auto"/>
              </w:rPr>
            </w:pPr>
            <w:r>
              <w:rPr>
                <w:rFonts w:ascii="Arial" w:cs="Arial" w:eastAsia="Arial" w:hAnsi="Arial"/>
                <w:sz w:val="16"/>
                <w:szCs w:val="16"/>
                <w:color w:val="auto"/>
              </w:rPr>
              <w:t>Aptiv PLC</w:t>
            </w:r>
          </w:p>
        </w:tc>
        <w:tc>
          <w:tcPr>
            <w:tcW w:w="2280" w:type="dxa"/>
            <w:vAlign w:val="bottom"/>
          </w:tcPr>
          <w:p>
            <w:pPr>
              <w:ind w:left="340"/>
              <w:spacing w:after="0"/>
              <w:rPr>
                <w:sz w:val="20"/>
                <w:szCs w:val="20"/>
                <w:color w:val="auto"/>
              </w:rPr>
            </w:pPr>
            <w:r>
              <w:rPr>
                <w:rFonts w:ascii="Arial" w:cs="Arial" w:eastAsia="Arial" w:hAnsi="Arial"/>
                <w:sz w:val="16"/>
                <w:szCs w:val="16"/>
                <w:color w:val="auto"/>
              </w:rPr>
              <w:t>Ford Motor Company</w:t>
            </w:r>
          </w:p>
        </w:tc>
        <w:tc>
          <w:tcPr>
            <w:tcW w:w="2000" w:type="dxa"/>
            <w:vAlign w:val="bottom"/>
          </w:tcPr>
          <w:p>
            <w:pPr>
              <w:ind w:left="120"/>
              <w:spacing w:after="0"/>
              <w:rPr>
                <w:sz w:val="20"/>
                <w:szCs w:val="20"/>
                <w:color w:val="auto"/>
              </w:rPr>
            </w:pPr>
            <w:r>
              <w:rPr>
                <w:rFonts w:ascii="Arial" w:cs="Arial" w:eastAsia="Arial" w:hAnsi="Arial"/>
                <w:sz w:val="16"/>
                <w:szCs w:val="16"/>
                <w:color w:val="auto"/>
              </w:rPr>
              <w:t>Joby Aviation, Inc.</w:t>
            </w:r>
          </w:p>
        </w:tc>
        <w:tc>
          <w:tcPr>
            <w:tcW w:w="1980" w:type="dxa"/>
            <w:vAlign w:val="bottom"/>
          </w:tcPr>
          <w:p>
            <w:pPr>
              <w:ind w:left="160"/>
              <w:spacing w:after="0"/>
              <w:rPr>
                <w:sz w:val="20"/>
                <w:szCs w:val="20"/>
                <w:color w:val="auto"/>
              </w:rPr>
            </w:pPr>
            <w:r>
              <w:rPr>
                <w:rFonts w:ascii="Arial" w:cs="Arial" w:eastAsia="Arial" w:hAnsi="Arial"/>
                <w:sz w:val="16"/>
                <w:szCs w:val="16"/>
                <w:color w:val="auto"/>
              </w:rPr>
              <w:t>Rivian Automotive,</w:t>
            </w:r>
          </w:p>
        </w:tc>
        <w:tc>
          <w:tcPr>
            <w:tcW w:w="2280" w:type="dxa"/>
            <w:vAlign w:val="bottom"/>
          </w:tcPr>
          <w:p>
            <w:pPr>
              <w:ind w:left="220"/>
              <w:spacing w:after="0"/>
              <w:rPr>
                <w:sz w:val="20"/>
                <w:szCs w:val="20"/>
                <w:color w:val="auto"/>
              </w:rPr>
            </w:pPr>
            <w:r>
              <w:rPr>
                <w:rFonts w:ascii="Arial" w:cs="Arial" w:eastAsia="Arial" w:hAnsi="Arial"/>
                <w:sz w:val="16"/>
                <w:szCs w:val="16"/>
                <w:color w:val="auto"/>
              </w:rPr>
              <w:t>Zscaler, Inc.</w:t>
            </w:r>
          </w:p>
        </w:tc>
      </w:tr>
      <w:tr>
        <w:trPr>
          <w:trHeight w:val="197"/>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Inc.</w:t>
            </w:r>
          </w:p>
        </w:tc>
        <w:tc>
          <w:tcPr>
            <w:tcW w:w="2280" w:type="dxa"/>
            <w:vAlign w:val="bottom"/>
          </w:tcPr>
          <w:p>
            <w:pPr>
              <w:spacing w:after="0"/>
              <w:rPr>
                <w:sz w:val="17"/>
                <w:szCs w:val="17"/>
                <w:color w:val="auto"/>
              </w:rPr>
            </w:pPr>
          </w:p>
        </w:tc>
      </w:tr>
      <w:tr>
        <w:trPr>
          <w:trHeight w:val="135"/>
        </w:trPr>
        <w:tc>
          <w:tcPr>
            <w:tcW w:w="18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r>
        <w:trPr>
          <w:trHeight w:val="287"/>
        </w:trPr>
        <w:tc>
          <w:tcPr>
            <w:tcW w:w="1880" w:type="dxa"/>
            <w:vAlign w:val="bottom"/>
          </w:tcPr>
          <w:p>
            <w:pPr>
              <w:ind w:left="180"/>
              <w:spacing w:after="0"/>
              <w:rPr>
                <w:sz w:val="20"/>
                <w:szCs w:val="20"/>
                <w:color w:val="auto"/>
              </w:rPr>
            </w:pPr>
            <w:r>
              <w:rPr>
                <w:rFonts w:ascii="Arial" w:cs="Arial" w:eastAsia="Arial" w:hAnsi="Arial"/>
                <w:sz w:val="16"/>
                <w:szCs w:val="16"/>
                <w:color w:val="auto"/>
              </w:rPr>
              <w:t>Cloudflare, Inc.</w:t>
            </w:r>
          </w:p>
        </w:tc>
        <w:tc>
          <w:tcPr>
            <w:tcW w:w="2280" w:type="dxa"/>
            <w:vAlign w:val="bottom"/>
          </w:tcPr>
          <w:p>
            <w:pPr>
              <w:ind w:left="340"/>
              <w:spacing w:after="0"/>
              <w:rPr>
                <w:sz w:val="20"/>
                <w:szCs w:val="20"/>
                <w:color w:val="auto"/>
              </w:rPr>
            </w:pPr>
            <w:r>
              <w:rPr>
                <w:rFonts w:ascii="Arial" w:cs="Arial" w:eastAsia="Arial" w:hAnsi="Arial"/>
                <w:sz w:val="16"/>
                <w:szCs w:val="16"/>
                <w:color w:val="auto"/>
              </w:rPr>
              <w:t>General Motors</w:t>
            </w:r>
          </w:p>
        </w:tc>
        <w:tc>
          <w:tcPr>
            <w:tcW w:w="2000" w:type="dxa"/>
            <w:vAlign w:val="bottom"/>
          </w:tcPr>
          <w:p>
            <w:pPr>
              <w:ind w:left="120"/>
              <w:spacing w:after="0"/>
              <w:rPr>
                <w:sz w:val="20"/>
                <w:szCs w:val="20"/>
                <w:color w:val="auto"/>
              </w:rPr>
            </w:pPr>
            <w:r>
              <w:rPr>
                <w:rFonts w:ascii="Arial" w:cs="Arial" w:eastAsia="Arial" w:hAnsi="Arial"/>
                <w:sz w:val="16"/>
                <w:szCs w:val="16"/>
                <w:color w:val="auto"/>
              </w:rPr>
              <w:t>Lyft, Inc.</w:t>
            </w:r>
          </w:p>
        </w:tc>
        <w:tc>
          <w:tcPr>
            <w:tcW w:w="1980" w:type="dxa"/>
            <w:vAlign w:val="bottom"/>
          </w:tcPr>
          <w:p>
            <w:pPr>
              <w:ind w:left="160"/>
              <w:spacing w:after="0"/>
              <w:rPr>
                <w:sz w:val="20"/>
                <w:szCs w:val="20"/>
                <w:color w:val="auto"/>
              </w:rPr>
            </w:pPr>
            <w:r>
              <w:rPr>
                <w:rFonts w:ascii="Arial" w:cs="Arial" w:eastAsia="Arial" w:hAnsi="Arial"/>
                <w:sz w:val="16"/>
                <w:szCs w:val="16"/>
                <w:color w:val="auto"/>
              </w:rPr>
              <w:t>Snowflake Inc.</w:t>
            </w:r>
          </w:p>
        </w:tc>
        <w:tc>
          <w:tcPr>
            <w:tcW w:w="2280" w:type="dxa"/>
            <w:vAlign w:val="bottom"/>
          </w:tcPr>
          <w:p>
            <w:pPr>
              <w:spacing w:after="0"/>
              <w:rPr>
                <w:sz w:val="24"/>
                <w:szCs w:val="24"/>
                <w:color w:val="auto"/>
              </w:rPr>
            </w:pPr>
          </w:p>
        </w:tc>
      </w:tr>
      <w:tr>
        <w:trPr>
          <w:trHeight w:val="197"/>
        </w:trPr>
        <w:tc>
          <w:tcPr>
            <w:tcW w:w="1880" w:type="dxa"/>
            <w:vAlign w:val="bottom"/>
          </w:tcPr>
          <w:p>
            <w:pPr>
              <w:spacing w:after="0"/>
              <w:rPr>
                <w:sz w:val="17"/>
                <w:szCs w:val="17"/>
                <w:color w:val="auto"/>
              </w:rPr>
            </w:pPr>
          </w:p>
        </w:tc>
        <w:tc>
          <w:tcPr>
            <w:tcW w:w="2280" w:type="dxa"/>
            <w:vAlign w:val="bottom"/>
          </w:tcPr>
          <w:p>
            <w:pPr>
              <w:ind w:left="500"/>
              <w:spacing w:after="0"/>
              <w:rPr>
                <w:sz w:val="20"/>
                <w:szCs w:val="20"/>
                <w:color w:val="auto"/>
              </w:rPr>
            </w:pPr>
            <w:r>
              <w:rPr>
                <w:rFonts w:ascii="Arial" w:cs="Arial" w:eastAsia="Arial" w:hAnsi="Arial"/>
                <w:sz w:val="16"/>
                <w:szCs w:val="16"/>
                <w:color w:val="auto"/>
              </w:rPr>
              <w:t>Company</w:t>
            </w:r>
          </w:p>
        </w:tc>
        <w:tc>
          <w:tcPr>
            <w:tcW w:w="2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35"/>
        </w:trPr>
        <w:tc>
          <w:tcPr>
            <w:tcW w:w="18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r>
        <w:trPr>
          <w:trHeight w:val="287"/>
        </w:trPr>
        <w:tc>
          <w:tcPr>
            <w:tcW w:w="1880" w:type="dxa"/>
            <w:vAlign w:val="bottom"/>
          </w:tcPr>
          <w:p>
            <w:pPr>
              <w:ind w:left="180"/>
              <w:spacing w:after="0"/>
              <w:rPr>
                <w:sz w:val="20"/>
                <w:szCs w:val="20"/>
                <w:color w:val="auto"/>
              </w:rPr>
            </w:pPr>
            <w:r>
              <w:rPr>
                <w:rFonts w:ascii="Arial" w:cs="Arial" w:eastAsia="Arial" w:hAnsi="Arial"/>
                <w:sz w:val="16"/>
                <w:szCs w:val="16"/>
                <w:color w:val="auto"/>
              </w:rPr>
              <w:t>CrowdStrike</w:t>
            </w:r>
          </w:p>
        </w:tc>
        <w:tc>
          <w:tcPr>
            <w:tcW w:w="2280" w:type="dxa"/>
            <w:vAlign w:val="bottom"/>
          </w:tcPr>
          <w:p>
            <w:pPr>
              <w:ind w:left="340"/>
              <w:spacing w:after="0"/>
              <w:rPr>
                <w:sz w:val="20"/>
                <w:szCs w:val="20"/>
                <w:color w:val="auto"/>
              </w:rPr>
            </w:pPr>
            <w:r>
              <w:rPr>
                <w:rFonts w:ascii="Arial" w:cs="Arial" w:eastAsia="Arial" w:hAnsi="Arial"/>
                <w:sz w:val="16"/>
                <w:szCs w:val="16"/>
                <w:color w:val="auto"/>
              </w:rPr>
              <w:t>Harley-Davidson, Inc.</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97"/>
        </w:trPr>
        <w:tc>
          <w:tcPr>
            <w:tcW w:w="1880" w:type="dxa"/>
            <w:vAlign w:val="bottom"/>
          </w:tcPr>
          <w:p>
            <w:pPr>
              <w:ind w:left="340"/>
              <w:spacing w:after="0"/>
              <w:rPr>
                <w:sz w:val="20"/>
                <w:szCs w:val="20"/>
                <w:color w:val="auto"/>
              </w:rPr>
            </w:pPr>
            <w:r>
              <w:rPr>
                <w:rFonts w:ascii="Arial" w:cs="Arial" w:eastAsia="Arial" w:hAnsi="Arial"/>
                <w:sz w:val="16"/>
                <w:szCs w:val="16"/>
                <w:color w:val="auto"/>
              </w:rPr>
              <w:t>Holdings, Inc.</w:t>
            </w: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38"/>
        </w:trPr>
        <w:tc>
          <w:tcPr>
            <w:tcW w:w="18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bl>
    <w:p>
      <w:pPr>
        <w:spacing w:after="0" w:line="17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Compensation and Human Capital Committee reviews the compensation peer group annually to ensure continued appropriateness. The peer group companies are intended to be a reasonable frame of reference for compensation benchmarking, aligned with the Company’s business attributes, and size appropriate, taking into account changes in both our business and the businesses of the companies in the peer group. For 2024, the Committee approved the removal of Boeing, Deere, Intel and RTX due to their market capitalizations relative to Lucid, as well as Proterra, which filed for bankruptcy. Additionally, the Committee approved the inclusion of Magna International and Mobileye Global due to their strong automotive and electric vehicle industry linkage. The addition of Mobileye Global and the removal of Intel are also related to Mobileye Global’s independent IPO in 2023, following its acquisition by Intel in 2017.</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ANALYSIS OF 2024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Compensation Elements</w:t>
      </w:r>
    </w:p>
    <w:p>
      <w:pPr>
        <w:spacing w:after="0" w:line="193"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color w:val="auto"/>
        </w:rPr>
        <w:t>The 2024 executive compensation program consisted of the following elements: base salary, annual cash incentive awards, and long-term equity incentive awards. Each element, which is further discussed below, is intended to reward and motivate executives in different ways consistent with our overall compensation philosophy.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Compensation-Setting Process and Competitive Positioning</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the first half of 2024, the Compensation and Human Capital Committee reviewed the base salaries, target annual cash incentive opportunities, and annual long-term equity incentive values for our NEOs at that time, as compared to similarly situated executives in the peer group. Pay Governance provided data at the 25th, 50th, and 75th percentiles for such compensation, which the committee used as a reference. The Compensation and Human Capital Committee considers such data relevant to, but not determinative of, its consideration of overall executive compensation matters. The Compensation and Human Capital Committee did not benchmark any compensation element to a specific percentile, and the committee instead established our NEOs’ compensation at levels it deemed appropriate after considering such data in conjunction with other factors, including our overall financial and operating performance and each NEO’s experience, performance, contributions and responsibilities, internal pay equity, our short-term and long-term objectives, retention considerations, prevailing market conditions, and feedback from stockholder engagement.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BASE SALARY</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Base salaries provide a fixed source of compensation to our NEOs and are intended to drive short-term performance. We believe that a competitive base salary is a necessary element of our executive compensation program and is critical in attracting and retaining executive talent, including our NEOs. Base salaries for our NEOs are also intended to be competitive with those received by other individuals in similar positions at the companies with which we compete for talent, as well as equitable internally across our executive team.</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and Human Capital Committee annually reviews the base salaries of our NEOs and makes adjustments as it deems necessary or appropriate based on peer group data and the other factors described above in “Compensation-Setting Process and Competitive Positioning.” For each NEO, other than the CEO, the Compensation and Human Capital Committee receives a performance assessment and salary adjustment recommendation from the CEO.</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49</w:t>
      </w:r>
    </w:p>
    <w:p>
      <w:pPr>
        <w:sectPr>
          <w:pgSz w:w="11880" w:h="15480" w:orient="portrait"/>
          <w:cols w:equalWidth="0" w:num="1">
            <w:col w:w="10420"/>
          </w:cols>
          <w:pgMar w:left="720" w:top="943" w:right="740" w:bottom="0" w:gutter="0" w:footer="0" w:header="0"/>
          <w:type w:val="continuous"/>
        </w:sectPr>
      </w:pPr>
    </w:p>
    <w:bookmarkStart w:id="55" w:name="page56"/>
    <w:bookmarkEnd w:id="55"/>
    <w:p>
      <w:pPr>
        <w:ind w:left="2" w:right="140"/>
        <w:spacing w:after="0" w:line="292" w:lineRule="auto"/>
        <w:rPr>
          <w:sz w:val="20"/>
          <w:szCs w:val="20"/>
          <w:color w:val="auto"/>
        </w:rPr>
      </w:pPr>
      <w:r>
        <w:rPr>
          <w:rFonts w:ascii="Arial" w:cs="Arial" w:eastAsia="Arial" w:hAnsi="Arial"/>
          <w:sz w:val="18"/>
          <w:szCs w:val="18"/>
          <w:color w:val="auto"/>
        </w:rPr>
        <w:t>The Compensation and Human Capital Committee reviewed the base salaries of our NEOs and considered the recommendations of our former CEO, Mr. Rawlinson (except with respect to his own base salary). Consistent with our intended approach to provide compensation competitive with a benchmark group of companies and in recognition of their performance, the Compensation and Human Capital Committee approved increases in the annual base salaries for Messrs. Dhingra and Bach in January 2024.</w:t>
      </w:r>
    </w:p>
    <w:p>
      <w:pPr>
        <w:spacing w:after="0" w:line="241"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Our NEOs’ base salaries for 2024, both immediately preceding and after the increase, are set forth in the table below:</w:t>
      </w:r>
    </w:p>
    <w:p>
      <w:pPr>
        <w:spacing w:after="0" w:line="29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2024 Base Salary</w:t>
      </w:r>
    </w:p>
    <w:p>
      <w:pPr>
        <w:spacing w:after="0" w:line="327"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49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4220" w:type="dxa"/>
            <w:vAlign w:val="bottom"/>
            <w:shd w:val="clear" w:color="auto" w:fill="000000"/>
          </w:tcPr>
          <w:p>
            <w:pPr>
              <w:ind w:left="3020"/>
              <w:spacing w:after="0"/>
              <w:rPr>
                <w:sz w:val="20"/>
                <w:szCs w:val="20"/>
                <w:color w:val="auto"/>
              </w:rPr>
            </w:pPr>
            <w:r>
              <w:rPr>
                <w:rFonts w:ascii="Arial" w:cs="Arial" w:eastAsia="Arial" w:hAnsi="Arial"/>
                <w:sz w:val="14"/>
                <w:szCs w:val="14"/>
                <w:color w:val="FFFFFF"/>
              </w:rPr>
              <w:t>Base Salary</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Base Salary</w:t>
            </w:r>
          </w:p>
        </w:tc>
      </w:tr>
      <w:tr>
        <w:trPr>
          <w:trHeight w:val="172"/>
        </w:trPr>
        <w:tc>
          <w:tcPr>
            <w:tcW w:w="4900" w:type="dxa"/>
            <w:vAlign w:val="bottom"/>
            <w:shd w:val="clear" w:color="auto" w:fill="000000"/>
          </w:tcPr>
          <w:p>
            <w:pPr>
              <w:spacing w:after="0"/>
              <w:rPr>
                <w:sz w:val="14"/>
                <w:szCs w:val="14"/>
                <w:color w:val="auto"/>
              </w:rPr>
            </w:pPr>
          </w:p>
        </w:tc>
        <w:tc>
          <w:tcPr>
            <w:tcW w:w="4220" w:type="dxa"/>
            <w:vAlign w:val="bottom"/>
            <w:shd w:val="clear" w:color="auto" w:fill="000000"/>
          </w:tcPr>
          <w:p>
            <w:pPr>
              <w:ind w:left="3020"/>
              <w:spacing w:after="0"/>
              <w:rPr>
                <w:sz w:val="20"/>
                <w:szCs w:val="20"/>
                <w:color w:val="auto"/>
              </w:rPr>
            </w:pPr>
            <w:r>
              <w:rPr>
                <w:rFonts w:ascii="Arial" w:cs="Arial" w:eastAsia="Arial" w:hAnsi="Arial"/>
                <w:sz w:val="14"/>
                <w:szCs w:val="14"/>
                <w:color w:val="FFFFFF"/>
              </w:rPr>
              <w:t>Before Increase</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Post-Increase</w:t>
            </w:r>
          </w:p>
        </w:tc>
      </w:tr>
      <w:tr>
        <w:trPr>
          <w:trHeight w:val="149"/>
        </w:trPr>
        <w:tc>
          <w:tcPr>
            <w:tcW w:w="4900" w:type="dxa"/>
            <w:vAlign w:val="bottom"/>
            <w:shd w:val="clear" w:color="auto" w:fill="000000"/>
          </w:tcPr>
          <w:p>
            <w:pPr>
              <w:spacing w:after="0"/>
              <w:rPr>
                <w:sz w:val="12"/>
                <w:szCs w:val="12"/>
                <w:color w:val="auto"/>
              </w:rPr>
            </w:pPr>
          </w:p>
        </w:tc>
        <w:tc>
          <w:tcPr>
            <w:tcW w:w="4220" w:type="dxa"/>
            <w:vAlign w:val="bottom"/>
            <w:shd w:val="clear" w:color="auto" w:fill="000000"/>
          </w:tcPr>
          <w:p>
            <w:pPr>
              <w:spacing w:after="0"/>
              <w:rPr>
                <w:sz w:val="12"/>
                <w:szCs w:val="12"/>
                <w:color w:val="auto"/>
              </w:rPr>
            </w:pPr>
          </w:p>
        </w:tc>
        <w:tc>
          <w:tcPr>
            <w:tcW w:w="1300" w:type="dxa"/>
            <w:vAlign w:val="bottom"/>
            <w:shd w:val="clear" w:color="auto" w:fill="000000"/>
          </w:tcPr>
          <w:p>
            <w:pPr>
              <w:spacing w:after="0"/>
              <w:rPr>
                <w:sz w:val="12"/>
                <w:szCs w:val="12"/>
                <w:color w:val="auto"/>
              </w:rPr>
            </w:pPr>
          </w:p>
        </w:tc>
      </w:tr>
      <w:tr>
        <w:trPr>
          <w:trHeight w:val="326"/>
        </w:trPr>
        <w:tc>
          <w:tcPr>
            <w:tcW w:w="490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4220" w:type="dxa"/>
            <w:vAlign w:val="bottom"/>
          </w:tcPr>
          <w:p>
            <w:pPr>
              <w:ind w:left="3020"/>
              <w:spacing w:after="0"/>
              <w:rPr>
                <w:sz w:val="20"/>
                <w:szCs w:val="20"/>
                <w:color w:val="auto"/>
              </w:rPr>
            </w:pPr>
            <w:r>
              <w:rPr>
                <w:rFonts w:ascii="Arial" w:cs="Arial" w:eastAsia="Arial" w:hAnsi="Arial"/>
                <w:sz w:val="16"/>
                <w:szCs w:val="16"/>
                <w:color w:val="auto"/>
              </w:rPr>
              <w:t>$625,000</w:t>
            </w:r>
          </w:p>
        </w:tc>
        <w:tc>
          <w:tcPr>
            <w:tcW w:w="1300" w:type="dxa"/>
            <w:vAlign w:val="bottom"/>
          </w:tcPr>
          <w:p>
            <w:pPr>
              <w:ind w:left="120"/>
              <w:spacing w:after="0"/>
              <w:rPr>
                <w:sz w:val="20"/>
                <w:szCs w:val="20"/>
                <w:color w:val="auto"/>
              </w:rPr>
            </w:pPr>
            <w:r>
              <w:rPr>
                <w:rFonts w:ascii="Arial" w:cs="Arial" w:eastAsia="Arial" w:hAnsi="Arial"/>
                <w:sz w:val="16"/>
                <w:szCs w:val="16"/>
                <w:color w:val="auto"/>
              </w:rPr>
              <w:t>$625,000</w:t>
            </w:r>
          </w:p>
        </w:tc>
      </w:tr>
      <w:tr>
        <w:trPr>
          <w:trHeight w:val="135"/>
        </w:trPr>
        <w:tc>
          <w:tcPr>
            <w:tcW w:w="490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490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4220" w:type="dxa"/>
            <w:vAlign w:val="bottom"/>
          </w:tcPr>
          <w:p>
            <w:pPr>
              <w:ind w:left="3020"/>
              <w:spacing w:after="0"/>
              <w:rPr>
                <w:sz w:val="20"/>
                <w:szCs w:val="20"/>
                <w:color w:val="auto"/>
              </w:rPr>
            </w:pPr>
            <w:r>
              <w:rPr>
                <w:rFonts w:ascii="Arial" w:cs="Arial" w:eastAsia="Arial" w:hAnsi="Arial"/>
                <w:sz w:val="16"/>
                <w:szCs w:val="16"/>
                <w:color w:val="auto"/>
              </w:rPr>
              <w:t>$382,000</w:t>
            </w:r>
          </w:p>
        </w:tc>
        <w:tc>
          <w:tcPr>
            <w:tcW w:w="1300" w:type="dxa"/>
            <w:vAlign w:val="bottom"/>
          </w:tcPr>
          <w:p>
            <w:pPr>
              <w:ind w:left="120"/>
              <w:spacing w:after="0"/>
              <w:rPr>
                <w:sz w:val="20"/>
                <w:szCs w:val="20"/>
                <w:color w:val="auto"/>
              </w:rPr>
            </w:pPr>
            <w:r>
              <w:rPr>
                <w:rFonts w:ascii="Arial" w:cs="Arial" w:eastAsia="Arial" w:hAnsi="Arial"/>
                <w:sz w:val="16"/>
                <w:szCs w:val="16"/>
                <w:color w:val="auto"/>
              </w:rPr>
              <w:t>$400,000</w:t>
            </w:r>
          </w:p>
        </w:tc>
      </w:tr>
      <w:tr>
        <w:trPr>
          <w:trHeight w:val="135"/>
        </w:trPr>
        <w:tc>
          <w:tcPr>
            <w:tcW w:w="490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68"/>
        </w:trPr>
        <w:tc>
          <w:tcPr>
            <w:tcW w:w="490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(1)</w:t>
            </w:r>
          </w:p>
        </w:tc>
        <w:tc>
          <w:tcPr>
            <w:tcW w:w="4220" w:type="dxa"/>
            <w:vAlign w:val="bottom"/>
          </w:tcPr>
          <w:p>
            <w:pPr>
              <w:ind w:left="3020"/>
              <w:spacing w:after="0"/>
              <w:rPr>
                <w:sz w:val="20"/>
                <w:szCs w:val="20"/>
                <w:color w:val="auto"/>
              </w:rPr>
            </w:pPr>
            <w:r>
              <w:rPr>
                <w:rFonts w:ascii="Arial" w:cs="Arial" w:eastAsia="Arial" w:hAnsi="Arial"/>
                <w:sz w:val="16"/>
                <w:szCs w:val="16"/>
                <w:color w:val="auto"/>
              </w:rPr>
              <w:t>$595,000</w:t>
            </w:r>
          </w:p>
        </w:tc>
        <w:tc>
          <w:tcPr>
            <w:tcW w:w="1300" w:type="dxa"/>
            <w:vAlign w:val="bottom"/>
          </w:tcPr>
          <w:p>
            <w:pPr>
              <w:ind w:left="120"/>
              <w:spacing w:after="0"/>
              <w:rPr>
                <w:sz w:val="20"/>
                <w:szCs w:val="20"/>
                <w:color w:val="auto"/>
              </w:rPr>
            </w:pPr>
            <w:r>
              <w:rPr>
                <w:rFonts w:ascii="Arial" w:cs="Arial" w:eastAsia="Arial" w:hAnsi="Arial"/>
                <w:sz w:val="16"/>
                <w:szCs w:val="16"/>
                <w:color w:val="auto"/>
              </w:rPr>
              <w:t>$595,000</w:t>
            </w:r>
          </w:p>
        </w:tc>
      </w:tr>
      <w:tr>
        <w:trPr>
          <w:trHeight w:val="71"/>
        </w:trPr>
        <w:tc>
          <w:tcPr>
            <w:tcW w:w="4900" w:type="dxa"/>
            <w:vAlign w:val="bottom"/>
            <w:tcBorders>
              <w:bottom w:val="single" w:sz="8" w:color="auto"/>
            </w:tcBorders>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304"/>
        </w:trPr>
        <w:tc>
          <w:tcPr>
            <w:tcW w:w="490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4220" w:type="dxa"/>
            <w:vAlign w:val="bottom"/>
          </w:tcPr>
          <w:p>
            <w:pPr>
              <w:ind w:left="3020"/>
              <w:spacing w:after="0"/>
              <w:rPr>
                <w:sz w:val="20"/>
                <w:szCs w:val="20"/>
                <w:color w:val="auto"/>
              </w:rPr>
            </w:pPr>
            <w:r>
              <w:rPr>
                <w:rFonts w:ascii="Arial" w:cs="Arial" w:eastAsia="Arial" w:hAnsi="Arial"/>
                <w:sz w:val="16"/>
                <w:szCs w:val="16"/>
                <w:color w:val="auto"/>
              </w:rPr>
              <w:t>$560,000</w:t>
            </w:r>
          </w:p>
        </w:tc>
        <w:tc>
          <w:tcPr>
            <w:tcW w:w="1300" w:type="dxa"/>
            <w:vAlign w:val="bottom"/>
          </w:tcPr>
          <w:p>
            <w:pPr>
              <w:ind w:left="120"/>
              <w:spacing w:after="0"/>
              <w:rPr>
                <w:sz w:val="20"/>
                <w:szCs w:val="20"/>
                <w:color w:val="auto"/>
              </w:rPr>
            </w:pPr>
            <w:r>
              <w:rPr>
                <w:rFonts w:ascii="Arial" w:cs="Arial" w:eastAsia="Arial" w:hAnsi="Arial"/>
                <w:sz w:val="16"/>
                <w:szCs w:val="16"/>
                <w:color w:val="auto"/>
              </w:rPr>
              <w:t>$605,000</w:t>
            </w:r>
          </w:p>
        </w:tc>
      </w:tr>
      <w:tr>
        <w:trPr>
          <w:trHeight w:val="135"/>
        </w:trPr>
        <w:tc>
          <w:tcPr>
            <w:tcW w:w="490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4900" w:type="dxa"/>
            <w:vAlign w:val="bottom"/>
          </w:tcPr>
          <w:p>
            <w:pPr>
              <w:ind w:left="180"/>
              <w:spacing w:after="0"/>
              <w:rPr>
                <w:sz w:val="20"/>
                <w:szCs w:val="20"/>
                <w:color w:val="auto"/>
              </w:rPr>
            </w:pPr>
            <w:r>
              <w:rPr>
                <w:rFonts w:ascii="Arial" w:cs="Arial" w:eastAsia="Arial" w:hAnsi="Arial"/>
                <w:sz w:val="16"/>
                <w:szCs w:val="16"/>
                <w:color w:val="auto"/>
              </w:rPr>
              <w:t>Michael Bell</w:t>
            </w:r>
          </w:p>
        </w:tc>
        <w:tc>
          <w:tcPr>
            <w:tcW w:w="4220" w:type="dxa"/>
            <w:vAlign w:val="bottom"/>
          </w:tcPr>
          <w:p>
            <w:pPr>
              <w:ind w:left="3020"/>
              <w:spacing w:after="0"/>
              <w:rPr>
                <w:sz w:val="20"/>
                <w:szCs w:val="20"/>
                <w:color w:val="auto"/>
              </w:rPr>
            </w:pPr>
            <w:r>
              <w:rPr>
                <w:rFonts w:ascii="Arial" w:cs="Arial" w:eastAsia="Arial" w:hAnsi="Arial"/>
                <w:sz w:val="16"/>
                <w:szCs w:val="16"/>
                <w:color w:val="auto"/>
              </w:rPr>
              <w:t>$525,000</w:t>
            </w:r>
          </w:p>
        </w:tc>
        <w:tc>
          <w:tcPr>
            <w:tcW w:w="1300" w:type="dxa"/>
            <w:vAlign w:val="bottom"/>
          </w:tcPr>
          <w:p>
            <w:pPr>
              <w:ind w:left="120"/>
              <w:spacing w:after="0"/>
              <w:rPr>
                <w:sz w:val="20"/>
                <w:szCs w:val="20"/>
                <w:color w:val="auto"/>
              </w:rPr>
            </w:pPr>
            <w:r>
              <w:rPr>
                <w:rFonts w:ascii="Arial" w:cs="Arial" w:eastAsia="Arial" w:hAnsi="Arial"/>
                <w:sz w:val="16"/>
                <w:szCs w:val="16"/>
                <w:color w:val="auto"/>
              </w:rPr>
              <w:t>$525,000</w:t>
            </w:r>
          </w:p>
        </w:tc>
      </w:tr>
      <w:tr>
        <w:trPr>
          <w:trHeight w:val="138"/>
        </w:trPr>
        <w:tc>
          <w:tcPr>
            <w:tcW w:w="490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313" w:lineRule="exact"/>
        <w:rPr>
          <w:sz w:val="20"/>
          <w:szCs w:val="20"/>
          <w:color w:val="auto"/>
        </w:rPr>
      </w:pPr>
    </w:p>
    <w:p>
      <w:pPr>
        <w:ind w:left="142" w:right="300" w:hanging="142"/>
        <w:spacing w:after="0"/>
        <w:tabs>
          <w:tab w:leader="none" w:pos="142" w:val="left"/>
        </w:tabs>
        <w:numPr>
          <w:ilvl w:val="0"/>
          <w:numId w:val="31"/>
        </w:numPr>
        <w:rPr>
          <w:rFonts w:ascii="Arial" w:cs="Arial" w:eastAsia="Arial" w:hAnsi="Arial"/>
          <w:sz w:val="17"/>
          <w:szCs w:val="17"/>
          <w:color w:val="auto"/>
          <w:vertAlign w:val="superscript"/>
        </w:rPr>
      </w:pPr>
      <w:r>
        <w:rPr>
          <w:rFonts w:ascii="Arial" w:cs="Arial" w:eastAsia="Arial" w:hAnsi="Arial"/>
          <w:sz w:val="11"/>
          <w:szCs w:val="11"/>
          <w:color w:val="auto"/>
        </w:rPr>
        <w:t>In 2024, there was no base salary adjustment for Mr. Winterhoff, who commenced employment with us in December 2023 and was therefore not eligible for an increase in the annual base salary.</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6"/>
          <w:szCs w:val="16"/>
          <w:color w:val="auto"/>
        </w:rPr>
        <w:t>ANNUAL CASH INCENTIVE COMPENSATION</w:t>
      </w:r>
    </w:p>
    <w:p>
      <w:pPr>
        <w:spacing w:after="0" w:line="197" w:lineRule="exact"/>
        <w:rPr>
          <w:sz w:val="20"/>
          <w:szCs w:val="20"/>
          <w:color w:val="auto"/>
        </w:rPr>
      </w:pPr>
    </w:p>
    <w:p>
      <w:pPr>
        <w:ind w:left="2"/>
        <w:spacing w:after="0" w:line="296" w:lineRule="auto"/>
        <w:rPr>
          <w:sz w:val="20"/>
          <w:szCs w:val="20"/>
          <w:color w:val="auto"/>
        </w:rPr>
      </w:pPr>
      <w:r>
        <w:rPr>
          <w:rFonts w:ascii="Arial" w:cs="Arial" w:eastAsia="Arial" w:hAnsi="Arial"/>
          <w:sz w:val="18"/>
          <w:szCs w:val="18"/>
          <w:color w:val="auto"/>
        </w:rPr>
        <w:t>Our annual cash incentive program (the “Annual Incentive Plan Program” or “AIP”) is intended to motivate our employees, including our NEOs, to achieve exceptionally challenging short-term strategic and operational objectives, while also enhancing our ability to attract and retain highly talented individuals. Under our AIP, NEOs are eligible to receive an annual performance-based cash bonus award, the amount of which is based on a pre-set target percentage of the NEO’s annual base salary for that year.</w:t>
      </w:r>
    </w:p>
    <w:p>
      <w:pPr>
        <w:spacing w:after="0" w:line="200" w:lineRule="exact"/>
        <w:rPr>
          <w:sz w:val="20"/>
          <w:szCs w:val="20"/>
          <w:color w:val="auto"/>
        </w:rPr>
      </w:pPr>
    </w:p>
    <w:p>
      <w:pPr>
        <w:spacing w:after="0" w:line="279" w:lineRule="exact"/>
        <w:rPr>
          <w:sz w:val="20"/>
          <w:szCs w:val="20"/>
          <w:color w:val="auto"/>
        </w:rPr>
      </w:pPr>
    </w:p>
    <w:p>
      <w:pPr>
        <w:ind w:left="2"/>
        <w:spacing w:after="0" w:line="292" w:lineRule="auto"/>
        <w:rPr>
          <w:sz w:val="20"/>
          <w:szCs w:val="20"/>
          <w:color w:val="auto"/>
        </w:rPr>
      </w:pPr>
      <w:r>
        <w:rPr>
          <w:rFonts w:ascii="Arial" w:cs="Arial" w:eastAsia="Arial" w:hAnsi="Arial"/>
          <w:sz w:val="18"/>
          <w:szCs w:val="18"/>
          <w:color w:val="auto"/>
        </w:rPr>
        <w:t>The Compensation and Human Capital Committee is responsible for establishing the target annual incentive opportunity, as well as the corporate performance metrics and criteria, the latter of which are measured against for assessing the individual performance modifier. For each NEO, the amount of such cash incentive award for each fiscal year depends on our overall Company Payout Factor, which is based on the combined performance of the underlying Company Performance Metrics (see following section for additional details) and their respective individual performance modifier.</w:t>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June 2024, the Board, upon the recommendation of the Compensation and Human Capital Committee, approved the</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8"/>
          <w:szCs w:val="18"/>
          <w:color w:val="auto"/>
        </w:rPr>
        <w:t>Annual Incentive Plan Program for fiscal year 2024 (the “2024 AIP”), based on the following formula:</w:t>
      </w:r>
    </w:p>
    <w:p>
      <w:pPr>
        <w:spacing w:after="0" w:line="327" w:lineRule="exact"/>
        <w:rPr>
          <w:sz w:val="20"/>
          <w:szCs w:val="20"/>
          <w:color w:val="auto"/>
        </w:rPr>
      </w:pPr>
    </w:p>
    <w:tbl>
      <w:tblPr>
        <w:tblLayout w:type="fixed"/>
        <w:tblInd w:w="1452" w:type="dxa"/>
        <w:tblCellMar>
          <w:top w:w="0" w:type="dxa"/>
          <w:left w:w="0" w:type="dxa"/>
          <w:bottom w:w="0" w:type="dxa"/>
          <w:right w:w="0" w:type="dxa"/>
        </w:tblCellMar>
      </w:tblPr>
      <w:tr>
        <w:trPr>
          <w:trHeight w:val="303"/>
        </w:trPr>
        <w:tc>
          <w:tcPr>
            <w:tcW w:w="1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Target</w:t>
            </w:r>
          </w:p>
        </w:tc>
        <w:tc>
          <w:tcPr>
            <w:tcW w:w="800" w:type="dxa"/>
            <w:vAlign w:val="bottom"/>
            <w:tcBorders>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Company</w:t>
            </w:r>
          </w:p>
        </w:tc>
        <w:tc>
          <w:tcPr>
            <w:tcW w:w="880" w:type="dxa"/>
            <w:vAlign w:val="bottom"/>
            <w:tcBorders>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Individual</w:t>
            </w:r>
          </w:p>
        </w:tc>
        <w:tc>
          <w:tcPr>
            <w:tcW w:w="700" w:type="dxa"/>
            <w:vAlign w:val="bottom"/>
            <w:tcBorders>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Actual</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Annual</w:t>
            </w: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Payout</w:t>
            </w:r>
          </w:p>
        </w:tc>
        <w:tc>
          <w:tcPr>
            <w:tcW w:w="8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Performance</w:t>
            </w:r>
          </w:p>
        </w:tc>
        <w:tc>
          <w:tcPr>
            <w:tcW w:w="700" w:type="dxa"/>
            <w:vAlign w:val="bottom"/>
            <w:tcBorders>
              <w:right w:val="single" w:sz="8" w:color="auto"/>
            </w:tcBorders>
            <w:vMerge w:val="restart"/>
          </w:tcPr>
          <w:p>
            <w:pPr>
              <w:jc w:val="right"/>
              <w:ind w:right="180"/>
              <w:spacing w:after="0"/>
              <w:rPr>
                <w:sz w:val="20"/>
                <w:szCs w:val="20"/>
                <w:color w:val="auto"/>
              </w:rPr>
            </w:pPr>
            <w:r>
              <w:rPr>
                <w:rFonts w:ascii="Arial" w:cs="Arial" w:eastAsia="Arial" w:hAnsi="Arial"/>
                <w:sz w:val="20"/>
                <w:szCs w:val="20"/>
                <w:color w:val="auto"/>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Annual</w:t>
            </w: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Incentive</w:t>
            </w:r>
          </w:p>
        </w:tc>
        <w:tc>
          <w:tcPr>
            <w:tcW w:w="8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Factor</w:t>
            </w:r>
          </w:p>
        </w:tc>
        <w:tc>
          <w:tcPr>
            <w:tcW w:w="8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Modifier</w:t>
            </w:r>
          </w:p>
        </w:tc>
        <w:tc>
          <w:tcPr>
            <w:tcW w:w="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Incentive</w:t>
            </w:r>
          </w:p>
        </w:tc>
        <w:tc>
          <w:tcPr>
            <w:tcW w:w="0" w:type="dxa"/>
            <w:vAlign w:val="bottom"/>
          </w:tcPr>
          <w:p>
            <w:pPr>
              <w:spacing w:after="0"/>
              <w:rPr>
                <w:sz w:val="1"/>
                <w:szCs w:val="1"/>
                <w:color w:val="auto"/>
              </w:rPr>
            </w:pPr>
          </w:p>
        </w:tc>
      </w:tr>
      <w:tr>
        <w:trPr>
          <w:trHeight w:val="70"/>
        </w:trPr>
        <w:tc>
          <w:tcPr>
            <w:tcW w:w="1360" w:type="dxa"/>
            <w:vAlign w:val="bottom"/>
            <w:tcBorders>
              <w:left w:val="single" w:sz="8" w:color="auto"/>
              <w:right w:val="single" w:sz="8" w:color="auto"/>
            </w:tcBorders>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Opportunity</w:t>
            </w:r>
          </w:p>
        </w:tc>
        <w:tc>
          <w:tcPr>
            <w:tcW w:w="8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 to 150%)</w:t>
            </w:r>
          </w:p>
        </w:tc>
        <w:tc>
          <w:tcPr>
            <w:tcW w:w="8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 to 150%)</w:t>
            </w:r>
          </w:p>
        </w:tc>
        <w:tc>
          <w:tcPr>
            <w:tcW w:w="7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Payout</w:t>
            </w:r>
          </w:p>
        </w:tc>
        <w:tc>
          <w:tcPr>
            <w:tcW w:w="0" w:type="dxa"/>
            <w:vAlign w:val="bottom"/>
          </w:tcPr>
          <w:p>
            <w:pPr>
              <w:spacing w:after="0"/>
              <w:rPr>
                <w:sz w:val="1"/>
                <w:szCs w:val="1"/>
                <w:color w:val="auto"/>
              </w:rPr>
            </w:pPr>
          </w:p>
        </w:tc>
      </w:tr>
      <w:tr>
        <w:trPr>
          <w:trHeight w:val="103"/>
        </w:trPr>
        <w:tc>
          <w:tcPr>
            <w:tcW w:w="1360" w:type="dxa"/>
            <w:vAlign w:val="bottom"/>
            <w:tcBorders>
              <w:left w:val="single" w:sz="8" w:color="auto"/>
              <w:bottom w:val="single" w:sz="8" w:color="auto"/>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2"/>
        <w:spacing w:after="0" w:line="292" w:lineRule="auto"/>
        <w:rPr>
          <w:sz w:val="20"/>
          <w:szCs w:val="20"/>
          <w:color w:val="auto"/>
        </w:rPr>
      </w:pPr>
      <w:r>
        <w:rPr>
          <w:rFonts w:ascii="Arial" w:cs="Arial" w:eastAsia="Arial" w:hAnsi="Arial"/>
          <w:sz w:val="18"/>
          <w:szCs w:val="18"/>
          <w:color w:val="auto"/>
        </w:rPr>
        <w:t>Target Annual Incentive Opportunity. The target annual incentive opportunity is a specified percentage of base salary in effect at the end of the year for each of our executives (including our NEOs) (the “Target Annual Incentive Opportunity”). The Compensation and Human Capital Committee reviewed Target Annual Incentive Opportunities for our NEOs under the 2024 AIP, taking into consideration a competitive market analysis performed by its compensation consultant, Pay Governance. The Compensation and Human Capital Committee did not increase the Target Annual Incentive Opportunities, as a percentage of base salary, for any of the NEOs from the prior year.</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17"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56" w:name="page57"/>
    <w:bookmarkEnd w:id="56"/>
    <w:p>
      <w:pPr>
        <w:ind w:left="2"/>
        <w:spacing w:after="0"/>
        <w:rPr>
          <w:sz w:val="20"/>
          <w:szCs w:val="20"/>
          <w:color w:val="auto"/>
        </w:rPr>
      </w:pPr>
      <w:r>
        <w:rPr>
          <w:rFonts w:ascii="Arial" w:cs="Arial" w:eastAsia="Arial" w:hAnsi="Arial"/>
          <w:sz w:val="18"/>
          <w:szCs w:val="18"/>
          <w:color w:val="auto"/>
        </w:rPr>
        <w:t>Our NEOs’ Target Annual Incentive Opportunities for 2024 are set forth in the table below:</w:t>
      </w:r>
    </w:p>
    <w:p>
      <w:pPr>
        <w:spacing w:after="0" w:line="326"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4780" w:type="dxa"/>
            <w:vAlign w:val="bottom"/>
            <w:shd w:val="clear" w:color="auto" w:fill="000000"/>
          </w:tcPr>
          <w:p>
            <w:pPr>
              <w:spacing w:after="0"/>
              <w:rPr>
                <w:sz w:val="24"/>
                <w:szCs w:val="24"/>
                <w:color w:val="auto"/>
              </w:rPr>
            </w:pPr>
          </w:p>
        </w:tc>
        <w:tc>
          <w:tcPr>
            <w:tcW w:w="5640" w:type="dxa"/>
            <w:vAlign w:val="bottom"/>
            <w:gridSpan w:val="2"/>
            <w:shd w:val="clear" w:color="auto" w:fill="000000"/>
          </w:tcPr>
          <w:p>
            <w:pPr>
              <w:ind w:left="2920"/>
              <w:spacing w:after="0"/>
              <w:rPr>
                <w:sz w:val="20"/>
                <w:szCs w:val="20"/>
                <w:color w:val="auto"/>
              </w:rPr>
            </w:pPr>
            <w:r>
              <w:rPr>
                <w:rFonts w:ascii="Arial" w:cs="Arial" w:eastAsia="Arial" w:hAnsi="Arial"/>
                <w:sz w:val="14"/>
                <w:szCs w:val="14"/>
                <w:color w:val="FFFFFF"/>
              </w:rPr>
              <w:t>Target Annual Incentive Opportunity</w:t>
            </w:r>
          </w:p>
        </w:tc>
      </w:tr>
      <w:tr>
        <w:trPr>
          <w:trHeight w:val="369"/>
        </w:trPr>
        <w:tc>
          <w:tcPr>
            <w:tcW w:w="47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4220" w:type="dxa"/>
            <w:vAlign w:val="bottom"/>
            <w:shd w:val="clear" w:color="auto" w:fill="000000"/>
          </w:tcPr>
          <w:p>
            <w:pPr>
              <w:ind w:left="2920"/>
              <w:spacing w:after="0"/>
              <w:rPr>
                <w:sz w:val="20"/>
                <w:szCs w:val="20"/>
                <w:color w:val="auto"/>
              </w:rPr>
            </w:pPr>
            <w:r>
              <w:rPr>
                <w:rFonts w:ascii="Arial" w:cs="Arial" w:eastAsia="Arial" w:hAnsi="Arial"/>
                <w:sz w:val="14"/>
                <w:szCs w:val="14"/>
                <w:color w:val="FFFFFF"/>
              </w:rPr>
              <w:t>% of Base Salary</w:t>
            </w:r>
          </w:p>
        </w:tc>
        <w:tc>
          <w:tcPr>
            <w:tcW w:w="1420" w:type="dxa"/>
            <w:vAlign w:val="bottom"/>
            <w:shd w:val="clear" w:color="auto" w:fill="000000"/>
          </w:tcPr>
          <w:p>
            <w:pPr>
              <w:ind w:left="220"/>
              <w:spacing w:after="0"/>
              <w:rPr>
                <w:sz w:val="20"/>
                <w:szCs w:val="20"/>
                <w:color w:val="auto"/>
              </w:rPr>
            </w:pPr>
            <w:r>
              <w:rPr>
                <w:rFonts w:ascii="Arial" w:cs="Arial" w:eastAsia="Arial" w:hAnsi="Arial"/>
                <w:sz w:val="14"/>
                <w:szCs w:val="14"/>
                <w:color w:val="FFFFFF"/>
              </w:rPr>
              <w:t>Amount</w:t>
            </w:r>
          </w:p>
        </w:tc>
      </w:tr>
      <w:tr>
        <w:trPr>
          <w:trHeight w:val="99"/>
        </w:trPr>
        <w:tc>
          <w:tcPr>
            <w:tcW w:w="4780" w:type="dxa"/>
            <w:vAlign w:val="bottom"/>
            <w:shd w:val="clear" w:color="auto" w:fill="000000"/>
          </w:tcPr>
          <w:p>
            <w:pPr>
              <w:spacing w:after="0"/>
              <w:rPr>
                <w:sz w:val="8"/>
                <w:szCs w:val="8"/>
                <w:color w:val="auto"/>
              </w:rPr>
            </w:pPr>
          </w:p>
        </w:tc>
        <w:tc>
          <w:tcPr>
            <w:tcW w:w="4220" w:type="dxa"/>
            <w:vAlign w:val="bottom"/>
            <w:shd w:val="clear" w:color="auto" w:fill="000000"/>
          </w:tcPr>
          <w:p>
            <w:pPr>
              <w:spacing w:after="0"/>
              <w:rPr>
                <w:sz w:val="8"/>
                <w:szCs w:val="8"/>
                <w:color w:val="auto"/>
              </w:rPr>
            </w:pPr>
          </w:p>
        </w:tc>
        <w:tc>
          <w:tcPr>
            <w:tcW w:w="1420" w:type="dxa"/>
            <w:vAlign w:val="bottom"/>
            <w:shd w:val="clear" w:color="auto" w:fill="000000"/>
          </w:tcPr>
          <w:p>
            <w:pPr>
              <w:spacing w:after="0"/>
              <w:rPr>
                <w:sz w:val="8"/>
                <w:szCs w:val="8"/>
                <w:color w:val="auto"/>
              </w:rPr>
            </w:pPr>
          </w:p>
        </w:tc>
      </w:tr>
      <w:tr>
        <w:trPr>
          <w:trHeight w:val="276"/>
        </w:trPr>
        <w:tc>
          <w:tcPr>
            <w:tcW w:w="478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4220" w:type="dxa"/>
            <w:vAlign w:val="bottom"/>
          </w:tcPr>
          <w:p>
            <w:pPr>
              <w:ind w:left="2920"/>
              <w:spacing w:after="0"/>
              <w:rPr>
                <w:sz w:val="20"/>
                <w:szCs w:val="20"/>
                <w:color w:val="auto"/>
              </w:rPr>
            </w:pPr>
            <w:r>
              <w:rPr>
                <w:rFonts w:ascii="Arial" w:cs="Arial" w:eastAsia="Arial" w:hAnsi="Arial"/>
                <w:sz w:val="16"/>
                <w:szCs w:val="16"/>
                <w:color w:val="auto"/>
              </w:rPr>
              <w:t>100%</w:t>
            </w:r>
          </w:p>
        </w:tc>
        <w:tc>
          <w:tcPr>
            <w:tcW w:w="1420" w:type="dxa"/>
            <w:vAlign w:val="bottom"/>
          </w:tcPr>
          <w:p>
            <w:pPr>
              <w:ind w:left="220"/>
              <w:spacing w:after="0"/>
              <w:rPr>
                <w:sz w:val="20"/>
                <w:szCs w:val="20"/>
                <w:color w:val="auto"/>
              </w:rPr>
            </w:pPr>
            <w:r>
              <w:rPr>
                <w:rFonts w:ascii="Arial" w:cs="Arial" w:eastAsia="Arial" w:hAnsi="Arial"/>
                <w:sz w:val="16"/>
                <w:szCs w:val="16"/>
                <w:color w:val="auto"/>
              </w:rPr>
              <w:t>$625,000</w:t>
            </w:r>
          </w:p>
        </w:tc>
      </w:tr>
      <w:tr>
        <w:trPr>
          <w:trHeight w:val="85"/>
        </w:trPr>
        <w:tc>
          <w:tcPr>
            <w:tcW w:w="478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478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4220" w:type="dxa"/>
            <w:vAlign w:val="bottom"/>
          </w:tcPr>
          <w:p>
            <w:pPr>
              <w:ind w:left="2920"/>
              <w:spacing w:after="0"/>
              <w:rPr>
                <w:sz w:val="20"/>
                <w:szCs w:val="20"/>
                <w:color w:val="auto"/>
              </w:rPr>
            </w:pPr>
            <w:r>
              <w:rPr>
                <w:rFonts w:ascii="Arial" w:cs="Arial" w:eastAsia="Arial" w:hAnsi="Arial"/>
                <w:sz w:val="16"/>
                <w:szCs w:val="16"/>
                <w:color w:val="auto"/>
              </w:rPr>
              <w:t>50%</w:t>
            </w:r>
          </w:p>
        </w:tc>
        <w:tc>
          <w:tcPr>
            <w:tcW w:w="1420" w:type="dxa"/>
            <w:vAlign w:val="bottom"/>
          </w:tcPr>
          <w:p>
            <w:pPr>
              <w:ind w:left="220"/>
              <w:spacing w:after="0"/>
              <w:rPr>
                <w:sz w:val="20"/>
                <w:szCs w:val="20"/>
                <w:color w:val="auto"/>
              </w:rPr>
            </w:pPr>
            <w:r>
              <w:rPr>
                <w:rFonts w:ascii="Arial" w:cs="Arial" w:eastAsia="Arial" w:hAnsi="Arial"/>
                <w:sz w:val="16"/>
                <w:szCs w:val="16"/>
                <w:color w:val="auto"/>
              </w:rPr>
              <w:t>$200,000</w:t>
            </w:r>
          </w:p>
        </w:tc>
      </w:tr>
      <w:tr>
        <w:trPr>
          <w:trHeight w:val="85"/>
        </w:trPr>
        <w:tc>
          <w:tcPr>
            <w:tcW w:w="478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478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4220" w:type="dxa"/>
            <w:vAlign w:val="bottom"/>
          </w:tcPr>
          <w:p>
            <w:pPr>
              <w:ind w:left="2920"/>
              <w:spacing w:after="0"/>
              <w:rPr>
                <w:sz w:val="20"/>
                <w:szCs w:val="20"/>
                <w:color w:val="auto"/>
              </w:rPr>
            </w:pPr>
            <w:r>
              <w:rPr>
                <w:rFonts w:ascii="Arial" w:cs="Arial" w:eastAsia="Arial" w:hAnsi="Arial"/>
                <w:sz w:val="16"/>
                <w:szCs w:val="16"/>
                <w:color w:val="auto"/>
              </w:rPr>
              <w:t>90%</w:t>
            </w:r>
          </w:p>
        </w:tc>
        <w:tc>
          <w:tcPr>
            <w:tcW w:w="1420" w:type="dxa"/>
            <w:vAlign w:val="bottom"/>
          </w:tcPr>
          <w:p>
            <w:pPr>
              <w:ind w:left="220"/>
              <w:spacing w:after="0"/>
              <w:rPr>
                <w:sz w:val="20"/>
                <w:szCs w:val="20"/>
                <w:color w:val="auto"/>
              </w:rPr>
            </w:pPr>
            <w:r>
              <w:rPr>
                <w:rFonts w:ascii="Arial" w:cs="Arial" w:eastAsia="Arial" w:hAnsi="Arial"/>
                <w:sz w:val="16"/>
                <w:szCs w:val="16"/>
                <w:color w:val="auto"/>
              </w:rPr>
              <w:t>$535,500</w:t>
            </w:r>
          </w:p>
        </w:tc>
      </w:tr>
      <w:tr>
        <w:trPr>
          <w:trHeight w:val="85"/>
        </w:trPr>
        <w:tc>
          <w:tcPr>
            <w:tcW w:w="478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478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4220" w:type="dxa"/>
            <w:vAlign w:val="bottom"/>
          </w:tcPr>
          <w:p>
            <w:pPr>
              <w:ind w:left="2920"/>
              <w:spacing w:after="0"/>
              <w:rPr>
                <w:sz w:val="20"/>
                <w:szCs w:val="20"/>
                <w:color w:val="auto"/>
              </w:rPr>
            </w:pPr>
            <w:r>
              <w:rPr>
                <w:rFonts w:ascii="Arial" w:cs="Arial" w:eastAsia="Arial" w:hAnsi="Arial"/>
                <w:sz w:val="16"/>
                <w:szCs w:val="16"/>
                <w:color w:val="auto"/>
              </w:rPr>
              <w:t>75%</w:t>
            </w:r>
          </w:p>
        </w:tc>
        <w:tc>
          <w:tcPr>
            <w:tcW w:w="1420" w:type="dxa"/>
            <w:vAlign w:val="bottom"/>
          </w:tcPr>
          <w:p>
            <w:pPr>
              <w:ind w:left="220"/>
              <w:spacing w:after="0"/>
              <w:rPr>
                <w:sz w:val="20"/>
                <w:szCs w:val="20"/>
                <w:color w:val="auto"/>
              </w:rPr>
            </w:pPr>
            <w:r>
              <w:rPr>
                <w:rFonts w:ascii="Arial" w:cs="Arial" w:eastAsia="Arial" w:hAnsi="Arial"/>
                <w:sz w:val="16"/>
                <w:szCs w:val="16"/>
                <w:color w:val="auto"/>
              </w:rPr>
              <w:t>$453,750</w:t>
            </w:r>
          </w:p>
        </w:tc>
      </w:tr>
      <w:tr>
        <w:trPr>
          <w:trHeight w:val="85"/>
        </w:trPr>
        <w:tc>
          <w:tcPr>
            <w:tcW w:w="478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318"/>
        </w:trPr>
        <w:tc>
          <w:tcPr>
            <w:tcW w:w="478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(1)</w:t>
            </w:r>
          </w:p>
        </w:tc>
        <w:tc>
          <w:tcPr>
            <w:tcW w:w="4220" w:type="dxa"/>
            <w:vAlign w:val="bottom"/>
          </w:tcPr>
          <w:p>
            <w:pPr>
              <w:ind w:left="2920"/>
              <w:spacing w:after="0"/>
              <w:rPr>
                <w:sz w:val="20"/>
                <w:szCs w:val="20"/>
                <w:color w:val="auto"/>
              </w:rPr>
            </w:pPr>
            <w:r>
              <w:rPr>
                <w:rFonts w:ascii="Arial" w:cs="Arial" w:eastAsia="Arial" w:hAnsi="Arial"/>
                <w:sz w:val="16"/>
                <w:szCs w:val="16"/>
                <w:color w:val="auto"/>
              </w:rPr>
              <w:t>—</w:t>
            </w:r>
          </w:p>
        </w:tc>
        <w:tc>
          <w:tcPr>
            <w:tcW w:w="142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74"/>
        </w:trPr>
        <w:tc>
          <w:tcPr>
            <w:tcW w:w="4780" w:type="dxa"/>
            <w:vAlign w:val="bottom"/>
            <w:tcBorders>
              <w:bottom w:val="single" w:sz="8" w:color="auto"/>
            </w:tcBorders>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4886960</wp:posOffset>
                </wp:positionH>
                <wp:positionV relativeFrom="paragraph">
                  <wp:posOffset>-1416050</wp:posOffset>
                </wp:positionV>
                <wp:extent cx="157543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543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8pt,-111.4999pt" to="508.85pt,-111.4999pt" o:allowincell="f" strokecolor="#FFFFFF" strokeweight="0.499pt"/>
            </w:pict>
          </mc:Fallback>
        </mc:AlternateContent>
      </w:r>
    </w:p>
    <w:p>
      <w:pPr>
        <w:spacing w:after="0" w:line="244" w:lineRule="exact"/>
        <w:rPr>
          <w:sz w:val="20"/>
          <w:szCs w:val="20"/>
          <w:color w:val="auto"/>
        </w:rPr>
      </w:pPr>
    </w:p>
    <w:p>
      <w:pPr>
        <w:ind w:left="142" w:hanging="142"/>
        <w:spacing w:after="0"/>
        <w:tabs>
          <w:tab w:leader="none" w:pos="142" w:val="left"/>
        </w:tabs>
        <w:numPr>
          <w:ilvl w:val="0"/>
          <w:numId w:val="32"/>
        </w:numPr>
        <w:rPr>
          <w:rFonts w:ascii="Arial" w:cs="Arial" w:eastAsia="Arial" w:hAnsi="Arial"/>
          <w:sz w:val="17"/>
          <w:szCs w:val="17"/>
          <w:color w:val="auto"/>
          <w:vertAlign w:val="superscript"/>
        </w:rPr>
      </w:pPr>
      <w:r>
        <w:rPr>
          <w:rFonts w:ascii="Arial" w:cs="Arial" w:eastAsia="Arial" w:hAnsi="Arial"/>
          <w:sz w:val="11"/>
          <w:szCs w:val="11"/>
          <w:color w:val="auto"/>
        </w:rPr>
        <w:t>Due to Mr. Bell’s separation on May 3, 2024, he was not eligible for annual incentive opportunity for 2024.</w:t>
      </w:r>
    </w:p>
    <w:p>
      <w:pPr>
        <w:spacing w:after="0" w:line="237" w:lineRule="exact"/>
        <w:rPr>
          <w:sz w:val="20"/>
          <w:szCs w:val="20"/>
          <w:color w:val="auto"/>
        </w:rPr>
      </w:pPr>
    </w:p>
    <w:p>
      <w:pPr>
        <w:ind w:left="2"/>
        <w:spacing w:after="0" w:line="293" w:lineRule="auto"/>
        <w:rPr>
          <w:sz w:val="20"/>
          <w:szCs w:val="20"/>
          <w:color w:val="auto"/>
        </w:rPr>
      </w:pPr>
      <w:r>
        <w:rPr>
          <w:rFonts w:ascii="Arial" w:cs="Arial" w:eastAsia="Arial" w:hAnsi="Arial"/>
          <w:sz w:val="18"/>
          <w:szCs w:val="18"/>
          <w:color w:val="auto"/>
        </w:rPr>
        <w:t>Company Performance Metrics. For 2024, the Board, upon recommendation of the Compensation and Human Capital Committee, selected deliveries, gross margin, free cash flow, and the Lucid Gravity start of production as corporate performance metrics (the “Company Performance Metrics”). The Company Performance Metrics and their respective targets reflect a balanced approach, focusing on key performance metrics that align with our annual growth objectives as well as our long-term business plan. At the time the Company Performance Metrics were established for 2024, the Board, upon the recommendation of the Compensation and Human Capital Committee, believed that attaining such goals would require a high level of effort and skilled execution on the part of our executives, including our NEOs, to achieve strong sales and operational success. For example, the 2024 delivery target would require a significant increase over the number of vehicles delivered in the prior year, demanding strong execution from the executive team. The introduction of the Lucid Gravity Start of Production as a performance metric also helped ensure alignment between executive compensation and the achievement of a critical strategic milestone under a challenging timeline. Additionally, the Free Cash Flow and Gross Margin targets reflect the increased production levels necessary to meet the delivery target, while also accounting for the associated costs of achieving the Lucid Gravity Start of Production.</w:t>
      </w:r>
    </w:p>
    <w:p>
      <w:pPr>
        <w:spacing w:after="0" w:line="200" w:lineRule="exact"/>
        <w:rPr>
          <w:sz w:val="20"/>
          <w:szCs w:val="20"/>
          <w:color w:val="auto"/>
        </w:rPr>
      </w:pPr>
    </w:p>
    <w:p>
      <w:pPr>
        <w:spacing w:after="0" w:line="317"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25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Company Performance Metrics</w:t>
            </w:r>
          </w:p>
        </w:tc>
        <w:tc>
          <w:tcPr>
            <w:tcW w:w="880" w:type="dxa"/>
            <w:vAlign w:val="bottom"/>
            <w:shd w:val="clear" w:color="auto" w:fill="000000"/>
          </w:tcPr>
          <w:p>
            <w:pPr>
              <w:ind w:left="280"/>
              <w:spacing w:after="0"/>
              <w:rPr>
                <w:sz w:val="20"/>
                <w:szCs w:val="20"/>
                <w:color w:val="auto"/>
              </w:rPr>
            </w:pPr>
            <w:r>
              <w:rPr>
                <w:rFonts w:ascii="Arial" w:cs="Arial" w:eastAsia="Arial" w:hAnsi="Arial"/>
                <w:sz w:val="14"/>
                <w:szCs w:val="14"/>
                <w:color w:val="FFFFFF"/>
              </w:rPr>
              <w:t>Weight</w:t>
            </w:r>
          </w:p>
        </w:tc>
        <w:tc>
          <w:tcPr>
            <w:tcW w:w="70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Metric Description</w:t>
            </w:r>
          </w:p>
        </w:tc>
      </w:tr>
      <w:tr>
        <w:trPr>
          <w:trHeight w:val="149"/>
        </w:trPr>
        <w:tc>
          <w:tcPr>
            <w:tcW w:w="254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7000" w:type="dxa"/>
            <w:vAlign w:val="bottom"/>
            <w:shd w:val="clear" w:color="auto" w:fill="000000"/>
          </w:tcPr>
          <w:p>
            <w:pPr>
              <w:spacing w:after="0"/>
              <w:rPr>
                <w:sz w:val="12"/>
                <w:szCs w:val="12"/>
                <w:color w:val="auto"/>
              </w:rPr>
            </w:pPr>
          </w:p>
        </w:tc>
      </w:tr>
      <w:tr>
        <w:trPr>
          <w:trHeight w:val="309"/>
        </w:trPr>
        <w:tc>
          <w:tcPr>
            <w:tcW w:w="2540" w:type="dxa"/>
            <w:vAlign w:val="bottom"/>
          </w:tcPr>
          <w:p>
            <w:pPr>
              <w:ind w:left="180"/>
              <w:spacing w:after="0"/>
              <w:rPr>
                <w:sz w:val="20"/>
                <w:szCs w:val="20"/>
                <w:color w:val="auto"/>
              </w:rPr>
            </w:pPr>
            <w:r>
              <w:rPr>
                <w:rFonts w:ascii="Arial" w:cs="Arial" w:eastAsia="Arial" w:hAnsi="Arial"/>
                <w:sz w:val="16"/>
                <w:szCs w:val="16"/>
                <w:color w:val="auto"/>
              </w:rPr>
              <w:t>Deliveries</w:t>
            </w:r>
          </w:p>
        </w:tc>
        <w:tc>
          <w:tcPr>
            <w:tcW w:w="880" w:type="dxa"/>
            <w:vAlign w:val="bottom"/>
          </w:tcPr>
          <w:p>
            <w:pPr>
              <w:ind w:left="280"/>
              <w:spacing w:after="0"/>
              <w:rPr>
                <w:sz w:val="20"/>
                <w:szCs w:val="20"/>
                <w:color w:val="auto"/>
              </w:rPr>
            </w:pPr>
            <w:r>
              <w:rPr>
                <w:rFonts w:ascii="Arial" w:cs="Arial" w:eastAsia="Arial" w:hAnsi="Arial"/>
                <w:sz w:val="16"/>
                <w:szCs w:val="16"/>
                <w:color w:val="auto"/>
              </w:rPr>
              <w:t>30%</w:t>
            </w:r>
          </w:p>
        </w:tc>
        <w:tc>
          <w:tcPr>
            <w:tcW w:w="7000" w:type="dxa"/>
            <w:vAlign w:val="bottom"/>
          </w:tcPr>
          <w:p>
            <w:pPr>
              <w:ind w:left="120"/>
              <w:spacing w:after="0"/>
              <w:rPr>
                <w:sz w:val="20"/>
                <w:szCs w:val="20"/>
                <w:color w:val="auto"/>
              </w:rPr>
            </w:pPr>
            <w:r>
              <w:rPr>
                <w:rFonts w:ascii="Arial" w:cs="Arial" w:eastAsia="Arial" w:hAnsi="Arial"/>
                <w:sz w:val="16"/>
                <w:szCs w:val="16"/>
                <w:color w:val="auto"/>
              </w:rPr>
              <w:t>The number of Lucid vehicles transferred to customers for the full fiscal year ended</w:t>
            </w:r>
          </w:p>
        </w:tc>
      </w:tr>
      <w:tr>
        <w:trPr>
          <w:trHeight w:val="197"/>
        </w:trPr>
        <w:tc>
          <w:tcPr>
            <w:tcW w:w="2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December 31, 2024.</w:t>
            </w:r>
          </w:p>
        </w:tc>
      </w:tr>
      <w:tr>
        <w:trPr>
          <w:trHeight w:val="135"/>
        </w:trPr>
        <w:tc>
          <w:tcPr>
            <w:tcW w:w="2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r>
        <w:trPr>
          <w:trHeight w:val="287"/>
        </w:trPr>
        <w:tc>
          <w:tcPr>
            <w:tcW w:w="2540" w:type="dxa"/>
            <w:vAlign w:val="bottom"/>
          </w:tcPr>
          <w:p>
            <w:pPr>
              <w:ind w:left="180"/>
              <w:spacing w:after="0"/>
              <w:rPr>
                <w:sz w:val="20"/>
                <w:szCs w:val="20"/>
                <w:color w:val="auto"/>
              </w:rPr>
            </w:pPr>
            <w:r>
              <w:rPr>
                <w:rFonts w:ascii="Arial" w:cs="Arial" w:eastAsia="Arial" w:hAnsi="Arial"/>
                <w:sz w:val="16"/>
                <w:szCs w:val="16"/>
                <w:color w:val="auto"/>
              </w:rPr>
              <w:t>Free Cash Flow</w:t>
            </w:r>
            <w:r>
              <w:rPr>
                <w:rFonts w:ascii="Arial" w:cs="Arial" w:eastAsia="Arial" w:hAnsi="Arial"/>
                <w:sz w:val="19"/>
                <w:szCs w:val="19"/>
                <w:color w:val="auto"/>
                <w:vertAlign w:val="superscript"/>
              </w:rPr>
              <w:t>(1)</w:t>
            </w:r>
          </w:p>
        </w:tc>
        <w:tc>
          <w:tcPr>
            <w:tcW w:w="880" w:type="dxa"/>
            <w:vAlign w:val="bottom"/>
          </w:tcPr>
          <w:p>
            <w:pPr>
              <w:ind w:left="280"/>
              <w:spacing w:after="0"/>
              <w:rPr>
                <w:sz w:val="20"/>
                <w:szCs w:val="20"/>
                <w:color w:val="auto"/>
              </w:rPr>
            </w:pPr>
            <w:r>
              <w:rPr>
                <w:rFonts w:ascii="Arial" w:cs="Arial" w:eastAsia="Arial" w:hAnsi="Arial"/>
                <w:sz w:val="16"/>
                <w:szCs w:val="16"/>
                <w:color w:val="auto"/>
              </w:rPr>
              <w:t>30%</w:t>
            </w:r>
          </w:p>
        </w:tc>
        <w:tc>
          <w:tcPr>
            <w:tcW w:w="7000" w:type="dxa"/>
            <w:vAlign w:val="bottom"/>
          </w:tcPr>
          <w:p>
            <w:pPr>
              <w:ind w:left="120"/>
              <w:spacing w:after="0"/>
              <w:rPr>
                <w:sz w:val="20"/>
                <w:szCs w:val="20"/>
                <w:color w:val="auto"/>
              </w:rPr>
            </w:pPr>
            <w:r>
              <w:rPr>
                <w:rFonts w:ascii="Arial" w:cs="Arial" w:eastAsia="Arial" w:hAnsi="Arial"/>
                <w:sz w:val="16"/>
                <w:szCs w:val="16"/>
                <w:color w:val="auto"/>
              </w:rPr>
              <w:t>The Company’s net cash from operations less capital expenditures, subject to any</w:t>
            </w:r>
          </w:p>
        </w:tc>
      </w:tr>
      <w:tr>
        <w:trPr>
          <w:trHeight w:val="197"/>
        </w:trPr>
        <w:tc>
          <w:tcPr>
            <w:tcW w:w="2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cash balance adjustments not connected to operations.</w:t>
            </w:r>
          </w:p>
        </w:tc>
      </w:tr>
      <w:tr>
        <w:trPr>
          <w:trHeight w:val="135"/>
        </w:trPr>
        <w:tc>
          <w:tcPr>
            <w:tcW w:w="2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r>
        <w:trPr>
          <w:trHeight w:val="287"/>
        </w:trPr>
        <w:tc>
          <w:tcPr>
            <w:tcW w:w="2540" w:type="dxa"/>
            <w:vAlign w:val="bottom"/>
          </w:tcPr>
          <w:p>
            <w:pPr>
              <w:ind w:left="180"/>
              <w:spacing w:after="0"/>
              <w:rPr>
                <w:sz w:val="20"/>
                <w:szCs w:val="20"/>
                <w:color w:val="auto"/>
              </w:rPr>
            </w:pPr>
            <w:r>
              <w:rPr>
                <w:rFonts w:ascii="Arial" w:cs="Arial" w:eastAsia="Arial" w:hAnsi="Arial"/>
                <w:sz w:val="16"/>
                <w:szCs w:val="16"/>
                <w:color w:val="auto"/>
              </w:rPr>
              <w:t>Gross Margin</w:t>
            </w:r>
          </w:p>
        </w:tc>
        <w:tc>
          <w:tcPr>
            <w:tcW w:w="880" w:type="dxa"/>
            <w:vAlign w:val="bottom"/>
          </w:tcPr>
          <w:p>
            <w:pPr>
              <w:ind w:left="280"/>
              <w:spacing w:after="0"/>
              <w:rPr>
                <w:sz w:val="20"/>
                <w:szCs w:val="20"/>
                <w:color w:val="auto"/>
              </w:rPr>
            </w:pPr>
            <w:r>
              <w:rPr>
                <w:rFonts w:ascii="Arial" w:cs="Arial" w:eastAsia="Arial" w:hAnsi="Arial"/>
                <w:sz w:val="16"/>
                <w:szCs w:val="16"/>
                <w:color w:val="auto"/>
              </w:rPr>
              <w:t>20%</w:t>
            </w:r>
          </w:p>
        </w:tc>
        <w:tc>
          <w:tcPr>
            <w:tcW w:w="7000" w:type="dxa"/>
            <w:vAlign w:val="bottom"/>
          </w:tcPr>
          <w:p>
            <w:pPr>
              <w:ind w:left="120"/>
              <w:spacing w:after="0"/>
              <w:rPr>
                <w:sz w:val="20"/>
                <w:szCs w:val="20"/>
                <w:color w:val="auto"/>
              </w:rPr>
            </w:pPr>
            <w:r>
              <w:rPr>
                <w:rFonts w:ascii="Arial" w:cs="Arial" w:eastAsia="Arial" w:hAnsi="Arial"/>
                <w:sz w:val="16"/>
                <w:szCs w:val="16"/>
                <w:color w:val="auto"/>
              </w:rPr>
              <w:t>The Company’s sales minus its cost of goods sold, expressed as a percentage of</w:t>
            </w:r>
          </w:p>
        </w:tc>
      </w:tr>
      <w:tr>
        <w:trPr>
          <w:trHeight w:val="197"/>
        </w:trPr>
        <w:tc>
          <w:tcPr>
            <w:tcW w:w="2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sales.</w:t>
            </w:r>
          </w:p>
        </w:tc>
      </w:tr>
      <w:tr>
        <w:trPr>
          <w:trHeight w:val="135"/>
        </w:trPr>
        <w:tc>
          <w:tcPr>
            <w:tcW w:w="2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r>
        <w:trPr>
          <w:trHeight w:val="287"/>
        </w:trPr>
        <w:tc>
          <w:tcPr>
            <w:tcW w:w="2540" w:type="dxa"/>
            <w:vAlign w:val="bottom"/>
          </w:tcPr>
          <w:p>
            <w:pPr>
              <w:ind w:left="180"/>
              <w:spacing w:after="0"/>
              <w:rPr>
                <w:sz w:val="20"/>
                <w:szCs w:val="20"/>
                <w:color w:val="auto"/>
              </w:rPr>
            </w:pPr>
            <w:r>
              <w:rPr>
                <w:rFonts w:ascii="Arial" w:cs="Arial" w:eastAsia="Arial" w:hAnsi="Arial"/>
                <w:sz w:val="16"/>
                <w:szCs w:val="16"/>
                <w:color w:val="auto"/>
              </w:rPr>
              <w:t>The Lucid Gravity Start of</w:t>
            </w:r>
          </w:p>
        </w:tc>
        <w:tc>
          <w:tcPr>
            <w:tcW w:w="880" w:type="dxa"/>
            <w:vAlign w:val="bottom"/>
          </w:tcPr>
          <w:p>
            <w:pPr>
              <w:ind w:left="280"/>
              <w:spacing w:after="0"/>
              <w:rPr>
                <w:sz w:val="20"/>
                <w:szCs w:val="20"/>
                <w:color w:val="auto"/>
              </w:rPr>
            </w:pPr>
            <w:r>
              <w:rPr>
                <w:rFonts w:ascii="Arial" w:cs="Arial" w:eastAsia="Arial" w:hAnsi="Arial"/>
                <w:sz w:val="16"/>
                <w:szCs w:val="16"/>
                <w:color w:val="auto"/>
              </w:rPr>
              <w:t>20%</w:t>
            </w:r>
          </w:p>
        </w:tc>
        <w:tc>
          <w:tcPr>
            <w:tcW w:w="7000" w:type="dxa"/>
            <w:vAlign w:val="bottom"/>
          </w:tcPr>
          <w:p>
            <w:pPr>
              <w:ind w:left="120"/>
              <w:spacing w:after="0"/>
              <w:rPr>
                <w:sz w:val="20"/>
                <w:szCs w:val="20"/>
                <w:color w:val="auto"/>
              </w:rPr>
            </w:pPr>
            <w:r>
              <w:rPr>
                <w:rFonts w:ascii="Arial" w:cs="Arial" w:eastAsia="Arial" w:hAnsi="Arial"/>
                <w:sz w:val="16"/>
                <w:szCs w:val="16"/>
                <w:color w:val="auto"/>
              </w:rPr>
              <w:t>Start the production of the Lucid Gravity no later than December 31, 2024.</w:t>
            </w:r>
          </w:p>
        </w:tc>
      </w:tr>
      <w:tr>
        <w:trPr>
          <w:trHeight w:val="197"/>
        </w:trPr>
        <w:tc>
          <w:tcPr>
            <w:tcW w:w="2540" w:type="dxa"/>
            <w:vAlign w:val="bottom"/>
          </w:tcPr>
          <w:p>
            <w:pPr>
              <w:ind w:left="180"/>
              <w:spacing w:after="0"/>
              <w:rPr>
                <w:sz w:val="20"/>
                <w:szCs w:val="20"/>
                <w:color w:val="auto"/>
              </w:rPr>
            </w:pPr>
            <w:r>
              <w:rPr>
                <w:rFonts w:ascii="Arial" w:cs="Arial" w:eastAsia="Arial" w:hAnsi="Arial"/>
                <w:sz w:val="16"/>
                <w:szCs w:val="16"/>
                <w:color w:val="auto"/>
              </w:rPr>
              <w:t>Production</w:t>
            </w:r>
          </w:p>
        </w:tc>
        <w:tc>
          <w:tcPr>
            <w:tcW w:w="880" w:type="dxa"/>
            <w:vAlign w:val="bottom"/>
          </w:tcPr>
          <w:p>
            <w:pPr>
              <w:spacing w:after="0"/>
              <w:rPr>
                <w:sz w:val="17"/>
                <w:szCs w:val="17"/>
                <w:color w:val="auto"/>
              </w:rPr>
            </w:pPr>
          </w:p>
        </w:tc>
        <w:tc>
          <w:tcPr>
            <w:tcW w:w="7000" w:type="dxa"/>
            <w:vAlign w:val="bottom"/>
          </w:tcPr>
          <w:p>
            <w:pPr>
              <w:spacing w:after="0"/>
              <w:rPr>
                <w:sz w:val="17"/>
                <w:szCs w:val="17"/>
                <w:color w:val="auto"/>
              </w:rPr>
            </w:pPr>
          </w:p>
        </w:tc>
      </w:tr>
      <w:tr>
        <w:trPr>
          <w:trHeight w:val="138"/>
        </w:trPr>
        <w:tc>
          <w:tcPr>
            <w:tcW w:w="2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bl>
    <w:p>
      <w:pPr>
        <w:spacing w:after="0" w:line="313" w:lineRule="exact"/>
        <w:rPr>
          <w:sz w:val="20"/>
          <w:szCs w:val="20"/>
          <w:color w:val="auto"/>
        </w:rPr>
      </w:pPr>
    </w:p>
    <w:p>
      <w:pPr>
        <w:ind w:left="142" w:right="80" w:hanging="142"/>
        <w:spacing w:after="0"/>
        <w:tabs>
          <w:tab w:leader="none" w:pos="142" w:val="left"/>
        </w:tabs>
        <w:numPr>
          <w:ilvl w:val="0"/>
          <w:numId w:val="33"/>
        </w:numPr>
        <w:rPr>
          <w:rFonts w:ascii="Arial" w:cs="Arial" w:eastAsia="Arial" w:hAnsi="Arial"/>
          <w:sz w:val="17"/>
          <w:szCs w:val="17"/>
          <w:color w:val="auto"/>
          <w:vertAlign w:val="superscript"/>
        </w:rPr>
      </w:pPr>
      <w:r>
        <w:rPr>
          <w:rFonts w:ascii="Arial" w:cs="Arial" w:eastAsia="Arial" w:hAnsi="Arial"/>
          <w:sz w:val="11"/>
          <w:szCs w:val="11"/>
          <w:color w:val="auto"/>
        </w:rPr>
        <w:t>Free Cash Flow is not a financial measure prepared in accordance with generally accepted accounting principles (“GAAP”). For information on how we compute these non-GAAP financial measures and a reconciliation to the most directly comparable financial measures prepared in accordance with GAAP, please refer to “Annex B: Reconciliation of Non-GAAP Financial Measures” in this Proxy Statement.</w:t>
      </w:r>
    </w:p>
    <w:p>
      <w:pPr>
        <w:spacing w:after="0" w:line="363" w:lineRule="exact"/>
        <w:rPr>
          <w:sz w:val="20"/>
          <w:szCs w:val="20"/>
          <w:color w:val="auto"/>
        </w:rPr>
      </w:pPr>
    </w:p>
    <w:p>
      <w:pPr>
        <w:ind w:left="2" w:right="40"/>
        <w:spacing w:after="0" w:line="293" w:lineRule="auto"/>
        <w:rPr>
          <w:sz w:val="20"/>
          <w:szCs w:val="20"/>
          <w:color w:val="auto"/>
        </w:rPr>
      </w:pPr>
      <w:r>
        <w:rPr>
          <w:rFonts w:ascii="Arial" w:cs="Arial" w:eastAsia="Arial" w:hAnsi="Arial"/>
          <w:sz w:val="18"/>
          <w:szCs w:val="18"/>
          <w:color w:val="auto"/>
        </w:rPr>
        <w:t>2024 Individual Performance Modifier. The Compensation and Human Capital Committee reviewed and evaluated individual performance of our NEOs against the Company’s objectives and key results as well as key accomplishments for 2024, based on the recommendation from our former CEO, Mr. Rawlinson (other than for his own performance). While the Compensation and Human Capital Committee considered Mr. Rawlinson’s recommendations, the Compensation and Human Capital Committee ultimately was responsible for determining the final individual performance ratings and individual performance modifiers. In the case of Mr. Rawlinson’s performance, the Compensation and Human Capital Committee reviewed and recommended to the Board, and the Board ultimately approved his performance rating and individual performance modifier.</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51</w:t>
      </w:r>
    </w:p>
    <w:p>
      <w:pPr>
        <w:sectPr>
          <w:pgSz w:w="11880" w:h="15480" w:orient="portrait"/>
          <w:cols w:equalWidth="0" w:num="1">
            <w:col w:w="10422"/>
          </w:cols>
          <w:pgMar w:left="718" w:top="943" w:right="740" w:bottom="0" w:gutter="0" w:footer="0" w:header="0"/>
          <w:type w:val="continuous"/>
        </w:sectPr>
      </w:pPr>
    </w:p>
    <w:bookmarkStart w:id="57" w:name="page58"/>
    <w:bookmarkEnd w:id="57"/>
    <w:p>
      <w:pPr>
        <w:spacing w:after="0" w:line="278" w:lineRule="auto"/>
        <w:rPr>
          <w:sz w:val="20"/>
          <w:szCs w:val="20"/>
          <w:color w:val="auto"/>
        </w:rPr>
      </w:pPr>
      <w:r>
        <w:rPr>
          <w:rFonts w:ascii="Arial" w:cs="Arial" w:eastAsia="Arial" w:hAnsi="Arial"/>
          <w:sz w:val="18"/>
          <w:szCs w:val="18"/>
          <w:color w:val="auto"/>
        </w:rPr>
        <w:t>2024 AIP Actual Performance and Payouts. In March 2025, the Compensation and Human Capital Committee evaluated the Company’s performance in relation to the Company Performance Metrics, as well as the individual contributions of each NEO (other than Mr. Bell, who departed in May 2024) toward the achievement of those metrics. In light of certain operational change, and to better reflect the intent and assumptions under which the target of the Company Performance Metrics were initially set, the Compensation and Human Capital Committee determined it was necessary and appropriate to adjust the manner in which actual performance was calculated for the Free Cash Flow metric for 2024 and 2025 and the Board approved such adjustment in the first quarter of 2025. Specifically, actual Free Cash Flow results for 2024 were reduced by $740 million for purposes of the 2024 AIP and the 2024 Tranche of the 2024 PSU awards, reducing payout under the 2024 AIP and 2024 Tranche of the 2024 PSU awards (with 2024 Tranche defined below under the heading “Long-Term Incentive Compensation-PSUs”). For fiscal year 2024, the Company achieved and exceeded target performance for each of its four Company Performance Metrics with 10,241 deliveries (target 9,000), $(923) million in gross margin (target $(1,027) million), $(3,644) million in free cash flow (target ($4,136) million), and started production of the Lucid Gravity before December 31, 2024, resulting in a Company Payout Factor of 130.3%. As discussed above, actual result of free cash flow incorporates the adjustments approved by the Compensation and Human Capital Committee and the Board in the first quarter of 2025. If no such adjustments had been made, actual Free Cash Flow result for 2024 would have been ($2,904) million, resulting in an overall Company Payout Factor of 136.4%, rather than 130.3%. Taken together, the Target Annual Incentive Opportunity, Company Payout Factor, and any individual performance modifier resulted in the following 2024 AIP payouts for our NEOs: $814,375 for Mr. Rawlinson, $390,900 for Mr. Dhingra, $697,757 for Mr. Winterhoff, and $591,236 for Mr. Bach. Due to his separation in May 2024, Mr. Bell was not eligible for annual incentive opportunity in 2024.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Compensation</w:t>
      </w:r>
    </w:p>
    <w:p>
      <w:pPr>
        <w:spacing w:after="0" w:line="193"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We believe that providing long-term incentive compensation in the form of equity-based awards is a critical element of our executive compensation program as it encourages our NEOs to take a long-term outlook and reinforces our pay-for-performance culture. By providing opportunities for our employees (including our NEOs) to benefit from future successes in Lucid through the appreciation of the value of their equity awards, the Compensation and Human Capital Committee and the Board believe that equity awards align employees’ and our NEOs’ interests and contributions with our critical business objectives as well as the long-term interests of Lucid’s stockholders. Offering meaningful equity ownership in Lucid is also helpful in retaining our NEOs and other key employees.</w:t>
      </w:r>
    </w:p>
    <w:p>
      <w:pPr>
        <w:spacing w:after="0" w:line="22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Based on peer group data and the feedback received from stockholder engagement, the Compensation and Human Capital Committee determined that a combination of PSUs and RSUs would be the most appropriate incentive structure for our executive leaders to reward performance over time and achieve our retention objectives. In determining such combination, the Compensation and Human Capital Committee considered market trends, retention needs, and internal equity considerations, and concluded such combination would provide a substantial retention incentive, further align our long-term incentive program with market trends, and align the interests of our NEOs with those of our stockholders by encouraging them to focus on the Company’s long-term performance and success. For additional detail about our NEO equity award mix for 2024, please see above under the heading “2024 Pay Actions Related to Target Compensation — Long-Term Equity Incentives and 2024 Equity Award Mix.”</w:t>
      </w:r>
    </w:p>
    <w:p>
      <w:pPr>
        <w:spacing w:after="0" w:line="200" w:lineRule="exact"/>
        <w:rPr>
          <w:sz w:val="20"/>
          <w:szCs w:val="20"/>
          <w:color w:val="auto"/>
        </w:rPr>
      </w:pPr>
    </w:p>
    <w:p>
      <w:pPr>
        <w:spacing w:after="0" w:line="26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2024 Equity Grants. In 2024, our executive officers (including our NEOs, other than Messrs. Rawlinson and Bell), received equity awards. In addition to further incentivizing their continued employment with the Company and aligning their interests with our critical business objectives and those of our stockholders, awards were informed by competitive benchmark information from the peer group, individual performance, and internal equity considerations. After review of peer group data provided by Pay Governance, and in view of the still-outstanding value from the 2021 CEO Grant, the Board determined not to grant Mr. Rawlinson an equity award in 2024.</w:t>
      </w:r>
    </w:p>
    <w:p>
      <w:pPr>
        <w:sectPr>
          <w:pgSz w:w="11880" w:h="15480" w:orient="portrait"/>
          <w:cols w:equalWidth="0" w:num="1">
            <w:col w:w="10440"/>
          </w:cols>
          <w:pgMar w:left="720" w:top="94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0"/>
          </w:cols>
          <w:pgMar w:left="720" w:top="942" w:right="720" w:bottom="0" w:gutter="0" w:footer="0" w:header="0"/>
          <w:type w:val="continuous"/>
        </w:sectPr>
      </w:pPr>
    </w:p>
    <w:bookmarkStart w:id="58" w:name="page59"/>
    <w:bookmarkEnd w:id="58"/>
    <w:p>
      <w:pPr>
        <w:ind w:left="2"/>
        <w:spacing w:after="0"/>
        <w:rPr>
          <w:sz w:val="20"/>
          <w:szCs w:val="20"/>
          <w:color w:val="auto"/>
        </w:rPr>
      </w:pPr>
      <w:r>
        <w:rPr>
          <w:rFonts w:ascii="Arial" w:cs="Arial" w:eastAsia="Arial" w:hAnsi="Arial"/>
          <w:sz w:val="18"/>
          <w:szCs w:val="18"/>
          <w:color w:val="auto"/>
        </w:rPr>
        <w:t>The total value (at target) of equity awards granted to each of our NEOs in 2024 is set forth in the table below:</w:t>
      </w:r>
    </w:p>
    <w:p>
      <w:pPr>
        <w:spacing w:after="0" w:line="326"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44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3600" w:type="dxa"/>
            <w:vAlign w:val="bottom"/>
            <w:shd w:val="clear" w:color="auto" w:fill="000000"/>
          </w:tcPr>
          <w:p>
            <w:pPr>
              <w:ind w:left="2540"/>
              <w:spacing w:after="0"/>
              <w:rPr>
                <w:sz w:val="20"/>
                <w:szCs w:val="20"/>
                <w:color w:val="auto"/>
              </w:rPr>
            </w:pPr>
            <w:r>
              <w:rPr>
                <w:rFonts w:ascii="Arial" w:cs="Arial" w:eastAsia="Arial" w:hAnsi="Arial"/>
                <w:sz w:val="14"/>
                <w:szCs w:val="14"/>
                <w:color w:val="FFFFFF"/>
              </w:rPr>
              <w:t>Total</w:t>
            </w:r>
          </w:p>
        </w:tc>
        <w:tc>
          <w:tcPr>
            <w:tcW w:w="116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RSUs</w:t>
            </w:r>
          </w:p>
        </w:tc>
        <w:tc>
          <w:tcPr>
            <w:tcW w:w="126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PSUs</w:t>
            </w:r>
          </w:p>
        </w:tc>
      </w:tr>
      <w:tr>
        <w:trPr>
          <w:trHeight w:val="172"/>
        </w:trPr>
        <w:tc>
          <w:tcPr>
            <w:tcW w:w="4400" w:type="dxa"/>
            <w:vAlign w:val="bottom"/>
            <w:shd w:val="clear" w:color="auto" w:fill="000000"/>
          </w:tcPr>
          <w:p>
            <w:pPr>
              <w:spacing w:after="0"/>
              <w:rPr>
                <w:sz w:val="14"/>
                <w:szCs w:val="14"/>
                <w:color w:val="auto"/>
              </w:rPr>
            </w:pPr>
          </w:p>
        </w:tc>
        <w:tc>
          <w:tcPr>
            <w:tcW w:w="3600" w:type="dxa"/>
            <w:vAlign w:val="bottom"/>
            <w:shd w:val="clear" w:color="auto" w:fill="000000"/>
          </w:tcPr>
          <w:p>
            <w:pPr>
              <w:ind w:left="2540"/>
              <w:spacing w:after="0"/>
              <w:rPr>
                <w:sz w:val="20"/>
                <w:szCs w:val="20"/>
                <w:color w:val="auto"/>
              </w:rPr>
            </w:pPr>
            <w:r>
              <w:rPr>
                <w:rFonts w:ascii="Arial" w:cs="Arial" w:eastAsia="Arial" w:hAnsi="Arial"/>
                <w:sz w:val="14"/>
                <w:szCs w:val="14"/>
                <w:color w:val="FFFFFF"/>
              </w:rPr>
              <w:t>Grant Value</w:t>
            </w:r>
          </w:p>
        </w:tc>
        <w:tc>
          <w:tcPr>
            <w:tcW w:w="1160" w:type="dxa"/>
            <w:vAlign w:val="bottom"/>
            <w:shd w:val="clear" w:color="auto" w:fill="000000"/>
          </w:tcPr>
          <w:p>
            <w:pPr>
              <w:spacing w:after="0"/>
              <w:rPr>
                <w:sz w:val="14"/>
                <w:szCs w:val="14"/>
                <w:color w:val="auto"/>
              </w:rPr>
            </w:pPr>
          </w:p>
        </w:tc>
        <w:tc>
          <w:tcPr>
            <w:tcW w:w="126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(at target)</w:t>
            </w:r>
          </w:p>
        </w:tc>
      </w:tr>
      <w:tr>
        <w:trPr>
          <w:trHeight w:val="99"/>
        </w:trPr>
        <w:tc>
          <w:tcPr>
            <w:tcW w:w="4400" w:type="dxa"/>
            <w:vAlign w:val="bottom"/>
            <w:shd w:val="clear" w:color="auto" w:fill="000000"/>
          </w:tcPr>
          <w:p>
            <w:pPr>
              <w:spacing w:after="0"/>
              <w:rPr>
                <w:sz w:val="8"/>
                <w:szCs w:val="8"/>
                <w:color w:val="auto"/>
              </w:rPr>
            </w:pPr>
          </w:p>
        </w:tc>
        <w:tc>
          <w:tcPr>
            <w:tcW w:w="3600" w:type="dxa"/>
            <w:vAlign w:val="bottom"/>
            <w:shd w:val="clear" w:color="auto" w:fill="000000"/>
          </w:tcPr>
          <w:p>
            <w:pPr>
              <w:spacing w:after="0"/>
              <w:rPr>
                <w:sz w:val="8"/>
                <w:szCs w:val="8"/>
                <w:color w:val="auto"/>
              </w:rPr>
            </w:pPr>
          </w:p>
        </w:tc>
        <w:tc>
          <w:tcPr>
            <w:tcW w:w="1160" w:type="dxa"/>
            <w:vAlign w:val="bottom"/>
            <w:shd w:val="clear" w:color="auto" w:fill="000000"/>
          </w:tcPr>
          <w:p>
            <w:pPr>
              <w:spacing w:after="0"/>
              <w:rPr>
                <w:sz w:val="8"/>
                <w:szCs w:val="8"/>
                <w:color w:val="auto"/>
              </w:rPr>
            </w:pPr>
          </w:p>
        </w:tc>
        <w:tc>
          <w:tcPr>
            <w:tcW w:w="1260" w:type="dxa"/>
            <w:vAlign w:val="bottom"/>
            <w:shd w:val="clear" w:color="auto" w:fill="000000"/>
          </w:tcPr>
          <w:p>
            <w:pPr>
              <w:spacing w:after="0"/>
              <w:rPr>
                <w:sz w:val="8"/>
                <w:szCs w:val="8"/>
                <w:color w:val="auto"/>
              </w:rPr>
            </w:pPr>
          </w:p>
        </w:tc>
      </w:tr>
      <w:tr>
        <w:trPr>
          <w:trHeight w:val="341"/>
        </w:trPr>
        <w:tc>
          <w:tcPr>
            <w:tcW w:w="4400" w:type="dxa"/>
            <w:vAlign w:val="bottom"/>
          </w:tcPr>
          <w:p>
            <w:pPr>
              <w:ind w:left="180"/>
              <w:spacing w:after="0"/>
              <w:rPr>
                <w:sz w:val="20"/>
                <w:szCs w:val="20"/>
                <w:color w:val="auto"/>
              </w:rPr>
            </w:pPr>
            <w:r>
              <w:rPr>
                <w:rFonts w:ascii="Arial" w:cs="Arial" w:eastAsia="Arial" w:hAnsi="Arial"/>
                <w:sz w:val="16"/>
                <w:szCs w:val="16"/>
                <w:color w:val="auto"/>
              </w:rPr>
              <w:t>Peter Rawlinson</w:t>
            </w:r>
            <w:r>
              <w:rPr>
                <w:rFonts w:ascii="Arial" w:cs="Arial" w:eastAsia="Arial" w:hAnsi="Arial"/>
                <w:sz w:val="19"/>
                <w:szCs w:val="19"/>
                <w:color w:val="auto"/>
                <w:vertAlign w:val="superscript"/>
              </w:rPr>
              <w:t>(1)</w:t>
            </w:r>
          </w:p>
        </w:tc>
        <w:tc>
          <w:tcPr>
            <w:tcW w:w="3600" w:type="dxa"/>
            <w:vAlign w:val="bottom"/>
          </w:tcPr>
          <w:p>
            <w:pPr>
              <w:ind w:left="2540"/>
              <w:spacing w:after="0"/>
              <w:rPr>
                <w:sz w:val="20"/>
                <w:szCs w:val="20"/>
                <w:color w:val="auto"/>
              </w:rPr>
            </w:pPr>
            <w:r>
              <w:rPr>
                <w:rFonts w:ascii="Arial" w:cs="Arial" w:eastAsia="Arial" w:hAnsi="Arial"/>
                <w:sz w:val="16"/>
                <w:szCs w:val="16"/>
                <w:color w:val="auto"/>
              </w:rPr>
              <w:t>—</w:t>
            </w:r>
          </w:p>
        </w:tc>
        <w:tc>
          <w:tcPr>
            <w:tcW w:w="116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440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3600" w:type="dxa"/>
            <w:vAlign w:val="bottom"/>
          </w:tcPr>
          <w:p>
            <w:pPr>
              <w:ind w:left="2540"/>
              <w:spacing w:after="0"/>
              <w:rPr>
                <w:sz w:val="20"/>
                <w:szCs w:val="20"/>
                <w:color w:val="auto"/>
              </w:rPr>
            </w:pPr>
            <w:r>
              <w:rPr>
                <w:rFonts w:ascii="Arial" w:cs="Arial" w:eastAsia="Arial" w:hAnsi="Arial"/>
                <w:sz w:val="16"/>
                <w:szCs w:val="16"/>
                <w:color w:val="auto"/>
              </w:rPr>
              <w:t>$3,000,000</w:t>
            </w:r>
          </w:p>
        </w:tc>
        <w:tc>
          <w:tcPr>
            <w:tcW w:w="1160" w:type="dxa"/>
            <w:vAlign w:val="bottom"/>
          </w:tcPr>
          <w:p>
            <w:pPr>
              <w:ind w:left="100"/>
              <w:spacing w:after="0"/>
              <w:rPr>
                <w:sz w:val="20"/>
                <w:szCs w:val="20"/>
                <w:color w:val="auto"/>
              </w:rPr>
            </w:pPr>
            <w:r>
              <w:rPr>
                <w:rFonts w:ascii="Arial" w:cs="Arial" w:eastAsia="Arial" w:hAnsi="Arial"/>
                <w:sz w:val="16"/>
                <w:szCs w:val="16"/>
                <w:color w:val="auto"/>
              </w:rPr>
              <w:t>$1,500,000</w:t>
            </w:r>
          </w:p>
        </w:tc>
        <w:tc>
          <w:tcPr>
            <w:tcW w:w="1260" w:type="dxa"/>
            <w:vAlign w:val="bottom"/>
          </w:tcPr>
          <w:p>
            <w:pPr>
              <w:ind w:left="100"/>
              <w:spacing w:after="0"/>
              <w:rPr>
                <w:sz w:val="20"/>
                <w:szCs w:val="20"/>
                <w:color w:val="auto"/>
              </w:rPr>
            </w:pPr>
            <w:r>
              <w:rPr>
                <w:rFonts w:ascii="Arial" w:cs="Arial" w:eastAsia="Arial" w:hAnsi="Arial"/>
                <w:sz w:val="16"/>
                <w:szCs w:val="16"/>
                <w:color w:val="auto"/>
              </w:rPr>
              <w:t>$1,500,000</w:t>
            </w:r>
          </w:p>
        </w:tc>
      </w:tr>
      <w:tr>
        <w:trPr>
          <w:trHeight w:val="85"/>
        </w:trPr>
        <w:tc>
          <w:tcPr>
            <w:tcW w:w="44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318"/>
        </w:trPr>
        <w:tc>
          <w:tcPr>
            <w:tcW w:w="440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(2)</w:t>
            </w:r>
          </w:p>
        </w:tc>
        <w:tc>
          <w:tcPr>
            <w:tcW w:w="3600" w:type="dxa"/>
            <w:vAlign w:val="bottom"/>
          </w:tcPr>
          <w:p>
            <w:pPr>
              <w:ind w:left="2540"/>
              <w:spacing w:after="0"/>
              <w:rPr>
                <w:sz w:val="20"/>
                <w:szCs w:val="20"/>
                <w:color w:val="auto"/>
              </w:rPr>
            </w:pPr>
            <w:r>
              <w:rPr>
                <w:rFonts w:ascii="Arial" w:cs="Arial" w:eastAsia="Arial" w:hAnsi="Arial"/>
                <w:sz w:val="16"/>
                <w:szCs w:val="16"/>
                <w:color w:val="auto"/>
              </w:rPr>
              <w:t>$6,000,000</w:t>
            </w:r>
          </w:p>
        </w:tc>
        <w:tc>
          <w:tcPr>
            <w:tcW w:w="116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$6,000,000</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440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600" w:type="dxa"/>
            <w:vAlign w:val="bottom"/>
          </w:tcPr>
          <w:p>
            <w:pPr>
              <w:ind w:left="2540"/>
              <w:spacing w:after="0"/>
              <w:rPr>
                <w:sz w:val="20"/>
                <w:szCs w:val="20"/>
                <w:color w:val="auto"/>
              </w:rPr>
            </w:pPr>
            <w:r>
              <w:rPr>
                <w:rFonts w:ascii="Arial" w:cs="Arial" w:eastAsia="Arial" w:hAnsi="Arial"/>
                <w:sz w:val="16"/>
                <w:szCs w:val="16"/>
                <w:color w:val="auto"/>
              </w:rPr>
              <w:t>$9,000,000</w:t>
            </w:r>
          </w:p>
        </w:tc>
        <w:tc>
          <w:tcPr>
            <w:tcW w:w="1160" w:type="dxa"/>
            <w:vAlign w:val="bottom"/>
          </w:tcPr>
          <w:p>
            <w:pPr>
              <w:ind w:left="100"/>
              <w:spacing w:after="0"/>
              <w:rPr>
                <w:sz w:val="20"/>
                <w:szCs w:val="20"/>
                <w:color w:val="auto"/>
              </w:rPr>
            </w:pPr>
            <w:r>
              <w:rPr>
                <w:rFonts w:ascii="Arial" w:cs="Arial" w:eastAsia="Arial" w:hAnsi="Arial"/>
                <w:sz w:val="16"/>
                <w:szCs w:val="16"/>
                <w:color w:val="auto"/>
              </w:rPr>
              <w:t>$3,600,000</w:t>
            </w:r>
          </w:p>
        </w:tc>
        <w:tc>
          <w:tcPr>
            <w:tcW w:w="1260" w:type="dxa"/>
            <w:vAlign w:val="bottom"/>
          </w:tcPr>
          <w:p>
            <w:pPr>
              <w:ind w:left="100"/>
              <w:spacing w:after="0"/>
              <w:rPr>
                <w:sz w:val="20"/>
                <w:szCs w:val="20"/>
                <w:color w:val="auto"/>
              </w:rPr>
            </w:pPr>
            <w:r>
              <w:rPr>
                <w:rFonts w:ascii="Arial" w:cs="Arial" w:eastAsia="Arial" w:hAnsi="Arial"/>
                <w:sz w:val="16"/>
                <w:szCs w:val="16"/>
                <w:color w:val="auto"/>
              </w:rPr>
              <w:t>$5,400,000</w:t>
            </w:r>
          </w:p>
        </w:tc>
      </w:tr>
      <w:tr>
        <w:trPr>
          <w:trHeight w:val="85"/>
        </w:trPr>
        <w:tc>
          <w:tcPr>
            <w:tcW w:w="44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318"/>
        </w:trPr>
        <w:tc>
          <w:tcPr>
            <w:tcW w:w="440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(3)</w:t>
            </w:r>
          </w:p>
        </w:tc>
        <w:tc>
          <w:tcPr>
            <w:tcW w:w="3600" w:type="dxa"/>
            <w:vAlign w:val="bottom"/>
          </w:tcPr>
          <w:p>
            <w:pPr>
              <w:ind w:left="2540"/>
              <w:spacing w:after="0"/>
              <w:rPr>
                <w:sz w:val="20"/>
                <w:szCs w:val="20"/>
                <w:color w:val="auto"/>
              </w:rPr>
            </w:pPr>
            <w:r>
              <w:rPr>
                <w:rFonts w:ascii="Arial" w:cs="Arial" w:eastAsia="Arial" w:hAnsi="Arial"/>
                <w:sz w:val="16"/>
                <w:szCs w:val="16"/>
                <w:color w:val="auto"/>
              </w:rPr>
              <w:t>—</w:t>
            </w:r>
          </w:p>
        </w:tc>
        <w:tc>
          <w:tcPr>
            <w:tcW w:w="116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74"/>
        </w:trPr>
        <w:tc>
          <w:tcPr>
            <w:tcW w:w="4400" w:type="dxa"/>
            <w:vAlign w:val="bottom"/>
            <w:tcBorders>
              <w:bottom w:val="single" w:sz="8" w:color="auto"/>
            </w:tcBorders>
          </w:tcPr>
          <w:p>
            <w:pPr>
              <w:spacing w:after="0"/>
              <w:rPr>
                <w:sz w:val="6"/>
                <w:szCs w:val="6"/>
                <w:color w:val="auto"/>
              </w:rPr>
            </w:pPr>
          </w:p>
        </w:tc>
        <w:tc>
          <w:tcPr>
            <w:tcW w:w="36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ind w:left="142" w:hanging="142"/>
        <w:spacing w:after="0"/>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In view of still-outstanding value from the 2021 CEO Grant, the Board determined not to grant Mr. Rawlinson an equity award in 2024.</w:t>
      </w:r>
    </w:p>
    <w:p>
      <w:pPr>
        <w:spacing w:after="0" w:line="99" w:lineRule="exact"/>
        <w:rPr>
          <w:rFonts w:ascii="Arial" w:cs="Arial" w:eastAsia="Arial" w:hAnsi="Arial"/>
          <w:sz w:val="17"/>
          <w:szCs w:val="17"/>
          <w:color w:val="auto"/>
          <w:vertAlign w:val="superscript"/>
        </w:rPr>
      </w:pPr>
    </w:p>
    <w:p>
      <w:pPr>
        <w:ind w:left="142" w:right="80" w:hanging="142"/>
        <w:spacing w:after="0"/>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In connection with the commencement of Mr. Winterhoff’s employment with the Company on December 4, 2023, the Board granted Mr. Winterhoff a PSU award in 2024 pursuant to his offer letter.</w:t>
      </w:r>
    </w:p>
    <w:p>
      <w:pPr>
        <w:spacing w:after="0" w:line="136"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Due to Mr. Bell’s separation on May 3, 2024, he was not eligible for any equity awards in 2024.</w:t>
      </w:r>
    </w:p>
    <w:p>
      <w:pPr>
        <w:spacing w:after="0" w:line="211" w:lineRule="exact"/>
        <w:rPr>
          <w:sz w:val="20"/>
          <w:szCs w:val="20"/>
          <w:color w:val="auto"/>
        </w:rPr>
      </w:pPr>
    </w:p>
    <w:p>
      <w:pPr>
        <w:jc w:val="both"/>
        <w:ind w:left="2"/>
        <w:spacing w:after="0" w:line="287" w:lineRule="auto"/>
        <w:rPr>
          <w:sz w:val="20"/>
          <w:szCs w:val="20"/>
          <w:color w:val="auto"/>
        </w:rPr>
      </w:pPr>
      <w:r>
        <w:rPr>
          <w:rFonts w:ascii="Arial" w:cs="Arial" w:eastAsia="Arial" w:hAnsi="Arial"/>
          <w:sz w:val="18"/>
          <w:szCs w:val="18"/>
          <w:color w:val="auto"/>
        </w:rPr>
        <w:t>The total grant value of each RSU and PSU award is converted into a number of shares of our Common Stock, as discussed below.</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16"/>
          <w:szCs w:val="16"/>
          <w:color w:val="auto"/>
        </w:rPr>
        <w:t>RSUS</w:t>
      </w:r>
    </w:p>
    <w:p>
      <w:pPr>
        <w:spacing w:after="0" w:line="196" w:lineRule="exact"/>
        <w:rPr>
          <w:sz w:val="20"/>
          <w:szCs w:val="20"/>
          <w:color w:val="auto"/>
        </w:rPr>
      </w:pPr>
    </w:p>
    <w:p>
      <w:pPr>
        <w:jc w:val="both"/>
        <w:ind w:left="2"/>
        <w:spacing w:after="0" w:line="279" w:lineRule="auto"/>
        <w:rPr>
          <w:sz w:val="20"/>
          <w:szCs w:val="20"/>
          <w:color w:val="auto"/>
        </w:rPr>
      </w:pPr>
      <w:r>
        <w:rPr>
          <w:rFonts w:ascii="Arial" w:cs="Arial" w:eastAsia="Arial" w:hAnsi="Arial"/>
          <w:sz w:val="18"/>
          <w:szCs w:val="18"/>
          <w:color w:val="auto"/>
        </w:rPr>
        <w:t>Number of RSUs Granted. The total number of shares of our Common Stock subject to each RSU award granted to our employees (including our NEOs) is determined by dividing the total dollar value of the award by the volume-weighted average price of the Company’s Common Stock during the 30 consecutive trading day period ending on the grant date (the “30-day VWAP”). Such average is determined based upon the closing price for each such trading day and the number of shares traded on such day.</w:t>
      </w:r>
    </w:p>
    <w:p>
      <w:pPr>
        <w:spacing w:after="0" w:line="200" w:lineRule="exact"/>
        <w:rPr>
          <w:sz w:val="20"/>
          <w:szCs w:val="20"/>
          <w:color w:val="auto"/>
        </w:rPr>
      </w:pPr>
    </w:p>
    <w:p>
      <w:pPr>
        <w:spacing w:after="0" w:line="255" w:lineRule="exact"/>
        <w:rPr>
          <w:sz w:val="20"/>
          <w:szCs w:val="20"/>
          <w:color w:val="auto"/>
        </w:rPr>
      </w:pPr>
    </w:p>
    <w:p>
      <w:pPr>
        <w:ind w:left="2"/>
        <w:spacing w:after="0"/>
        <w:rPr>
          <w:sz w:val="20"/>
          <w:szCs w:val="20"/>
          <w:color w:val="auto"/>
        </w:rPr>
      </w:pPr>
      <w:r>
        <w:rPr>
          <w:rFonts w:ascii="Arial" w:cs="Arial" w:eastAsia="Arial" w:hAnsi="Arial"/>
          <w:sz w:val="18"/>
          <w:szCs w:val="18"/>
          <w:color w:val="auto"/>
        </w:rPr>
        <w:t>Our NEOs’ RSU awards in 2024 are set forth in the table below:</w:t>
      </w:r>
    </w:p>
    <w:p>
      <w:pPr>
        <w:spacing w:after="0" w:line="26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2024 RSU Awards to NEOs</w:t>
      </w:r>
    </w:p>
    <w:p>
      <w:pPr>
        <w:spacing w:after="0" w:line="327"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44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3620" w:type="dxa"/>
            <w:vAlign w:val="bottom"/>
            <w:shd w:val="clear" w:color="auto" w:fill="000000"/>
          </w:tcPr>
          <w:p>
            <w:pPr>
              <w:ind w:left="2580"/>
              <w:spacing w:after="0"/>
              <w:rPr>
                <w:sz w:val="20"/>
                <w:szCs w:val="20"/>
                <w:color w:val="auto"/>
              </w:rPr>
            </w:pPr>
            <w:r>
              <w:rPr>
                <w:rFonts w:ascii="Arial" w:cs="Arial" w:eastAsia="Arial" w:hAnsi="Arial"/>
                <w:sz w:val="14"/>
                <w:szCs w:val="14"/>
                <w:color w:val="FFFFFF"/>
              </w:rPr>
              <w:t>RSUs</w:t>
            </w:r>
          </w:p>
        </w:tc>
        <w:tc>
          <w:tcPr>
            <w:tcW w:w="88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30-Day</w:t>
            </w:r>
          </w:p>
        </w:tc>
        <w:tc>
          <w:tcPr>
            <w:tcW w:w="14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RSUs</w:t>
            </w:r>
          </w:p>
        </w:tc>
      </w:tr>
      <w:tr>
        <w:trPr>
          <w:trHeight w:val="172"/>
        </w:trPr>
        <w:tc>
          <w:tcPr>
            <w:tcW w:w="4440" w:type="dxa"/>
            <w:vAlign w:val="bottom"/>
            <w:shd w:val="clear" w:color="auto" w:fill="000000"/>
          </w:tcPr>
          <w:p>
            <w:pPr>
              <w:spacing w:after="0"/>
              <w:rPr>
                <w:sz w:val="14"/>
                <w:szCs w:val="14"/>
                <w:color w:val="auto"/>
              </w:rPr>
            </w:pPr>
          </w:p>
        </w:tc>
        <w:tc>
          <w:tcPr>
            <w:tcW w:w="3620" w:type="dxa"/>
            <w:vAlign w:val="bottom"/>
            <w:shd w:val="clear" w:color="auto" w:fill="000000"/>
          </w:tcPr>
          <w:p>
            <w:pPr>
              <w:ind w:left="2580"/>
              <w:spacing w:after="0"/>
              <w:rPr>
                <w:sz w:val="20"/>
                <w:szCs w:val="20"/>
                <w:color w:val="auto"/>
              </w:rPr>
            </w:pPr>
            <w:r>
              <w:rPr>
                <w:rFonts w:ascii="Arial" w:cs="Arial" w:eastAsia="Arial" w:hAnsi="Arial"/>
                <w:sz w:val="14"/>
                <w:szCs w:val="14"/>
                <w:color w:val="FFFFFF"/>
              </w:rPr>
              <w:t>(Value)</w:t>
            </w:r>
          </w:p>
        </w:tc>
        <w:tc>
          <w:tcPr>
            <w:tcW w:w="88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VWAP</w:t>
            </w:r>
          </w:p>
        </w:tc>
        <w:tc>
          <w:tcPr>
            <w:tcW w:w="1480" w:type="dxa"/>
            <w:vAlign w:val="bottom"/>
            <w:shd w:val="clear" w:color="auto" w:fill="000000"/>
          </w:tcPr>
          <w:p>
            <w:pPr>
              <w:spacing w:after="0"/>
              <w:rPr>
                <w:sz w:val="14"/>
                <w:szCs w:val="14"/>
                <w:color w:val="auto"/>
              </w:rPr>
            </w:pPr>
          </w:p>
        </w:tc>
      </w:tr>
      <w:tr>
        <w:trPr>
          <w:trHeight w:val="99"/>
        </w:trPr>
        <w:tc>
          <w:tcPr>
            <w:tcW w:w="4440" w:type="dxa"/>
            <w:vAlign w:val="bottom"/>
            <w:shd w:val="clear" w:color="auto" w:fill="000000"/>
          </w:tcPr>
          <w:p>
            <w:pPr>
              <w:spacing w:after="0"/>
              <w:rPr>
                <w:sz w:val="8"/>
                <w:szCs w:val="8"/>
                <w:color w:val="auto"/>
              </w:rPr>
            </w:pPr>
          </w:p>
        </w:tc>
        <w:tc>
          <w:tcPr>
            <w:tcW w:w="362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c>
          <w:tcPr>
            <w:tcW w:w="1480" w:type="dxa"/>
            <w:vAlign w:val="bottom"/>
            <w:shd w:val="clear" w:color="auto" w:fill="000000"/>
          </w:tcPr>
          <w:p>
            <w:pPr>
              <w:spacing w:after="0"/>
              <w:rPr>
                <w:sz w:val="8"/>
                <w:szCs w:val="8"/>
                <w:color w:val="auto"/>
              </w:rPr>
            </w:pPr>
          </w:p>
        </w:tc>
      </w:tr>
      <w:tr>
        <w:trPr>
          <w:trHeight w:val="341"/>
        </w:trPr>
        <w:tc>
          <w:tcPr>
            <w:tcW w:w="4440" w:type="dxa"/>
            <w:vAlign w:val="bottom"/>
          </w:tcPr>
          <w:p>
            <w:pPr>
              <w:ind w:left="180"/>
              <w:spacing w:after="0"/>
              <w:rPr>
                <w:sz w:val="20"/>
                <w:szCs w:val="20"/>
                <w:color w:val="auto"/>
              </w:rPr>
            </w:pPr>
            <w:r>
              <w:rPr>
                <w:rFonts w:ascii="Arial" w:cs="Arial" w:eastAsia="Arial" w:hAnsi="Arial"/>
                <w:sz w:val="16"/>
                <w:szCs w:val="16"/>
                <w:color w:val="auto"/>
              </w:rPr>
              <w:t>Peter Rawlinson</w:t>
            </w:r>
            <w:r>
              <w:rPr>
                <w:rFonts w:ascii="Arial" w:cs="Arial" w:eastAsia="Arial" w:hAnsi="Arial"/>
                <w:sz w:val="19"/>
                <w:szCs w:val="19"/>
                <w:color w:val="auto"/>
                <w:vertAlign w:val="superscript"/>
              </w:rPr>
              <w:t>(1)</w:t>
            </w:r>
          </w:p>
        </w:tc>
        <w:tc>
          <w:tcPr>
            <w:tcW w:w="3620" w:type="dxa"/>
            <w:vAlign w:val="bottom"/>
          </w:tcPr>
          <w:p>
            <w:pPr>
              <w:ind w:left="2580"/>
              <w:spacing w:after="0"/>
              <w:rPr>
                <w:sz w:val="20"/>
                <w:szCs w:val="20"/>
                <w:color w:val="auto"/>
              </w:rPr>
            </w:pPr>
            <w:r>
              <w:rPr>
                <w:rFonts w:ascii="Arial" w:cs="Arial" w:eastAsia="Arial" w:hAnsi="Arial"/>
                <w:sz w:val="16"/>
                <w:szCs w:val="16"/>
                <w:color w:val="auto"/>
              </w:rPr>
              <w:t>—</w:t>
            </w:r>
          </w:p>
        </w:tc>
        <w:tc>
          <w:tcPr>
            <w:tcW w:w="88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4"/>
        </w:trPr>
        <w:tc>
          <w:tcPr>
            <w:tcW w:w="444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3620" w:type="dxa"/>
            <w:vAlign w:val="bottom"/>
          </w:tcPr>
          <w:p>
            <w:pPr>
              <w:ind w:left="2580"/>
              <w:spacing w:after="0"/>
              <w:rPr>
                <w:sz w:val="20"/>
                <w:szCs w:val="20"/>
                <w:color w:val="auto"/>
              </w:rPr>
            </w:pPr>
            <w:r>
              <w:rPr>
                <w:rFonts w:ascii="Arial" w:cs="Arial" w:eastAsia="Arial" w:hAnsi="Arial"/>
                <w:sz w:val="16"/>
                <w:szCs w:val="16"/>
                <w:color w:val="auto"/>
              </w:rPr>
              <w:t>$1,500,000</w:t>
            </w:r>
          </w:p>
        </w:tc>
        <w:tc>
          <w:tcPr>
            <w:tcW w:w="880" w:type="dxa"/>
            <w:vAlign w:val="bottom"/>
          </w:tcPr>
          <w:p>
            <w:pPr>
              <w:ind w:left="100"/>
              <w:spacing w:after="0"/>
              <w:rPr>
                <w:sz w:val="20"/>
                <w:szCs w:val="20"/>
                <w:color w:val="auto"/>
              </w:rPr>
            </w:pPr>
            <w:r>
              <w:rPr>
                <w:rFonts w:ascii="Arial" w:cs="Arial" w:eastAsia="Arial" w:hAnsi="Arial"/>
                <w:sz w:val="16"/>
                <w:szCs w:val="16"/>
                <w:color w:val="auto"/>
              </w:rPr>
              <w:t>$3.5958</w:t>
            </w:r>
          </w:p>
        </w:tc>
        <w:tc>
          <w:tcPr>
            <w:tcW w:w="1480" w:type="dxa"/>
            <w:vAlign w:val="bottom"/>
          </w:tcPr>
          <w:p>
            <w:pPr>
              <w:ind w:left="120"/>
              <w:spacing w:after="0"/>
              <w:rPr>
                <w:sz w:val="20"/>
                <w:szCs w:val="20"/>
                <w:color w:val="auto"/>
              </w:rPr>
            </w:pPr>
            <w:r>
              <w:rPr>
                <w:rFonts w:ascii="Arial" w:cs="Arial" w:eastAsia="Arial" w:hAnsi="Arial"/>
                <w:sz w:val="16"/>
                <w:szCs w:val="16"/>
                <w:color w:val="auto"/>
              </w:rPr>
              <w:t>417,153</w:t>
            </w:r>
          </w:p>
        </w:tc>
      </w:tr>
      <w:tr>
        <w:trPr>
          <w:trHeight w:val="85"/>
        </w:trPr>
        <w:tc>
          <w:tcPr>
            <w:tcW w:w="444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r>
      <w:tr>
        <w:trPr>
          <w:trHeight w:val="318"/>
        </w:trPr>
        <w:tc>
          <w:tcPr>
            <w:tcW w:w="444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(2)</w:t>
            </w:r>
          </w:p>
        </w:tc>
        <w:tc>
          <w:tcPr>
            <w:tcW w:w="3620" w:type="dxa"/>
            <w:vAlign w:val="bottom"/>
          </w:tcPr>
          <w:p>
            <w:pPr>
              <w:ind w:left="2580"/>
              <w:spacing w:after="0"/>
              <w:rPr>
                <w:sz w:val="20"/>
                <w:szCs w:val="20"/>
                <w:color w:val="auto"/>
              </w:rPr>
            </w:pPr>
            <w:r>
              <w:rPr>
                <w:rFonts w:ascii="Arial" w:cs="Arial" w:eastAsia="Arial" w:hAnsi="Arial"/>
                <w:sz w:val="16"/>
                <w:szCs w:val="16"/>
                <w:color w:val="auto"/>
              </w:rPr>
              <w:t>—</w:t>
            </w:r>
          </w:p>
        </w:tc>
        <w:tc>
          <w:tcPr>
            <w:tcW w:w="88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4"/>
        </w:trPr>
        <w:tc>
          <w:tcPr>
            <w:tcW w:w="44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620" w:type="dxa"/>
            <w:vAlign w:val="bottom"/>
          </w:tcPr>
          <w:p>
            <w:pPr>
              <w:ind w:left="2580"/>
              <w:spacing w:after="0"/>
              <w:rPr>
                <w:sz w:val="20"/>
                <w:szCs w:val="20"/>
                <w:color w:val="auto"/>
              </w:rPr>
            </w:pPr>
            <w:r>
              <w:rPr>
                <w:rFonts w:ascii="Arial" w:cs="Arial" w:eastAsia="Arial" w:hAnsi="Arial"/>
                <w:sz w:val="16"/>
                <w:szCs w:val="16"/>
                <w:color w:val="auto"/>
              </w:rPr>
              <w:t>$3,600,000</w:t>
            </w:r>
          </w:p>
        </w:tc>
        <w:tc>
          <w:tcPr>
            <w:tcW w:w="880" w:type="dxa"/>
            <w:vAlign w:val="bottom"/>
          </w:tcPr>
          <w:p>
            <w:pPr>
              <w:ind w:left="100"/>
              <w:spacing w:after="0"/>
              <w:rPr>
                <w:sz w:val="20"/>
                <w:szCs w:val="20"/>
                <w:color w:val="auto"/>
              </w:rPr>
            </w:pPr>
            <w:r>
              <w:rPr>
                <w:rFonts w:ascii="Arial" w:cs="Arial" w:eastAsia="Arial" w:hAnsi="Arial"/>
                <w:sz w:val="16"/>
                <w:szCs w:val="16"/>
                <w:color w:val="auto"/>
              </w:rPr>
              <w:t>$3.5958</w:t>
            </w:r>
          </w:p>
        </w:tc>
        <w:tc>
          <w:tcPr>
            <w:tcW w:w="1480" w:type="dxa"/>
            <w:vAlign w:val="bottom"/>
          </w:tcPr>
          <w:p>
            <w:pPr>
              <w:ind w:left="120"/>
              <w:spacing w:after="0"/>
              <w:rPr>
                <w:sz w:val="20"/>
                <w:szCs w:val="20"/>
                <w:color w:val="auto"/>
              </w:rPr>
            </w:pPr>
            <w:r>
              <w:rPr>
                <w:rFonts w:ascii="Arial" w:cs="Arial" w:eastAsia="Arial" w:hAnsi="Arial"/>
                <w:sz w:val="16"/>
                <w:szCs w:val="16"/>
                <w:color w:val="auto"/>
              </w:rPr>
              <w:t>1,001,168</w:t>
            </w:r>
          </w:p>
        </w:tc>
      </w:tr>
      <w:tr>
        <w:trPr>
          <w:trHeight w:val="85"/>
        </w:trPr>
        <w:tc>
          <w:tcPr>
            <w:tcW w:w="444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r>
      <w:tr>
        <w:trPr>
          <w:trHeight w:val="318"/>
        </w:trPr>
        <w:tc>
          <w:tcPr>
            <w:tcW w:w="444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(3)</w:t>
            </w:r>
          </w:p>
        </w:tc>
        <w:tc>
          <w:tcPr>
            <w:tcW w:w="3620" w:type="dxa"/>
            <w:vAlign w:val="bottom"/>
          </w:tcPr>
          <w:p>
            <w:pPr>
              <w:ind w:left="2580"/>
              <w:spacing w:after="0"/>
              <w:rPr>
                <w:sz w:val="20"/>
                <w:szCs w:val="20"/>
                <w:color w:val="auto"/>
              </w:rPr>
            </w:pPr>
            <w:r>
              <w:rPr>
                <w:rFonts w:ascii="Arial" w:cs="Arial" w:eastAsia="Arial" w:hAnsi="Arial"/>
                <w:sz w:val="16"/>
                <w:szCs w:val="16"/>
                <w:color w:val="auto"/>
              </w:rPr>
              <w:t>—</w:t>
            </w:r>
          </w:p>
        </w:tc>
        <w:tc>
          <w:tcPr>
            <w:tcW w:w="880" w:type="dxa"/>
            <w:vAlign w:val="bottom"/>
          </w:tcPr>
          <w:p>
            <w:pPr>
              <w:ind w:left="100"/>
              <w:spacing w:after="0"/>
              <w:rPr>
                <w:sz w:val="20"/>
                <w:szCs w:val="20"/>
                <w:color w:val="auto"/>
              </w:rPr>
            </w:pPr>
            <w:r>
              <w:rPr>
                <w:rFonts w:ascii="Arial" w:cs="Arial" w:eastAsia="Arial" w:hAnsi="Arial"/>
                <w:sz w:val="16"/>
                <w:szCs w:val="16"/>
                <w:color w:val="auto"/>
              </w:rPr>
              <w:t>—</w:t>
            </w:r>
          </w:p>
        </w:tc>
        <w:tc>
          <w:tcPr>
            <w:tcW w:w="14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74"/>
        </w:trPr>
        <w:tc>
          <w:tcPr>
            <w:tcW w:w="44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ind w:left="142" w:hanging="142"/>
        <w:spacing w:after="0"/>
        <w:tabs>
          <w:tab w:leader="none" w:pos="142" w:val="left"/>
        </w:tabs>
        <w:numPr>
          <w:ilvl w:val="0"/>
          <w:numId w:val="35"/>
        </w:numPr>
        <w:rPr>
          <w:rFonts w:ascii="Arial" w:cs="Arial" w:eastAsia="Arial" w:hAnsi="Arial"/>
          <w:sz w:val="17"/>
          <w:szCs w:val="17"/>
          <w:color w:val="auto"/>
          <w:vertAlign w:val="superscript"/>
        </w:rPr>
      </w:pPr>
      <w:r>
        <w:rPr>
          <w:rFonts w:ascii="Arial" w:cs="Arial" w:eastAsia="Arial" w:hAnsi="Arial"/>
          <w:sz w:val="11"/>
          <w:szCs w:val="11"/>
          <w:color w:val="auto"/>
        </w:rPr>
        <w:t>In view of still-outstanding value from the 2021 CEO Grant, the Board determined not to grant Mr. Rawlinson an equity award in 2024.</w:t>
      </w:r>
    </w:p>
    <w:p>
      <w:pPr>
        <w:spacing w:after="0" w:line="72" w:lineRule="exact"/>
        <w:rPr>
          <w:rFonts w:ascii="Arial" w:cs="Arial" w:eastAsia="Arial" w:hAnsi="Arial"/>
          <w:sz w:val="17"/>
          <w:szCs w:val="17"/>
          <w:color w:val="auto"/>
          <w:vertAlign w:val="superscript"/>
        </w:rPr>
      </w:pPr>
    </w:p>
    <w:p>
      <w:pPr>
        <w:ind w:left="142" w:hanging="142"/>
        <w:spacing w:after="0" w:line="212" w:lineRule="auto"/>
        <w:tabs>
          <w:tab w:leader="none" w:pos="142" w:val="left"/>
        </w:tabs>
        <w:numPr>
          <w:ilvl w:val="0"/>
          <w:numId w:val="35"/>
        </w:numPr>
        <w:rPr>
          <w:rFonts w:ascii="Arial" w:cs="Arial" w:eastAsia="Arial" w:hAnsi="Arial"/>
          <w:sz w:val="17"/>
          <w:szCs w:val="17"/>
          <w:color w:val="auto"/>
          <w:vertAlign w:val="superscript"/>
        </w:rPr>
      </w:pPr>
      <w:r>
        <w:rPr>
          <w:rFonts w:ascii="Arial" w:cs="Arial" w:eastAsia="Arial" w:hAnsi="Arial"/>
          <w:sz w:val="11"/>
          <w:szCs w:val="11"/>
          <w:color w:val="auto"/>
        </w:rPr>
        <w:t>In view of the equity grants pursuant to Mr. Winterhoff’s offer letter, the Board did not grant Mr. Winterhoff an RSU award in 2024.</w:t>
      </w:r>
    </w:p>
    <w:p>
      <w:pPr>
        <w:spacing w:after="0" w:line="72" w:lineRule="exact"/>
        <w:rPr>
          <w:rFonts w:ascii="Arial" w:cs="Arial" w:eastAsia="Arial" w:hAnsi="Arial"/>
          <w:sz w:val="17"/>
          <w:szCs w:val="17"/>
          <w:color w:val="auto"/>
          <w:vertAlign w:val="superscript"/>
        </w:rPr>
      </w:pPr>
    </w:p>
    <w:p>
      <w:pPr>
        <w:ind w:left="142" w:hanging="142"/>
        <w:spacing w:after="0" w:line="212" w:lineRule="auto"/>
        <w:tabs>
          <w:tab w:leader="none" w:pos="142" w:val="left"/>
        </w:tabs>
        <w:numPr>
          <w:ilvl w:val="0"/>
          <w:numId w:val="35"/>
        </w:numPr>
        <w:rPr>
          <w:rFonts w:ascii="Arial" w:cs="Arial" w:eastAsia="Arial" w:hAnsi="Arial"/>
          <w:sz w:val="17"/>
          <w:szCs w:val="17"/>
          <w:color w:val="auto"/>
          <w:vertAlign w:val="superscript"/>
        </w:rPr>
      </w:pPr>
      <w:r>
        <w:rPr>
          <w:rFonts w:ascii="Arial" w:cs="Arial" w:eastAsia="Arial" w:hAnsi="Arial"/>
          <w:sz w:val="11"/>
          <w:szCs w:val="11"/>
          <w:color w:val="auto"/>
        </w:rPr>
        <w:t>Due to Mr. Bell’s separation on May 3, 2024, he was not eligible for any equity awards in 2024.</w:t>
      </w:r>
    </w:p>
    <w:p>
      <w:pPr>
        <w:spacing w:after="0" w:line="200" w:lineRule="exact"/>
        <w:rPr>
          <w:sz w:val="20"/>
          <w:szCs w:val="20"/>
          <w:color w:val="auto"/>
        </w:rPr>
      </w:pPr>
    </w:p>
    <w:p>
      <w:pPr>
        <w:ind w:left="2"/>
        <w:spacing w:after="0" w:line="262" w:lineRule="auto"/>
        <w:rPr>
          <w:sz w:val="20"/>
          <w:szCs w:val="20"/>
          <w:color w:val="auto"/>
        </w:rPr>
      </w:pPr>
      <w:r>
        <w:rPr>
          <w:rFonts w:ascii="Arial" w:cs="Arial" w:eastAsia="Arial" w:hAnsi="Arial"/>
          <w:sz w:val="18"/>
          <w:szCs w:val="18"/>
          <w:color w:val="auto"/>
        </w:rPr>
        <w:t>The RSUs for Messrs. Dhingra and Bach vest over four years, with 1/8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vesting on September 15, 2024, the date of the grant, and the remainder vesting in substantially equal quarterly installments beginning on December 5, 2024, and ending on March 5, 2028, subject to the NEO’s continued employment through the applicable vesting dates.</w:t>
      </w:r>
    </w:p>
    <w:p>
      <w:pPr>
        <w:spacing w:after="0" w:line="256" w:lineRule="exact"/>
        <w:rPr>
          <w:sz w:val="20"/>
          <w:szCs w:val="20"/>
          <w:color w:val="auto"/>
        </w:rPr>
      </w:pPr>
    </w:p>
    <w:p>
      <w:pPr>
        <w:ind w:left="2"/>
        <w:spacing w:after="0"/>
        <w:rPr>
          <w:sz w:val="20"/>
          <w:szCs w:val="20"/>
          <w:color w:val="auto"/>
        </w:rPr>
      </w:pPr>
      <w:r>
        <w:rPr>
          <w:rFonts w:ascii="Arial" w:cs="Arial" w:eastAsia="Arial" w:hAnsi="Arial"/>
          <w:sz w:val="16"/>
          <w:szCs w:val="16"/>
          <w:color w:val="auto"/>
        </w:rPr>
        <w:t>PSUS</w:t>
      </w:r>
    </w:p>
    <w:p>
      <w:pPr>
        <w:spacing w:after="0" w:line="196" w:lineRule="exact"/>
        <w:rPr>
          <w:sz w:val="20"/>
          <w:szCs w:val="20"/>
          <w:color w:val="auto"/>
        </w:rPr>
      </w:pPr>
    </w:p>
    <w:p>
      <w:pPr>
        <w:jc w:val="both"/>
        <w:ind w:left="2" w:right="60"/>
        <w:spacing w:after="0" w:line="283" w:lineRule="auto"/>
        <w:rPr>
          <w:sz w:val="20"/>
          <w:szCs w:val="20"/>
          <w:color w:val="auto"/>
        </w:rPr>
      </w:pPr>
      <w:r>
        <w:rPr>
          <w:rFonts w:ascii="Arial" w:cs="Arial" w:eastAsia="Arial" w:hAnsi="Arial"/>
          <w:sz w:val="18"/>
          <w:szCs w:val="18"/>
          <w:color w:val="auto"/>
        </w:rPr>
        <w:t>Number of PSUs Granted. The target number of shares of our Common Stock subject to each PSU award granted to our executives (including our NEOs) is determined by dividing the total dollar value of the award by the 30-day VWAP. Our NEOs’ 2024 target PSU awards are set forth in the table below:</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53</w:t>
      </w:r>
    </w:p>
    <w:p>
      <w:pPr>
        <w:sectPr>
          <w:pgSz w:w="11880" w:h="15480" w:orient="portrait"/>
          <w:cols w:equalWidth="0" w:num="1">
            <w:col w:w="10422"/>
          </w:cols>
          <w:pgMar w:left="718" w:top="943" w:right="740" w:bottom="0" w:gutter="0" w:footer="0" w:header="0"/>
          <w:type w:val="continuous"/>
        </w:sectPr>
      </w:pPr>
    </w:p>
    <w:bookmarkStart w:id="59" w:name="page60"/>
    <w:bookmarkEnd w:id="59"/>
    <w:tbl>
      <w:tblPr>
        <w:tblLayout w:type="fixed"/>
        <w:tblInd w:w="2" w:type="dxa"/>
        <w:tblCellMar>
          <w:top w:w="0" w:type="dxa"/>
          <w:left w:w="0" w:type="dxa"/>
          <w:bottom w:w="0" w:type="dxa"/>
          <w:right w:w="0" w:type="dxa"/>
        </w:tblCellMar>
      </w:tblPr>
      <w:tr>
        <w:trPr>
          <w:trHeight w:val="303"/>
        </w:trPr>
        <w:tc>
          <w:tcPr>
            <w:tcW w:w="44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3620" w:type="dxa"/>
            <w:vAlign w:val="bottom"/>
            <w:shd w:val="clear" w:color="auto" w:fill="000000"/>
          </w:tcPr>
          <w:p>
            <w:pPr>
              <w:ind w:left="2560"/>
              <w:spacing w:after="0"/>
              <w:rPr>
                <w:sz w:val="20"/>
                <w:szCs w:val="20"/>
                <w:color w:val="auto"/>
              </w:rPr>
            </w:pPr>
            <w:r>
              <w:rPr>
                <w:rFonts w:ascii="Arial" w:cs="Arial" w:eastAsia="Arial" w:hAnsi="Arial"/>
                <w:sz w:val="14"/>
                <w:szCs w:val="14"/>
                <w:color w:val="FFFFFF"/>
              </w:rPr>
              <w:t>Value of PSUs</w:t>
            </w:r>
          </w:p>
        </w:tc>
        <w:tc>
          <w:tcPr>
            <w:tcW w:w="9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30-Day</w:t>
            </w: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PSUs</w:t>
            </w:r>
          </w:p>
        </w:tc>
      </w:tr>
      <w:tr>
        <w:trPr>
          <w:trHeight w:val="172"/>
        </w:trPr>
        <w:tc>
          <w:tcPr>
            <w:tcW w:w="4440" w:type="dxa"/>
            <w:vAlign w:val="bottom"/>
            <w:shd w:val="clear" w:color="auto" w:fill="000000"/>
          </w:tcPr>
          <w:p>
            <w:pPr>
              <w:spacing w:after="0"/>
              <w:rPr>
                <w:sz w:val="14"/>
                <w:szCs w:val="14"/>
                <w:color w:val="auto"/>
              </w:rPr>
            </w:pPr>
          </w:p>
        </w:tc>
        <w:tc>
          <w:tcPr>
            <w:tcW w:w="3620" w:type="dxa"/>
            <w:vAlign w:val="bottom"/>
            <w:shd w:val="clear" w:color="auto" w:fill="000000"/>
          </w:tcPr>
          <w:p>
            <w:pPr>
              <w:ind w:left="2560"/>
              <w:spacing w:after="0"/>
              <w:rPr>
                <w:sz w:val="20"/>
                <w:szCs w:val="20"/>
                <w:color w:val="auto"/>
              </w:rPr>
            </w:pPr>
            <w:r>
              <w:rPr>
                <w:rFonts w:ascii="Arial" w:cs="Arial" w:eastAsia="Arial" w:hAnsi="Arial"/>
                <w:sz w:val="14"/>
                <w:szCs w:val="14"/>
                <w:color w:val="FFFFFF"/>
              </w:rPr>
              <w:t>($)</w:t>
            </w:r>
          </w:p>
        </w:tc>
        <w:tc>
          <w:tcPr>
            <w:tcW w:w="9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VWAP</w:t>
            </w: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r>
      <w:tr>
        <w:trPr>
          <w:trHeight w:val="149"/>
        </w:trPr>
        <w:tc>
          <w:tcPr>
            <w:tcW w:w="4440" w:type="dxa"/>
            <w:vAlign w:val="bottom"/>
            <w:shd w:val="clear" w:color="auto" w:fill="000000"/>
          </w:tcPr>
          <w:p>
            <w:pPr>
              <w:spacing w:after="0"/>
              <w:rPr>
                <w:sz w:val="12"/>
                <w:szCs w:val="12"/>
                <w:color w:val="auto"/>
              </w:rPr>
            </w:pPr>
          </w:p>
        </w:tc>
        <w:tc>
          <w:tcPr>
            <w:tcW w:w="362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1460" w:type="dxa"/>
            <w:vAlign w:val="bottom"/>
            <w:shd w:val="clear" w:color="auto" w:fill="000000"/>
          </w:tcPr>
          <w:p>
            <w:pPr>
              <w:spacing w:after="0"/>
              <w:rPr>
                <w:sz w:val="12"/>
                <w:szCs w:val="12"/>
                <w:color w:val="auto"/>
              </w:rPr>
            </w:pPr>
          </w:p>
        </w:tc>
      </w:tr>
      <w:tr>
        <w:trPr>
          <w:trHeight w:val="390"/>
        </w:trPr>
        <w:tc>
          <w:tcPr>
            <w:tcW w:w="4440" w:type="dxa"/>
            <w:vAlign w:val="bottom"/>
          </w:tcPr>
          <w:p>
            <w:pPr>
              <w:ind w:left="180"/>
              <w:spacing w:after="0"/>
              <w:rPr>
                <w:sz w:val="20"/>
                <w:szCs w:val="20"/>
                <w:color w:val="auto"/>
              </w:rPr>
            </w:pPr>
            <w:r>
              <w:rPr>
                <w:rFonts w:ascii="Arial" w:cs="Arial" w:eastAsia="Arial" w:hAnsi="Arial"/>
                <w:sz w:val="16"/>
                <w:szCs w:val="16"/>
                <w:color w:val="auto"/>
              </w:rPr>
              <w:t>Peter Rawlinson</w:t>
            </w:r>
            <w:r>
              <w:rPr>
                <w:rFonts w:ascii="Arial" w:cs="Arial" w:eastAsia="Arial" w:hAnsi="Arial"/>
                <w:sz w:val="19"/>
                <w:szCs w:val="19"/>
                <w:color w:val="auto"/>
                <w:vertAlign w:val="superscript"/>
              </w:rPr>
              <w:t>(1)</w:t>
            </w:r>
          </w:p>
        </w:tc>
        <w:tc>
          <w:tcPr>
            <w:tcW w:w="3620" w:type="dxa"/>
            <w:vAlign w:val="bottom"/>
          </w:tcPr>
          <w:p>
            <w:pPr>
              <w:ind w:left="2560"/>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71"/>
        </w:trPr>
        <w:tc>
          <w:tcPr>
            <w:tcW w:w="44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304"/>
        </w:trPr>
        <w:tc>
          <w:tcPr>
            <w:tcW w:w="444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3620" w:type="dxa"/>
            <w:vAlign w:val="bottom"/>
          </w:tcPr>
          <w:p>
            <w:pPr>
              <w:ind w:left="2560"/>
              <w:spacing w:after="0"/>
              <w:rPr>
                <w:sz w:val="20"/>
                <w:szCs w:val="20"/>
                <w:color w:val="auto"/>
              </w:rPr>
            </w:pPr>
            <w:r>
              <w:rPr>
                <w:rFonts w:ascii="Arial" w:cs="Arial" w:eastAsia="Arial" w:hAnsi="Arial"/>
                <w:sz w:val="16"/>
                <w:szCs w:val="16"/>
                <w:color w:val="auto"/>
              </w:rPr>
              <w:t>$1,500,000</w:t>
            </w:r>
          </w:p>
        </w:tc>
        <w:tc>
          <w:tcPr>
            <w:tcW w:w="900" w:type="dxa"/>
            <w:vAlign w:val="bottom"/>
          </w:tcPr>
          <w:p>
            <w:pPr>
              <w:ind w:left="120"/>
              <w:spacing w:after="0"/>
              <w:rPr>
                <w:sz w:val="20"/>
                <w:szCs w:val="20"/>
                <w:color w:val="auto"/>
              </w:rPr>
            </w:pPr>
            <w:r>
              <w:rPr>
                <w:rFonts w:ascii="Arial" w:cs="Arial" w:eastAsia="Arial" w:hAnsi="Arial"/>
                <w:sz w:val="16"/>
                <w:szCs w:val="16"/>
                <w:color w:val="auto"/>
              </w:rPr>
              <w:t>$3.5958</w:t>
            </w:r>
          </w:p>
        </w:tc>
        <w:tc>
          <w:tcPr>
            <w:tcW w:w="1460" w:type="dxa"/>
            <w:vAlign w:val="bottom"/>
          </w:tcPr>
          <w:p>
            <w:pPr>
              <w:ind w:left="120"/>
              <w:spacing w:after="0"/>
              <w:rPr>
                <w:sz w:val="20"/>
                <w:szCs w:val="20"/>
                <w:color w:val="auto"/>
              </w:rPr>
            </w:pPr>
            <w:r>
              <w:rPr>
                <w:rFonts w:ascii="Arial" w:cs="Arial" w:eastAsia="Arial" w:hAnsi="Arial"/>
                <w:sz w:val="16"/>
                <w:szCs w:val="16"/>
                <w:color w:val="auto"/>
              </w:rPr>
              <w:t>417,153</w:t>
            </w:r>
          </w:p>
        </w:tc>
      </w:tr>
      <w:tr>
        <w:trPr>
          <w:trHeight w:val="135"/>
        </w:trPr>
        <w:tc>
          <w:tcPr>
            <w:tcW w:w="444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368"/>
        </w:trPr>
        <w:tc>
          <w:tcPr>
            <w:tcW w:w="444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(2)</w:t>
            </w:r>
          </w:p>
        </w:tc>
        <w:tc>
          <w:tcPr>
            <w:tcW w:w="3620" w:type="dxa"/>
            <w:vAlign w:val="bottom"/>
          </w:tcPr>
          <w:p>
            <w:pPr>
              <w:ind w:left="2560"/>
              <w:spacing w:after="0"/>
              <w:rPr>
                <w:sz w:val="20"/>
                <w:szCs w:val="20"/>
                <w:color w:val="auto"/>
              </w:rPr>
            </w:pPr>
            <w:r>
              <w:rPr>
                <w:rFonts w:ascii="Arial" w:cs="Arial" w:eastAsia="Arial" w:hAnsi="Arial"/>
                <w:sz w:val="16"/>
                <w:szCs w:val="16"/>
                <w:color w:val="auto"/>
              </w:rPr>
              <w:t>$6,000,000</w:t>
            </w:r>
          </w:p>
        </w:tc>
        <w:tc>
          <w:tcPr>
            <w:tcW w:w="900" w:type="dxa"/>
            <w:vAlign w:val="bottom"/>
          </w:tcPr>
          <w:p>
            <w:pPr>
              <w:ind w:left="120"/>
              <w:spacing w:after="0"/>
              <w:rPr>
                <w:sz w:val="20"/>
                <w:szCs w:val="20"/>
                <w:color w:val="auto"/>
              </w:rPr>
            </w:pPr>
            <w:r>
              <w:rPr>
                <w:rFonts w:ascii="Arial" w:cs="Arial" w:eastAsia="Arial" w:hAnsi="Arial"/>
                <w:sz w:val="16"/>
                <w:szCs w:val="16"/>
                <w:color w:val="auto"/>
              </w:rPr>
              <w:t>$2.8081</w:t>
            </w:r>
          </w:p>
        </w:tc>
        <w:tc>
          <w:tcPr>
            <w:tcW w:w="1460" w:type="dxa"/>
            <w:vAlign w:val="bottom"/>
          </w:tcPr>
          <w:p>
            <w:pPr>
              <w:ind w:left="120"/>
              <w:spacing w:after="0"/>
              <w:rPr>
                <w:sz w:val="20"/>
                <w:szCs w:val="20"/>
                <w:color w:val="auto"/>
              </w:rPr>
            </w:pPr>
            <w:r>
              <w:rPr>
                <w:rFonts w:ascii="Arial" w:cs="Arial" w:eastAsia="Arial" w:hAnsi="Arial"/>
                <w:sz w:val="16"/>
                <w:szCs w:val="16"/>
                <w:color w:val="auto"/>
              </w:rPr>
              <w:t>2,136,676</w:t>
            </w:r>
          </w:p>
        </w:tc>
      </w:tr>
      <w:tr>
        <w:trPr>
          <w:trHeight w:val="71"/>
        </w:trPr>
        <w:tc>
          <w:tcPr>
            <w:tcW w:w="44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304"/>
        </w:trPr>
        <w:tc>
          <w:tcPr>
            <w:tcW w:w="44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620" w:type="dxa"/>
            <w:vAlign w:val="bottom"/>
          </w:tcPr>
          <w:p>
            <w:pPr>
              <w:ind w:left="2560"/>
              <w:spacing w:after="0"/>
              <w:rPr>
                <w:sz w:val="20"/>
                <w:szCs w:val="20"/>
                <w:color w:val="auto"/>
              </w:rPr>
            </w:pPr>
            <w:r>
              <w:rPr>
                <w:rFonts w:ascii="Arial" w:cs="Arial" w:eastAsia="Arial" w:hAnsi="Arial"/>
                <w:sz w:val="16"/>
                <w:szCs w:val="16"/>
                <w:color w:val="auto"/>
              </w:rPr>
              <w:t>$5,400,000</w:t>
            </w:r>
          </w:p>
        </w:tc>
        <w:tc>
          <w:tcPr>
            <w:tcW w:w="900" w:type="dxa"/>
            <w:vAlign w:val="bottom"/>
          </w:tcPr>
          <w:p>
            <w:pPr>
              <w:ind w:left="120"/>
              <w:spacing w:after="0"/>
              <w:rPr>
                <w:sz w:val="20"/>
                <w:szCs w:val="20"/>
                <w:color w:val="auto"/>
              </w:rPr>
            </w:pPr>
            <w:r>
              <w:rPr>
                <w:rFonts w:ascii="Arial" w:cs="Arial" w:eastAsia="Arial" w:hAnsi="Arial"/>
                <w:sz w:val="16"/>
                <w:szCs w:val="16"/>
                <w:color w:val="auto"/>
              </w:rPr>
              <w:t>$3.5958</w:t>
            </w:r>
          </w:p>
        </w:tc>
        <w:tc>
          <w:tcPr>
            <w:tcW w:w="1460" w:type="dxa"/>
            <w:vAlign w:val="bottom"/>
          </w:tcPr>
          <w:p>
            <w:pPr>
              <w:ind w:left="120"/>
              <w:spacing w:after="0"/>
              <w:rPr>
                <w:sz w:val="20"/>
                <w:szCs w:val="20"/>
                <w:color w:val="auto"/>
              </w:rPr>
            </w:pPr>
            <w:r>
              <w:rPr>
                <w:rFonts w:ascii="Arial" w:cs="Arial" w:eastAsia="Arial" w:hAnsi="Arial"/>
                <w:sz w:val="16"/>
                <w:szCs w:val="16"/>
                <w:color w:val="auto"/>
              </w:rPr>
              <w:t>1,501,752</w:t>
            </w:r>
          </w:p>
        </w:tc>
      </w:tr>
      <w:tr>
        <w:trPr>
          <w:trHeight w:val="135"/>
        </w:trPr>
        <w:tc>
          <w:tcPr>
            <w:tcW w:w="444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368"/>
        </w:trPr>
        <w:tc>
          <w:tcPr>
            <w:tcW w:w="444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(3)</w:t>
            </w:r>
          </w:p>
        </w:tc>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4"/>
        </w:trPr>
        <w:tc>
          <w:tcPr>
            <w:tcW w:w="444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ind w:left="142" w:hanging="142"/>
        <w:spacing w:after="0"/>
        <w:tabs>
          <w:tab w:leader="none" w:pos="142" w:val="left"/>
        </w:tabs>
        <w:numPr>
          <w:ilvl w:val="0"/>
          <w:numId w:val="36"/>
        </w:numPr>
        <w:rPr>
          <w:rFonts w:ascii="Arial" w:cs="Arial" w:eastAsia="Arial" w:hAnsi="Arial"/>
          <w:sz w:val="17"/>
          <w:szCs w:val="17"/>
          <w:color w:val="auto"/>
          <w:vertAlign w:val="superscript"/>
        </w:rPr>
      </w:pPr>
      <w:r>
        <w:rPr>
          <w:rFonts w:ascii="Arial" w:cs="Arial" w:eastAsia="Arial" w:hAnsi="Arial"/>
          <w:sz w:val="11"/>
          <w:szCs w:val="11"/>
          <w:color w:val="auto"/>
        </w:rPr>
        <w:t>In view of still-outstanding value from the 2021 CEO Grant, the Board determined not to grant Mr. Rawlinson an equity award in 2024.</w:t>
      </w:r>
    </w:p>
    <w:p>
      <w:pPr>
        <w:spacing w:after="0" w:line="99" w:lineRule="exact"/>
        <w:rPr>
          <w:rFonts w:ascii="Arial" w:cs="Arial" w:eastAsia="Arial" w:hAnsi="Arial"/>
          <w:sz w:val="17"/>
          <w:szCs w:val="17"/>
          <w:color w:val="auto"/>
          <w:vertAlign w:val="superscript"/>
        </w:rPr>
      </w:pPr>
    </w:p>
    <w:p>
      <w:pPr>
        <w:ind w:left="142" w:right="320" w:hanging="142"/>
        <w:spacing w:after="0" w:line="209" w:lineRule="auto"/>
        <w:tabs>
          <w:tab w:leader="none" w:pos="142" w:val="left"/>
        </w:tabs>
        <w:numPr>
          <w:ilvl w:val="0"/>
          <w:numId w:val="36"/>
        </w:numPr>
        <w:rPr>
          <w:rFonts w:ascii="Arial" w:cs="Arial" w:eastAsia="Arial" w:hAnsi="Arial"/>
          <w:sz w:val="17"/>
          <w:szCs w:val="17"/>
          <w:color w:val="auto"/>
          <w:vertAlign w:val="superscript"/>
        </w:rPr>
      </w:pPr>
      <w:r>
        <w:rPr>
          <w:rFonts w:ascii="Arial" w:cs="Arial" w:eastAsia="Arial" w:hAnsi="Arial"/>
          <w:sz w:val="11"/>
          <w:szCs w:val="11"/>
          <w:color w:val="auto"/>
        </w:rPr>
        <w:t>In connection with the commencement of Mr. Winterhoff’s employment with the Company on December 4, 2023, the Board granted Mr. Winterhoff a PSU award in June 2024 pursuant to his offer letter. The target number of PSUs subject to this award is determined on the basis of the 30-day VWAP ending on the grant date.</w:t>
      </w:r>
    </w:p>
    <w:p>
      <w:pPr>
        <w:spacing w:after="0" w:line="51"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36"/>
        </w:numPr>
        <w:rPr>
          <w:rFonts w:ascii="Arial" w:cs="Arial" w:eastAsia="Arial" w:hAnsi="Arial"/>
          <w:sz w:val="17"/>
          <w:szCs w:val="17"/>
          <w:color w:val="auto"/>
          <w:vertAlign w:val="superscript"/>
        </w:rPr>
      </w:pPr>
      <w:r>
        <w:rPr>
          <w:rFonts w:ascii="Arial" w:cs="Arial" w:eastAsia="Arial" w:hAnsi="Arial"/>
          <w:sz w:val="11"/>
          <w:szCs w:val="11"/>
          <w:color w:val="auto"/>
        </w:rPr>
        <w:t>Due to Mr. Bell’s separation on May 3, 2024, he was not eligible for any equity awards in 2024.</w:t>
      </w:r>
    </w:p>
    <w:p>
      <w:pPr>
        <w:spacing w:after="0" w:line="208" w:lineRule="exact"/>
        <w:rPr>
          <w:sz w:val="20"/>
          <w:szCs w:val="20"/>
          <w:color w:val="auto"/>
        </w:rPr>
      </w:pPr>
    </w:p>
    <w:p>
      <w:pPr>
        <w:ind w:left="2"/>
        <w:spacing w:after="0" w:line="274" w:lineRule="auto"/>
        <w:rPr>
          <w:sz w:val="20"/>
          <w:szCs w:val="20"/>
          <w:color w:val="auto"/>
        </w:rPr>
      </w:pPr>
      <w:r>
        <w:rPr>
          <w:rFonts w:ascii="Arial" w:cs="Arial" w:eastAsia="Arial" w:hAnsi="Arial"/>
          <w:sz w:val="18"/>
          <w:szCs w:val="18"/>
          <w:color w:val="auto"/>
        </w:rPr>
        <w:t>Overview of 2024 PSU Award Structure. Consistent with our pay-for-performance philosophy and our focus on achieving critical business objectives and creating long-term stockholder value, our Compensation and Human Capital Committee determined that the design of the 2024 PSU awards (including those granted to our NEOs) would be structured into a two-year performance period, segmented into two equal tranches (2024 and 2025, respectively). The 2024 tranche (the “2024 Tranche”) uses deliveries, gross margin and free cash flow as the performance metrics. The 2025 tranche (the “2025 Tranche”) uses deliveries and free cash flow as the performance metrics (“2025 Tranche Company Performance Metrics”). For each tranche, a minimum of 50% weighted-average performance achievement, measured against the performance goals for that year, is required to certify any earning of the PSUs. Vesting of earned PSUs under each tranche is as follows: (1) For the 2024 Tranche: 50% of earned shares vest upon the later of March 5, 2025, or the certification of achievement which occurred in the first quarter of 2025. The remaining 50% of earned shares vest in equal quarterly installments over the following four quarters, subject to the NEO’s continued service through the applicable vesting dates; (2) For the 2025 Tranche: 50% of earned shares vest upon the later of March 5, 2026, or the certification of achievement which is expected to occur in the first quarter 2026. The remaining 50% of earned shares vest in equal quarterly installments over the following four quarters, subject to the NEO’s continued service through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
        <w:spacing w:after="0" w:line="275" w:lineRule="auto"/>
        <w:rPr>
          <w:sz w:val="20"/>
          <w:szCs w:val="20"/>
          <w:color w:val="auto"/>
        </w:rPr>
      </w:pPr>
      <w:r>
        <w:rPr>
          <w:rFonts w:ascii="Arial" w:cs="Arial" w:eastAsia="Arial" w:hAnsi="Arial"/>
          <w:sz w:val="18"/>
          <w:szCs w:val="18"/>
          <w:color w:val="auto"/>
        </w:rPr>
        <w:t>2024 Tranche Performance Metrics. For the 2024 Tranche, the Board, upon the recommendation of the Compensation and Human Capital Committee, selected deliveries, gross margin and free cash flow as performance metrics (“2024 Tranche Company Performance Metrics”). As explained above under the heading Annual Cash Incentive Compensation, these metrics and their respective target performance levels reflect a balanced approach, focusing on key performance metrics that align with our annual growth objectives as well as our long-term business plan. At the time the performance metrics were established for the 2024 Tranche, the Board, upon the recommendation of the Compensation and Human Capital Committee, believed that attaining such goals would require a high level of effort and skilled execution on the part of our executives, including our NEOs, to achieve strong sales and operational success.</w:t>
      </w:r>
    </w:p>
    <w:p>
      <w:pPr>
        <w:spacing w:after="0" w:line="286"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23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2024 Tranche Company</w:t>
            </w:r>
          </w:p>
        </w:tc>
        <w:tc>
          <w:tcPr>
            <w:tcW w:w="1120" w:type="dxa"/>
            <w:vAlign w:val="bottom"/>
            <w:shd w:val="clear" w:color="auto" w:fill="000000"/>
          </w:tcPr>
          <w:p>
            <w:pPr>
              <w:ind w:left="520"/>
              <w:spacing w:after="0"/>
              <w:rPr>
                <w:sz w:val="20"/>
                <w:szCs w:val="20"/>
                <w:color w:val="auto"/>
              </w:rPr>
            </w:pPr>
            <w:r>
              <w:rPr>
                <w:rFonts w:ascii="Arial" w:cs="Arial" w:eastAsia="Arial" w:hAnsi="Arial"/>
                <w:sz w:val="14"/>
                <w:szCs w:val="14"/>
                <w:color w:val="FFFFFF"/>
              </w:rPr>
              <w:t>Weight</w:t>
            </w:r>
          </w:p>
        </w:tc>
        <w:tc>
          <w:tcPr>
            <w:tcW w:w="70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Metric Description</w:t>
            </w:r>
          </w:p>
        </w:tc>
      </w:tr>
      <w:tr>
        <w:trPr>
          <w:trHeight w:val="172"/>
        </w:trPr>
        <w:tc>
          <w:tcPr>
            <w:tcW w:w="23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Performance Metrics</w:t>
            </w:r>
          </w:p>
        </w:tc>
        <w:tc>
          <w:tcPr>
            <w:tcW w:w="1120" w:type="dxa"/>
            <w:vAlign w:val="bottom"/>
            <w:shd w:val="clear" w:color="auto" w:fill="000000"/>
          </w:tcPr>
          <w:p>
            <w:pPr>
              <w:spacing w:after="0"/>
              <w:rPr>
                <w:sz w:val="14"/>
                <w:szCs w:val="14"/>
                <w:color w:val="auto"/>
              </w:rPr>
            </w:pPr>
          </w:p>
        </w:tc>
        <w:tc>
          <w:tcPr>
            <w:tcW w:w="7000" w:type="dxa"/>
            <w:vAlign w:val="bottom"/>
            <w:shd w:val="clear" w:color="auto" w:fill="000000"/>
          </w:tcPr>
          <w:p>
            <w:pPr>
              <w:spacing w:after="0"/>
              <w:rPr>
                <w:sz w:val="14"/>
                <w:szCs w:val="14"/>
                <w:color w:val="auto"/>
              </w:rPr>
            </w:pPr>
          </w:p>
        </w:tc>
      </w:tr>
      <w:tr>
        <w:trPr>
          <w:trHeight w:val="149"/>
        </w:trPr>
        <w:tc>
          <w:tcPr>
            <w:tcW w:w="2300" w:type="dxa"/>
            <w:vAlign w:val="bottom"/>
            <w:shd w:val="clear" w:color="auto" w:fill="000000"/>
          </w:tcPr>
          <w:p>
            <w:pPr>
              <w:spacing w:after="0"/>
              <w:rPr>
                <w:sz w:val="12"/>
                <w:szCs w:val="12"/>
                <w:color w:val="auto"/>
              </w:rPr>
            </w:pPr>
          </w:p>
        </w:tc>
        <w:tc>
          <w:tcPr>
            <w:tcW w:w="1120" w:type="dxa"/>
            <w:vAlign w:val="bottom"/>
            <w:shd w:val="clear" w:color="auto" w:fill="000000"/>
          </w:tcPr>
          <w:p>
            <w:pPr>
              <w:spacing w:after="0"/>
              <w:rPr>
                <w:sz w:val="12"/>
                <w:szCs w:val="12"/>
                <w:color w:val="auto"/>
              </w:rPr>
            </w:pPr>
          </w:p>
        </w:tc>
        <w:tc>
          <w:tcPr>
            <w:tcW w:w="7000" w:type="dxa"/>
            <w:vAlign w:val="bottom"/>
            <w:shd w:val="clear" w:color="auto" w:fill="000000"/>
          </w:tcPr>
          <w:p>
            <w:pPr>
              <w:spacing w:after="0"/>
              <w:rPr>
                <w:sz w:val="12"/>
                <w:szCs w:val="12"/>
                <w:color w:val="auto"/>
              </w:rPr>
            </w:pPr>
          </w:p>
        </w:tc>
      </w:tr>
      <w:tr>
        <w:trPr>
          <w:trHeight w:val="309"/>
        </w:trPr>
        <w:tc>
          <w:tcPr>
            <w:tcW w:w="2300" w:type="dxa"/>
            <w:vAlign w:val="bottom"/>
          </w:tcPr>
          <w:p>
            <w:pPr>
              <w:ind w:left="180"/>
              <w:spacing w:after="0"/>
              <w:rPr>
                <w:sz w:val="20"/>
                <w:szCs w:val="20"/>
                <w:color w:val="auto"/>
              </w:rPr>
            </w:pPr>
            <w:r>
              <w:rPr>
                <w:rFonts w:ascii="Arial" w:cs="Arial" w:eastAsia="Arial" w:hAnsi="Arial"/>
                <w:sz w:val="16"/>
                <w:szCs w:val="16"/>
                <w:color w:val="auto"/>
              </w:rPr>
              <w:t>Deliveries</w:t>
            </w:r>
          </w:p>
        </w:tc>
        <w:tc>
          <w:tcPr>
            <w:tcW w:w="1120" w:type="dxa"/>
            <w:vAlign w:val="bottom"/>
          </w:tcPr>
          <w:p>
            <w:pPr>
              <w:ind w:left="520"/>
              <w:spacing w:after="0"/>
              <w:rPr>
                <w:sz w:val="20"/>
                <w:szCs w:val="20"/>
                <w:color w:val="auto"/>
              </w:rPr>
            </w:pPr>
            <w:r>
              <w:rPr>
                <w:rFonts w:ascii="Arial" w:cs="Arial" w:eastAsia="Arial" w:hAnsi="Arial"/>
                <w:sz w:val="16"/>
                <w:szCs w:val="16"/>
                <w:color w:val="auto"/>
              </w:rPr>
              <w:t>1/3</w:t>
            </w:r>
          </w:p>
        </w:tc>
        <w:tc>
          <w:tcPr>
            <w:tcW w:w="7000" w:type="dxa"/>
            <w:vAlign w:val="bottom"/>
          </w:tcPr>
          <w:p>
            <w:pPr>
              <w:ind w:left="120"/>
              <w:spacing w:after="0"/>
              <w:rPr>
                <w:sz w:val="20"/>
                <w:szCs w:val="20"/>
                <w:color w:val="auto"/>
              </w:rPr>
            </w:pPr>
            <w:r>
              <w:rPr>
                <w:rFonts w:ascii="Arial" w:cs="Arial" w:eastAsia="Arial" w:hAnsi="Arial"/>
                <w:sz w:val="16"/>
                <w:szCs w:val="16"/>
                <w:color w:val="auto"/>
              </w:rPr>
              <w:t>The number of Lucid vehicles transferred to customers for the full fiscal year ended</w:t>
            </w:r>
          </w:p>
        </w:tc>
      </w:tr>
      <w:tr>
        <w:trPr>
          <w:trHeight w:val="197"/>
        </w:trPr>
        <w:tc>
          <w:tcPr>
            <w:tcW w:w="2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December 31, 2024.</w:t>
            </w:r>
          </w:p>
        </w:tc>
      </w:tr>
      <w:tr>
        <w:trPr>
          <w:trHeight w:val="135"/>
        </w:trPr>
        <w:tc>
          <w:tcPr>
            <w:tcW w:w="2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r>
        <w:trPr>
          <w:trHeight w:val="287"/>
        </w:trPr>
        <w:tc>
          <w:tcPr>
            <w:tcW w:w="2300" w:type="dxa"/>
            <w:vAlign w:val="bottom"/>
          </w:tcPr>
          <w:p>
            <w:pPr>
              <w:ind w:left="180"/>
              <w:spacing w:after="0"/>
              <w:rPr>
                <w:sz w:val="20"/>
                <w:szCs w:val="20"/>
                <w:color w:val="auto"/>
              </w:rPr>
            </w:pPr>
            <w:r>
              <w:rPr>
                <w:rFonts w:ascii="Arial" w:cs="Arial" w:eastAsia="Arial" w:hAnsi="Arial"/>
                <w:sz w:val="16"/>
                <w:szCs w:val="16"/>
                <w:color w:val="auto"/>
              </w:rPr>
              <w:t>Gross Margin</w:t>
            </w:r>
          </w:p>
        </w:tc>
        <w:tc>
          <w:tcPr>
            <w:tcW w:w="1120" w:type="dxa"/>
            <w:vAlign w:val="bottom"/>
          </w:tcPr>
          <w:p>
            <w:pPr>
              <w:ind w:left="520"/>
              <w:spacing w:after="0"/>
              <w:rPr>
                <w:sz w:val="20"/>
                <w:szCs w:val="20"/>
                <w:color w:val="auto"/>
              </w:rPr>
            </w:pPr>
            <w:r>
              <w:rPr>
                <w:rFonts w:ascii="Arial" w:cs="Arial" w:eastAsia="Arial" w:hAnsi="Arial"/>
                <w:sz w:val="16"/>
                <w:szCs w:val="16"/>
                <w:color w:val="auto"/>
              </w:rPr>
              <w:t>1/3</w:t>
            </w:r>
          </w:p>
        </w:tc>
        <w:tc>
          <w:tcPr>
            <w:tcW w:w="7000" w:type="dxa"/>
            <w:vAlign w:val="bottom"/>
          </w:tcPr>
          <w:p>
            <w:pPr>
              <w:ind w:left="120"/>
              <w:spacing w:after="0"/>
              <w:rPr>
                <w:sz w:val="20"/>
                <w:szCs w:val="20"/>
                <w:color w:val="auto"/>
              </w:rPr>
            </w:pPr>
            <w:r>
              <w:rPr>
                <w:rFonts w:ascii="Arial" w:cs="Arial" w:eastAsia="Arial" w:hAnsi="Arial"/>
                <w:sz w:val="16"/>
                <w:szCs w:val="16"/>
                <w:color w:val="auto"/>
              </w:rPr>
              <w:t>The Company’s sales minus its cost of goods sold, expressed as a percentage of</w:t>
            </w:r>
          </w:p>
        </w:tc>
      </w:tr>
      <w:tr>
        <w:trPr>
          <w:trHeight w:val="197"/>
        </w:trPr>
        <w:tc>
          <w:tcPr>
            <w:tcW w:w="2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sales.</w:t>
            </w:r>
          </w:p>
        </w:tc>
      </w:tr>
      <w:tr>
        <w:trPr>
          <w:trHeight w:val="135"/>
        </w:trPr>
        <w:tc>
          <w:tcPr>
            <w:tcW w:w="2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r>
        <w:trPr>
          <w:trHeight w:val="287"/>
        </w:trPr>
        <w:tc>
          <w:tcPr>
            <w:tcW w:w="230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1120" w:type="dxa"/>
            <w:vAlign w:val="bottom"/>
          </w:tcPr>
          <w:p>
            <w:pPr>
              <w:ind w:left="520"/>
              <w:spacing w:after="0"/>
              <w:rPr>
                <w:sz w:val="20"/>
                <w:szCs w:val="20"/>
                <w:color w:val="auto"/>
              </w:rPr>
            </w:pPr>
            <w:r>
              <w:rPr>
                <w:rFonts w:ascii="Arial" w:cs="Arial" w:eastAsia="Arial" w:hAnsi="Arial"/>
                <w:sz w:val="16"/>
                <w:szCs w:val="16"/>
                <w:color w:val="auto"/>
              </w:rPr>
              <w:t>1/3</w:t>
            </w:r>
          </w:p>
        </w:tc>
        <w:tc>
          <w:tcPr>
            <w:tcW w:w="7000" w:type="dxa"/>
            <w:vAlign w:val="bottom"/>
          </w:tcPr>
          <w:p>
            <w:pPr>
              <w:ind w:left="120"/>
              <w:spacing w:after="0"/>
              <w:rPr>
                <w:sz w:val="20"/>
                <w:szCs w:val="20"/>
                <w:color w:val="auto"/>
              </w:rPr>
            </w:pPr>
            <w:r>
              <w:rPr>
                <w:rFonts w:ascii="Arial" w:cs="Arial" w:eastAsia="Arial" w:hAnsi="Arial"/>
                <w:sz w:val="16"/>
                <w:szCs w:val="16"/>
                <w:color w:val="auto"/>
              </w:rPr>
              <w:t>The Company’s net cash from operations less capital expenditures, subject to any</w:t>
            </w:r>
          </w:p>
        </w:tc>
      </w:tr>
      <w:tr>
        <w:trPr>
          <w:trHeight w:val="197"/>
        </w:trPr>
        <w:tc>
          <w:tcPr>
            <w:tcW w:w="2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Arial" w:cs="Arial" w:eastAsia="Arial" w:hAnsi="Arial"/>
                <w:sz w:val="16"/>
                <w:szCs w:val="16"/>
                <w:color w:val="auto"/>
              </w:rPr>
              <w:t>cash balance adjustments not connected to operations.</w:t>
            </w:r>
          </w:p>
        </w:tc>
      </w:tr>
      <w:tr>
        <w:trPr>
          <w:trHeight w:val="138"/>
        </w:trPr>
        <w:tc>
          <w:tcPr>
            <w:tcW w:w="2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r>
    </w:tbl>
    <w:p>
      <w:pPr>
        <w:spacing w:after="0" w:line="182" w:lineRule="exact"/>
        <w:rPr>
          <w:sz w:val="20"/>
          <w:szCs w:val="20"/>
          <w:color w:val="auto"/>
        </w:rPr>
      </w:pPr>
    </w:p>
    <w:p>
      <w:pPr>
        <w:ind w:left="2" w:right="280"/>
        <w:spacing w:after="0" w:line="291" w:lineRule="auto"/>
        <w:rPr>
          <w:sz w:val="20"/>
          <w:szCs w:val="20"/>
          <w:color w:val="auto"/>
        </w:rPr>
      </w:pPr>
      <w:r>
        <w:rPr>
          <w:rFonts w:ascii="Arial" w:cs="Arial" w:eastAsia="Arial" w:hAnsi="Arial"/>
          <w:sz w:val="18"/>
          <w:szCs w:val="18"/>
          <w:color w:val="auto"/>
        </w:rPr>
        <w:t>Actual Performance and PSUs Earned Under 2024 Tranche. In March 2025, the Compensation and Human Capital Committee evaluated the Company’s performance in relation to the 2024 Tranche Company Performance Metrics. For</w:t>
      </w:r>
    </w:p>
    <w:p>
      <w:pPr>
        <w:sectPr>
          <w:pgSz w:w="11880" w:h="15480" w:orient="portrait"/>
          <w:cols w:equalWidth="0" w:num="1">
            <w:col w:w="10422"/>
          </w:cols>
          <w:pgMar w:left="718" w:top="997" w:right="74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97" w:right="740" w:bottom="0" w:gutter="0" w:footer="0" w:header="0"/>
          <w:type w:val="continuous"/>
        </w:sectPr>
      </w:pPr>
    </w:p>
    <w:bookmarkStart w:id="60" w:name="page61"/>
    <w:bookmarkEnd w:id="60"/>
    <w:p>
      <w:pPr>
        <w:ind w:right="20"/>
        <w:spacing w:after="0" w:line="286" w:lineRule="auto"/>
        <w:rPr>
          <w:sz w:val="20"/>
          <w:szCs w:val="20"/>
          <w:color w:val="auto"/>
        </w:rPr>
      </w:pPr>
      <w:r>
        <w:rPr>
          <w:rFonts w:ascii="Arial" w:cs="Arial" w:eastAsia="Arial" w:hAnsi="Arial"/>
          <w:sz w:val="18"/>
          <w:szCs w:val="18"/>
          <w:color w:val="auto"/>
        </w:rPr>
        <w:t>fiscal year 2024, the Company achieved and exceeded target performance for all of its three 2024 Tranche Company Performance Metrics with 10,241 deliveries (target 9,000), $(923) million in gross margin (target $(1,027) million), and $(3,644) million in free cash flow (target ($4,136) million), resulting in a PSU Payout Factor of 129.8%. As discussed earlier, actual result of free cash flow incorporates the adjustments approved by the Compensation and Human Capital Committee and the Board in the first quarter of 2025. If no such adjustments had been made, actual Free Cash Flow performance for 2024 would have been ($2,904) million, resulting in an overall PSU Payout Factor of 136.6%, rather than 129.8%. Taken together, for the 2024 Tranche, the number of PSUs granted at target and PSU Payout Factor combined resulted in the following number of PSUs earned for each NEO: 1,386,704 shares for Mr. Winterhoff, 270,730 shares for Mr. Dhingra, and 974,637 shares for Mr. Bach. In view of still-outstanding value from the 2021 CEO Grant, the Board determined not to grant Mr. Rawlinson an equity award in 2024. Due to Mr. Bell’s separation on May 3, 2024, he was not granted any equity awards in 2024.</w:t>
      </w: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2025 Tranche Performance Metrics. For the 2025 Tranche, the Board, upon the recommendation of the Compensation and Human Capital Committee, selected deliveries and free cash flow as performance metrics (“2025 Tranche Company Performance Metrics”) in alignment with our long-term business plan for 2025. In the first quarter of 2025, the target for the Deliveries metric for the 2025 Tranche was adjusted to more closely track the long-term business plan for 2025 approved by the Board in December 2024, better reflecting the intent and assumptions under which the target of the Deliveries metric was initially set. In addition, in the first quarter of 2025, the Compensation and Human Capital Committee and the Board approved an adjustment to how the actual result of the Free Cash Flow performance metric will be calculated for the 2025 Tranche in connection with the operational change that drove the corresponding adjustment to Free Cash Flow results for the 2024 Tranche and the 2024 AIP discussed under the heading “2024 AIP Actual Performance and Payouts.”</w:t>
      </w:r>
    </w:p>
    <w:p>
      <w:pPr>
        <w:spacing w:after="0" w:line="200" w:lineRule="exact"/>
        <w:rPr>
          <w:sz w:val="20"/>
          <w:szCs w:val="20"/>
          <w:color w:val="auto"/>
        </w:rPr>
      </w:pPr>
    </w:p>
    <w:p>
      <w:pPr>
        <w:spacing w:after="0" w:line="268" w:lineRule="exact"/>
        <w:rPr>
          <w:sz w:val="20"/>
          <w:szCs w:val="20"/>
          <w:color w:val="auto"/>
        </w:rPr>
      </w:pPr>
    </w:p>
    <w:p>
      <w:pPr>
        <w:ind w:right="120"/>
        <w:spacing w:after="0" w:line="297" w:lineRule="auto"/>
        <w:rPr>
          <w:sz w:val="20"/>
          <w:szCs w:val="20"/>
          <w:color w:val="auto"/>
        </w:rPr>
      </w:pPr>
      <w:r>
        <w:rPr>
          <w:rFonts w:ascii="Arial" w:cs="Arial" w:eastAsia="Arial" w:hAnsi="Arial"/>
          <w:sz w:val="18"/>
          <w:szCs w:val="18"/>
          <w:color w:val="auto"/>
        </w:rPr>
        <w:t>Details regarding actual performance and PSUs earned under the 2025 Tranche will be disclosed in the proxy statement for the following year.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3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2025 Tranche Company</w:t>
            </w:r>
          </w:p>
        </w:tc>
        <w:tc>
          <w:tcPr>
            <w:tcW w:w="1340" w:type="dxa"/>
            <w:vAlign w:val="bottom"/>
            <w:shd w:val="clear" w:color="auto" w:fill="000000"/>
          </w:tcPr>
          <w:p>
            <w:pPr>
              <w:ind w:left="520"/>
              <w:spacing w:after="0"/>
              <w:rPr>
                <w:sz w:val="20"/>
                <w:szCs w:val="20"/>
                <w:color w:val="auto"/>
              </w:rPr>
            </w:pPr>
            <w:r>
              <w:rPr>
                <w:rFonts w:ascii="Arial" w:cs="Arial" w:eastAsia="Arial" w:hAnsi="Arial"/>
                <w:sz w:val="14"/>
                <w:szCs w:val="14"/>
                <w:color w:val="FFFFFF"/>
              </w:rPr>
              <w:t>Weighting</w:t>
            </w:r>
          </w:p>
        </w:tc>
        <w:tc>
          <w:tcPr>
            <w:tcW w:w="67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Metric Description</w:t>
            </w:r>
          </w:p>
        </w:tc>
      </w:tr>
      <w:tr>
        <w:trPr>
          <w:trHeight w:val="172"/>
        </w:trPr>
        <w:tc>
          <w:tcPr>
            <w:tcW w:w="23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Performance Metrics</w:t>
            </w:r>
          </w:p>
        </w:tc>
        <w:tc>
          <w:tcPr>
            <w:tcW w:w="1340" w:type="dxa"/>
            <w:vAlign w:val="bottom"/>
            <w:shd w:val="clear" w:color="auto" w:fill="000000"/>
          </w:tcPr>
          <w:p>
            <w:pPr>
              <w:spacing w:after="0"/>
              <w:rPr>
                <w:sz w:val="14"/>
                <w:szCs w:val="14"/>
                <w:color w:val="auto"/>
              </w:rPr>
            </w:pPr>
          </w:p>
        </w:tc>
        <w:tc>
          <w:tcPr>
            <w:tcW w:w="6780" w:type="dxa"/>
            <w:vAlign w:val="bottom"/>
            <w:shd w:val="clear" w:color="auto" w:fill="000000"/>
          </w:tcPr>
          <w:p>
            <w:pPr>
              <w:spacing w:after="0"/>
              <w:rPr>
                <w:sz w:val="14"/>
                <w:szCs w:val="14"/>
                <w:color w:val="auto"/>
              </w:rPr>
            </w:pPr>
          </w:p>
        </w:tc>
      </w:tr>
      <w:tr>
        <w:trPr>
          <w:trHeight w:val="149"/>
        </w:trPr>
        <w:tc>
          <w:tcPr>
            <w:tcW w:w="2300" w:type="dxa"/>
            <w:vAlign w:val="bottom"/>
            <w:shd w:val="clear" w:color="auto" w:fill="000000"/>
          </w:tcPr>
          <w:p>
            <w:pPr>
              <w:spacing w:after="0"/>
              <w:rPr>
                <w:sz w:val="12"/>
                <w:szCs w:val="12"/>
                <w:color w:val="auto"/>
              </w:rPr>
            </w:pPr>
          </w:p>
        </w:tc>
        <w:tc>
          <w:tcPr>
            <w:tcW w:w="1340" w:type="dxa"/>
            <w:vAlign w:val="bottom"/>
            <w:shd w:val="clear" w:color="auto" w:fill="000000"/>
          </w:tcPr>
          <w:p>
            <w:pPr>
              <w:spacing w:after="0"/>
              <w:rPr>
                <w:sz w:val="12"/>
                <w:szCs w:val="12"/>
                <w:color w:val="auto"/>
              </w:rPr>
            </w:pPr>
          </w:p>
        </w:tc>
        <w:tc>
          <w:tcPr>
            <w:tcW w:w="6780" w:type="dxa"/>
            <w:vAlign w:val="bottom"/>
            <w:shd w:val="clear" w:color="auto" w:fill="000000"/>
          </w:tcPr>
          <w:p>
            <w:pPr>
              <w:spacing w:after="0"/>
              <w:rPr>
                <w:sz w:val="12"/>
                <w:szCs w:val="12"/>
                <w:color w:val="auto"/>
              </w:rPr>
            </w:pPr>
          </w:p>
        </w:tc>
      </w:tr>
      <w:tr>
        <w:trPr>
          <w:trHeight w:val="309"/>
        </w:trPr>
        <w:tc>
          <w:tcPr>
            <w:tcW w:w="2300" w:type="dxa"/>
            <w:vAlign w:val="bottom"/>
          </w:tcPr>
          <w:p>
            <w:pPr>
              <w:ind w:left="180"/>
              <w:spacing w:after="0"/>
              <w:rPr>
                <w:sz w:val="20"/>
                <w:szCs w:val="20"/>
                <w:color w:val="auto"/>
              </w:rPr>
            </w:pPr>
            <w:r>
              <w:rPr>
                <w:rFonts w:ascii="Arial" w:cs="Arial" w:eastAsia="Arial" w:hAnsi="Arial"/>
                <w:sz w:val="16"/>
                <w:szCs w:val="16"/>
                <w:color w:val="auto"/>
              </w:rPr>
              <w:t>Deliveries</w:t>
            </w:r>
          </w:p>
        </w:tc>
        <w:tc>
          <w:tcPr>
            <w:tcW w:w="1340" w:type="dxa"/>
            <w:vAlign w:val="bottom"/>
          </w:tcPr>
          <w:p>
            <w:pPr>
              <w:ind w:left="520"/>
              <w:spacing w:after="0"/>
              <w:rPr>
                <w:sz w:val="20"/>
                <w:szCs w:val="20"/>
                <w:color w:val="auto"/>
              </w:rPr>
            </w:pPr>
            <w:r>
              <w:rPr>
                <w:rFonts w:ascii="Arial" w:cs="Arial" w:eastAsia="Arial" w:hAnsi="Arial"/>
                <w:sz w:val="16"/>
                <w:szCs w:val="16"/>
                <w:color w:val="auto"/>
              </w:rPr>
              <w:t>50%</w:t>
            </w:r>
          </w:p>
        </w:tc>
        <w:tc>
          <w:tcPr>
            <w:tcW w:w="6780" w:type="dxa"/>
            <w:vAlign w:val="bottom"/>
          </w:tcPr>
          <w:p>
            <w:pPr>
              <w:ind w:left="120"/>
              <w:spacing w:after="0"/>
              <w:rPr>
                <w:sz w:val="20"/>
                <w:szCs w:val="20"/>
                <w:color w:val="auto"/>
              </w:rPr>
            </w:pPr>
            <w:r>
              <w:rPr>
                <w:rFonts w:ascii="Arial" w:cs="Arial" w:eastAsia="Arial" w:hAnsi="Arial"/>
                <w:sz w:val="16"/>
                <w:szCs w:val="16"/>
                <w:color w:val="auto"/>
              </w:rPr>
              <w:t>The number of Lucid vehicles transferred to customers for the full fiscal year ended</w:t>
            </w:r>
          </w:p>
        </w:tc>
      </w:tr>
      <w:tr>
        <w:trPr>
          <w:trHeight w:val="197"/>
        </w:trPr>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780" w:type="dxa"/>
            <w:vAlign w:val="bottom"/>
          </w:tcPr>
          <w:p>
            <w:pPr>
              <w:ind w:left="120"/>
              <w:spacing w:after="0"/>
              <w:rPr>
                <w:sz w:val="20"/>
                <w:szCs w:val="20"/>
                <w:color w:val="auto"/>
              </w:rPr>
            </w:pPr>
            <w:r>
              <w:rPr>
                <w:rFonts w:ascii="Arial" w:cs="Arial" w:eastAsia="Arial" w:hAnsi="Arial"/>
                <w:sz w:val="16"/>
                <w:szCs w:val="16"/>
                <w:color w:val="auto"/>
              </w:rPr>
              <w:t>December 31, 2025.</w:t>
            </w:r>
          </w:p>
        </w:tc>
      </w:tr>
      <w:tr>
        <w:trPr>
          <w:trHeight w:val="135"/>
        </w:trPr>
        <w:tc>
          <w:tcPr>
            <w:tcW w:w="2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780" w:type="dxa"/>
            <w:vAlign w:val="bottom"/>
            <w:tcBorders>
              <w:bottom w:val="single" w:sz="8" w:color="auto"/>
            </w:tcBorders>
          </w:tcPr>
          <w:p>
            <w:pPr>
              <w:spacing w:after="0"/>
              <w:rPr>
                <w:sz w:val="11"/>
                <w:szCs w:val="11"/>
                <w:color w:val="auto"/>
              </w:rPr>
            </w:pPr>
          </w:p>
        </w:tc>
      </w:tr>
      <w:tr>
        <w:trPr>
          <w:trHeight w:val="287"/>
        </w:trPr>
        <w:tc>
          <w:tcPr>
            <w:tcW w:w="230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1340" w:type="dxa"/>
            <w:vAlign w:val="bottom"/>
          </w:tcPr>
          <w:p>
            <w:pPr>
              <w:ind w:left="520"/>
              <w:spacing w:after="0"/>
              <w:rPr>
                <w:sz w:val="20"/>
                <w:szCs w:val="20"/>
                <w:color w:val="auto"/>
              </w:rPr>
            </w:pPr>
            <w:r>
              <w:rPr>
                <w:rFonts w:ascii="Arial" w:cs="Arial" w:eastAsia="Arial" w:hAnsi="Arial"/>
                <w:sz w:val="16"/>
                <w:szCs w:val="16"/>
                <w:color w:val="auto"/>
              </w:rPr>
              <w:t>50%</w:t>
            </w:r>
          </w:p>
        </w:tc>
        <w:tc>
          <w:tcPr>
            <w:tcW w:w="6780" w:type="dxa"/>
            <w:vAlign w:val="bottom"/>
          </w:tcPr>
          <w:p>
            <w:pPr>
              <w:ind w:left="120"/>
              <w:spacing w:after="0"/>
              <w:rPr>
                <w:sz w:val="20"/>
                <w:szCs w:val="20"/>
                <w:color w:val="auto"/>
              </w:rPr>
            </w:pPr>
            <w:r>
              <w:rPr>
                <w:rFonts w:ascii="Arial" w:cs="Arial" w:eastAsia="Arial" w:hAnsi="Arial"/>
                <w:sz w:val="16"/>
                <w:szCs w:val="16"/>
                <w:color w:val="auto"/>
              </w:rPr>
              <w:t>The Company’s net cash from operations less capital expenditures, subject to any</w:t>
            </w:r>
          </w:p>
        </w:tc>
      </w:tr>
      <w:tr>
        <w:trPr>
          <w:trHeight w:val="197"/>
        </w:trPr>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780" w:type="dxa"/>
            <w:vAlign w:val="bottom"/>
          </w:tcPr>
          <w:p>
            <w:pPr>
              <w:ind w:left="120"/>
              <w:spacing w:after="0"/>
              <w:rPr>
                <w:sz w:val="20"/>
                <w:szCs w:val="20"/>
                <w:color w:val="auto"/>
              </w:rPr>
            </w:pPr>
            <w:r>
              <w:rPr>
                <w:rFonts w:ascii="Arial" w:cs="Arial" w:eastAsia="Arial" w:hAnsi="Arial"/>
                <w:sz w:val="16"/>
                <w:szCs w:val="16"/>
                <w:color w:val="auto"/>
              </w:rPr>
              <w:t>cash balance adjustments not connected to operations.</w:t>
            </w:r>
          </w:p>
        </w:tc>
      </w:tr>
      <w:tr>
        <w:trPr>
          <w:trHeight w:val="138"/>
        </w:trPr>
        <w:tc>
          <w:tcPr>
            <w:tcW w:w="2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780" w:type="dxa"/>
            <w:vAlign w:val="bottom"/>
            <w:tcBorders>
              <w:bottom w:val="single" w:sz="8" w:color="auto"/>
            </w:tcBorders>
          </w:tcPr>
          <w:p>
            <w:pPr>
              <w:spacing w:after="0"/>
              <w:rPr>
                <w:sz w:val="11"/>
                <w:szCs w:val="1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Special Bonus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unveiled the Lucid Gravity to the public at the Los Angeles Auto Show in November 2023, which marked 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major technical, commercial, and design milestone achievement for the Company. In recognition of their significant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this milestone achievement, the Company awarded a $6,000,000 cash bonus to Mr. Rawlinson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$1,000,000 cash bonus to Mr. Bach (the “Gravity Bonuses”). Although approved and paid in 2024, the Gravity Bonuses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reward years of development that led to the public reveal in 2023 and have been included as part of the 2023 total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Messrs. Rawlinson and Bach accordingly.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Compensation</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PERQUISITES AND OTHER PERSONAL BENEFITS</w:t>
      </w:r>
    </w:p>
    <w:p>
      <w:pPr>
        <w:spacing w:after="0" w:line="19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Compensation and Human Capital Committee periodically reviews the perquisites and other personal benefits provided to our NEOs to ensure that they are reasonable, competitive, and consistent with the overall compensation program. We do not view perquisites or other personal benefits as a significant component of our executive compensation program and we do not provide material perquisites or personal benefits to our NEOs. Key perquisites and other personal benefits for NEOs include (as set forth in more detail in the Summary Compensation Table below and accompanying footnotes): (i) for certain of our NEOs, the personal usage of a Company-provided Lucid Air vehicle and (ii) for Mr. Rawlinson, annual reimbursement for tax advisory and preparation fees up to $20,000 less applicable tax deductions and withholdings.</w:t>
      </w:r>
    </w:p>
    <w:p>
      <w:pPr>
        <w:sectPr>
          <w:pgSz w:w="11880" w:h="15480" w:orient="portrait"/>
          <w:cols w:equalWidth="0" w:num="1">
            <w:col w:w="10440"/>
          </w:cols>
          <w:pgMar w:left="720" w:top="94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55</w:t>
      </w:r>
    </w:p>
    <w:p>
      <w:pPr>
        <w:sectPr>
          <w:pgSz w:w="11880" w:h="15480" w:orient="portrait"/>
          <w:cols w:equalWidth="0" w:num="1">
            <w:col w:w="10440"/>
          </w:cols>
          <w:pgMar w:left="720" w:top="943" w:right="7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auto"/>
        </w:rPr>
        <w:t>RETIREMENT AND OTHER EMPLOYEE BENEFITS</w:t>
      </w:r>
    </w:p>
    <w:p>
      <w:pPr>
        <w:spacing w:after="0" w:line="19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maintain a 401(k) retirement savings plan for our employees in the United States, including the NEOs. Our NEOs are eligible to participate in the 401(k) plan on the same terms as other full-time employees. In addition, all of our full-time employees, including the NEOs, are eligible to participate in our health and welfare plans, including medical, dental, and vision benefits, health and dependent care flexible spending accounts, and disability and life insurance. Employees at the senior director level and above, including the NEOs, are eligible to participate in an executive physicals program, which is offered as an additional health benefit.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Employment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At-Will Employment and Restrictive Covenants</w:t>
      </w:r>
    </w:p>
    <w:p>
      <w:pPr>
        <w:spacing w:after="0" w:line="19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Messrs. Dhingra, Winterhoff and Bach are at-will employees with no specified term of employment. As a condition of their employment, each of the NEOs was required to sign a Confidential Information and Invention Assignment Agreement (“Restrictive Covenant Agreement”) which includes, among other provisions, a 24-month post-employment non-solicit of employees and customers, a perpetual confidentiality covenant, and an assignment of inventions provision.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Dhingra Interim Chief Financial Officer Terms and Promotion</w:t>
      </w:r>
    </w:p>
    <w:p>
      <w:pPr>
        <w:spacing w:after="0" w:line="19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connection with Mr. Dhingra’s appointment as our Interim Chief Financial Officer on December 11, 2023, Mr. Dhingra received certain compensation, including, without limitation, (i) an award of RSUs with a grant value of $500,000 that vested 50% on June 5, 2024 and 50% on December 5, 2024; and (ii) a quarterly bonus of $50,000 and a monthly stipend of $25,000 while serving as our Interim Chief Financial Officer during 2024 and through February 25, 2025, when we appointed Taoufiq Boussaid as our Chief Financial Officer and promoted Mr. Dhingra to Senior Vice President, Finance and Accounting. The final payment of Mr. Dhingra’s quarterly bonus and monthly stipend was completed on March 28, 2025.</w:t>
      </w:r>
    </w:p>
    <w:p>
      <w:pPr>
        <w:spacing w:after="0" w:line="200" w:lineRule="exact"/>
        <w:rPr>
          <w:sz w:val="20"/>
          <w:szCs w:val="20"/>
          <w:color w:val="auto"/>
        </w:rPr>
      </w:pPr>
    </w:p>
    <w:p>
      <w:pPr>
        <w:spacing w:after="0" w:line="2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2025, in connection with Mr. Dhingra’s promotion to Senior Vice President, Finance and Accounting, Mr. Dhingra’s base salary was increased to $475,000, his target bonus opportunity commencing for the fiscal 2025 performance period was increased to 75% of base salary, he received a one-time bonus in the amount of $250,000 and he became eligible to participate in the Executive Severance Plan (as defined below) at the senior vice president level. In 2025, in connection with such promotion, Mr. Dhingra was also granted a special award of RSUs and a special award of PSUs, with target grant values of $400,000 and $600,000, respectively, with such RSUs vesting quarterly over four years and such PSUs vesting consistent with the terms of performance stock units granted to other NEOs in 2024.</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Winterhoff PSU Award</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connection with Mr. Winterhoff’s commencement of employment as our Chief Operating Officer on December 4, 2023, in 2024, the Company granted Mr. Winterhoff a PSU award with a target grant value of $6,000,000, which is subject to the same performance-vesting conditions that apply to our other NEO PSU awards granted in 2024. Mr. Winterhoff was also awarded certain other new hire compensation in 2023, as described in our proxy statement filed on April 25, 2024 under the heading “Mr. Winterhoff Offer Letter.”</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Rawlinson Transition Agreement</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Mr. Rawlinson’s resignation as our CEO and Chief Technology Officer and his appointment as Strategic Technical Advisor to the Chairman of the Board on February 21, 2025, the Company entered into a transition agreement with Mr. Rawlinson, pursuant to which he is entitled to receive: (i) a monthly payment of $120,000 for services rendered during the 24-month consulting term, (ii) a Lucid vehicle, (iii) Company-paid COBRA health insurance premiums, (iv) in each calendar year of 2025 and 2026, a payment of up to $10,000 for tax preparation services (including an additional true-up payment equal to the amount of personal income tax due in connection with such payment), and (v) a supplemental RSU grant for that number of shares having an aggregate grant date fair value of $2,000,000, which will vest in three equal installments over a 24-month period on the following dates: (A) February 21, 2026, (B) August 21, 2026, and (C) February 21, 2027.</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Winterhoff Interim CEO Terms and Promotion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Mr. Winterhoff’s appointment as our Interim Chief Executive Officer on February 21, 2025,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Winterhoff received or became entitled to receive the following additional compensation and benefits: (i) a monthly</w:t>
      </w:r>
    </w:p>
    <w:p>
      <w:pPr>
        <w:sectPr>
          <w:pgSz w:w="11880" w:h="15480" w:orient="portrait"/>
          <w:cols w:equalWidth="0" w:num="1">
            <w:col w:w="10460"/>
          </w:cols>
          <w:pgMar w:left="720" w:top="942" w:right="700" w:bottom="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60"/>
          </w:cols>
          <w:pgMar w:left="720" w:top="942" w:right="700" w:bottom="0" w:gutter="0" w:footer="0" w:header="0"/>
          <w:type w:val="continuous"/>
        </w:sectPr>
      </w:pPr>
    </w:p>
    <w:bookmarkStart w:id="62" w:name="page63"/>
    <w:bookmarkEnd w:id="62"/>
    <w:p>
      <w:pPr>
        <w:ind w:left="2" w:right="20"/>
        <w:spacing w:after="0" w:line="275" w:lineRule="auto"/>
        <w:rPr>
          <w:sz w:val="20"/>
          <w:szCs w:val="20"/>
          <w:color w:val="auto"/>
        </w:rPr>
      </w:pPr>
      <w:r>
        <w:rPr>
          <w:rFonts w:ascii="Arial" w:cs="Arial" w:eastAsia="Arial" w:hAnsi="Arial"/>
          <w:sz w:val="18"/>
          <w:szCs w:val="18"/>
          <w:color w:val="auto"/>
        </w:rPr>
        <w:t>stipend of $20,000 for any month or partial month that Mr. Winterhoff serves as the Interim CEO; (ii) an award of RSUs with a grant value of $4,000,000 granted pursuant to our Amended and Restated 2021 Stock Incentive Plan, which will vest quarterly over sixteen quarters on the Company Vesting Dates (March 5, June 5, September 5 and December 5), and provides for accelerated vesting upon a termination without cause or resignation following a constructive termination;</w:t>
      </w:r>
    </w:p>
    <w:p>
      <w:pPr>
        <w:spacing w:after="0" w:line="1" w:lineRule="exact"/>
        <w:rPr>
          <w:sz w:val="20"/>
          <w:szCs w:val="20"/>
          <w:color w:val="auto"/>
        </w:rPr>
      </w:pPr>
    </w:p>
    <w:p>
      <w:pPr>
        <w:ind w:left="2" w:right="60" w:hanging="2"/>
        <w:spacing w:after="0" w:line="282" w:lineRule="auto"/>
        <w:tabs>
          <w:tab w:leader="none" w:pos="3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from nine months’ pay and benefits to twelve months’ pay and benefits under certain circumstances that Mr. Winterhoff is eligible to receive under the Lucid Group, Inc. Executive Severance Plan; and (iv) elevated executive security services as needed.</w:t>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Termination and Change in Control Agreements</w:t>
      </w:r>
    </w:p>
    <w:p>
      <w:pPr>
        <w:spacing w:after="0" w:line="25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Executive Severance Plan</w:t>
      </w:r>
    </w:p>
    <w:p>
      <w:pPr>
        <w:spacing w:after="0" w:line="197" w:lineRule="exact"/>
        <w:rPr>
          <w:sz w:val="20"/>
          <w:szCs w:val="20"/>
          <w:color w:val="auto"/>
        </w:rPr>
      </w:pPr>
    </w:p>
    <w:p>
      <w:pPr>
        <w:ind w:left="2"/>
        <w:spacing w:after="0" w:line="276" w:lineRule="auto"/>
        <w:rPr>
          <w:sz w:val="20"/>
          <w:szCs w:val="20"/>
          <w:color w:val="auto"/>
        </w:rPr>
      </w:pPr>
      <w:r>
        <w:rPr>
          <w:rFonts w:ascii="Arial" w:cs="Arial" w:eastAsia="Arial" w:hAnsi="Arial"/>
          <w:sz w:val="18"/>
          <w:szCs w:val="18"/>
          <w:color w:val="auto"/>
        </w:rPr>
        <w:t>The Company established the Lucid Group, Inc. Executive Severance Benefit Plan, effective July 23, 2021 (the “Executive Severance Plan”), in which executives (including our NEOs) participate. Under the terms of the Executive Severance Plan, participants are entitled to receive the following in the event of a termination of employment without “cause” or a “constructive termination” (as each such term is defined in the Executive Severance Plan) that is not a Change in Control Termination (as defined below), subject to the participant’s execution of a release of claims: (i) base salary continuation for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an “applicable percentage” of the participant’s outstanding and unvested equity awards granted prior to July 23, 2021 (but such accelerated vesting under the Executive Severance Plan does not apply to the 2021 CEO Grant, which contains its own accelerated vesting terms under certain circumstances (as described below), nor to any equity awards granted on or after July 23, 2021). For purposes of determining the accelerated vesting of pre-July 23, 2021 awards, the “applicable percentage” is equal to 25% of the unvested equity award at the time of such termination plus 5% for each year of service, up to 50%.</w:t>
      </w:r>
    </w:p>
    <w:p>
      <w:pPr>
        <w:spacing w:after="0" w:line="232" w:lineRule="exact"/>
        <w:rPr>
          <w:sz w:val="20"/>
          <w:szCs w:val="20"/>
          <w:color w:val="auto"/>
        </w:rPr>
      </w:pPr>
    </w:p>
    <w:p>
      <w:pPr>
        <w:ind w:left="2"/>
        <w:spacing w:after="0" w:line="278" w:lineRule="auto"/>
        <w:rPr>
          <w:sz w:val="20"/>
          <w:szCs w:val="20"/>
          <w:color w:val="auto"/>
        </w:rPr>
      </w:pPr>
      <w:r>
        <w:rPr>
          <w:rFonts w:ascii="Arial" w:cs="Arial" w:eastAsia="Arial" w:hAnsi="Arial"/>
          <w:sz w:val="18"/>
          <w:szCs w:val="18"/>
          <w:color w:val="auto"/>
        </w:rPr>
        <w:t>In the event of a termination without “cause” or a “constructive termination” in each case within three months prior to or 12 months following a change in control of Lucid (a “Change in Control Termination”), participants are entitled to receive the following, subject to the participant’s execution of a release of claims: (i) a lump-sum payment equal to the sum of base salary and target annual cash incentive divided by 12, multiplied by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100% of the participant’s outstanding equity awards (except in the case of the 2021 CEO Grant, as mentioned above).</w:t>
      </w:r>
    </w:p>
    <w:p>
      <w:pPr>
        <w:spacing w:after="0" w:line="200" w:lineRule="exact"/>
        <w:rPr>
          <w:sz w:val="20"/>
          <w:szCs w:val="20"/>
          <w:color w:val="auto"/>
        </w:rPr>
      </w:pPr>
    </w:p>
    <w:p>
      <w:pPr>
        <w:spacing w:after="0" w:line="267" w:lineRule="exact"/>
        <w:rPr>
          <w:sz w:val="20"/>
          <w:szCs w:val="20"/>
          <w:color w:val="auto"/>
        </w:rPr>
      </w:pPr>
    </w:p>
    <w:p>
      <w:pPr>
        <w:ind w:left="2" w:right="80"/>
        <w:spacing w:after="0" w:line="281" w:lineRule="auto"/>
        <w:rPr>
          <w:sz w:val="20"/>
          <w:szCs w:val="20"/>
          <w:color w:val="auto"/>
        </w:rPr>
      </w:pPr>
      <w:r>
        <w:rPr>
          <w:rFonts w:ascii="Arial" w:cs="Arial" w:eastAsia="Arial" w:hAnsi="Arial"/>
          <w:sz w:val="18"/>
          <w:szCs w:val="18"/>
          <w:color w:val="auto"/>
        </w:rPr>
        <w:t>Under the Executive Severance Plan, a participant’s right to receive severance benefits terminates in the event the participant breaches the Restrictive Covenant Agreement or the participant utilizes our trade secrets to solicit any of our employees to leave us or to induce any of our then-current clients, customers, or suppliers to terminate their business relationship with us. As of December 31, 2024, the severance levels that apply to each of the NEOs under the Executive Severance Plan are set forth in the table below:</w:t>
      </w:r>
    </w:p>
    <w:p>
      <w:pPr>
        <w:spacing w:after="0" w:line="280"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36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3900" w:type="dxa"/>
            <w:vAlign w:val="bottom"/>
            <w:shd w:val="clear" w:color="auto" w:fill="000000"/>
          </w:tcPr>
          <w:p>
            <w:pPr>
              <w:ind w:left="1780"/>
              <w:spacing w:after="0"/>
              <w:rPr>
                <w:sz w:val="20"/>
                <w:szCs w:val="20"/>
                <w:color w:val="auto"/>
              </w:rPr>
            </w:pPr>
            <w:r>
              <w:rPr>
                <w:rFonts w:ascii="Arial" w:cs="Arial" w:eastAsia="Arial" w:hAnsi="Arial"/>
                <w:sz w:val="14"/>
                <w:szCs w:val="14"/>
                <w:color w:val="FFFFFF"/>
              </w:rPr>
              <w:t>Severance Not in Connection</w:t>
            </w:r>
          </w:p>
        </w:tc>
        <w:tc>
          <w:tcPr>
            <w:tcW w:w="28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Severance in Connection</w:t>
            </w:r>
          </w:p>
        </w:tc>
      </w:tr>
      <w:tr>
        <w:trPr>
          <w:trHeight w:val="160"/>
        </w:trPr>
        <w:tc>
          <w:tcPr>
            <w:tcW w:w="3640" w:type="dxa"/>
            <w:vAlign w:val="bottom"/>
            <w:shd w:val="clear" w:color="auto" w:fill="000000"/>
          </w:tcPr>
          <w:p>
            <w:pPr>
              <w:spacing w:after="0"/>
              <w:rPr>
                <w:sz w:val="13"/>
                <w:szCs w:val="13"/>
                <w:color w:val="auto"/>
              </w:rPr>
            </w:pPr>
          </w:p>
        </w:tc>
        <w:tc>
          <w:tcPr>
            <w:tcW w:w="3900" w:type="dxa"/>
            <w:vAlign w:val="bottom"/>
            <w:shd w:val="clear" w:color="auto" w:fill="000000"/>
          </w:tcPr>
          <w:p>
            <w:pPr>
              <w:ind w:left="1780"/>
              <w:spacing w:after="0" w:line="160" w:lineRule="exact"/>
              <w:rPr>
                <w:sz w:val="20"/>
                <w:szCs w:val="20"/>
                <w:color w:val="auto"/>
              </w:rPr>
            </w:pPr>
            <w:r>
              <w:rPr>
                <w:rFonts w:ascii="Arial" w:cs="Arial" w:eastAsia="Arial" w:hAnsi="Arial"/>
                <w:sz w:val="14"/>
                <w:szCs w:val="14"/>
                <w:color w:val="FFFFFF"/>
              </w:rPr>
              <w:t>with a Change in Control</w:t>
            </w:r>
          </w:p>
        </w:tc>
        <w:tc>
          <w:tcPr>
            <w:tcW w:w="28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with a Change in Control Termination</w:t>
            </w:r>
          </w:p>
        </w:tc>
      </w:tr>
      <w:tr>
        <w:trPr>
          <w:trHeight w:val="172"/>
        </w:trPr>
        <w:tc>
          <w:tcPr>
            <w:tcW w:w="3640" w:type="dxa"/>
            <w:vAlign w:val="bottom"/>
            <w:shd w:val="clear" w:color="auto" w:fill="000000"/>
          </w:tcPr>
          <w:p>
            <w:pPr>
              <w:spacing w:after="0"/>
              <w:rPr>
                <w:sz w:val="14"/>
                <w:szCs w:val="14"/>
                <w:color w:val="auto"/>
              </w:rPr>
            </w:pPr>
          </w:p>
        </w:tc>
        <w:tc>
          <w:tcPr>
            <w:tcW w:w="3900" w:type="dxa"/>
            <w:vAlign w:val="bottom"/>
            <w:shd w:val="clear" w:color="auto" w:fill="000000"/>
          </w:tcPr>
          <w:p>
            <w:pPr>
              <w:ind w:left="1780"/>
              <w:spacing w:after="0"/>
              <w:rPr>
                <w:sz w:val="20"/>
                <w:szCs w:val="20"/>
                <w:color w:val="auto"/>
              </w:rPr>
            </w:pPr>
            <w:r>
              <w:rPr>
                <w:rFonts w:ascii="Arial" w:cs="Arial" w:eastAsia="Arial" w:hAnsi="Arial"/>
                <w:sz w:val="14"/>
                <w:szCs w:val="14"/>
                <w:color w:val="FFFFFF"/>
              </w:rPr>
              <w:t>(Number of Months)</w:t>
            </w:r>
          </w:p>
        </w:tc>
        <w:tc>
          <w:tcPr>
            <w:tcW w:w="28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Months)</w:t>
            </w:r>
          </w:p>
        </w:tc>
      </w:tr>
      <w:tr>
        <w:trPr>
          <w:trHeight w:val="149"/>
        </w:trPr>
        <w:tc>
          <w:tcPr>
            <w:tcW w:w="3640" w:type="dxa"/>
            <w:vAlign w:val="bottom"/>
            <w:shd w:val="clear" w:color="auto" w:fill="000000"/>
          </w:tcPr>
          <w:p>
            <w:pPr>
              <w:spacing w:after="0"/>
              <w:rPr>
                <w:sz w:val="12"/>
                <w:szCs w:val="12"/>
                <w:color w:val="auto"/>
              </w:rPr>
            </w:pPr>
          </w:p>
        </w:tc>
        <w:tc>
          <w:tcPr>
            <w:tcW w:w="3900" w:type="dxa"/>
            <w:vAlign w:val="bottom"/>
            <w:shd w:val="clear" w:color="auto" w:fill="000000"/>
          </w:tcPr>
          <w:p>
            <w:pPr>
              <w:spacing w:after="0"/>
              <w:rPr>
                <w:sz w:val="12"/>
                <w:szCs w:val="12"/>
                <w:color w:val="auto"/>
              </w:rPr>
            </w:pPr>
          </w:p>
        </w:tc>
        <w:tc>
          <w:tcPr>
            <w:tcW w:w="2880" w:type="dxa"/>
            <w:vAlign w:val="bottom"/>
            <w:shd w:val="clear" w:color="auto" w:fill="000000"/>
          </w:tcPr>
          <w:p>
            <w:pPr>
              <w:spacing w:after="0"/>
              <w:rPr>
                <w:sz w:val="12"/>
                <w:szCs w:val="12"/>
                <w:color w:val="auto"/>
              </w:rPr>
            </w:pPr>
          </w:p>
        </w:tc>
      </w:tr>
      <w:tr>
        <w:trPr>
          <w:trHeight w:val="390"/>
        </w:trPr>
        <w:tc>
          <w:tcPr>
            <w:tcW w:w="3640" w:type="dxa"/>
            <w:vAlign w:val="bottom"/>
          </w:tcPr>
          <w:p>
            <w:pPr>
              <w:ind w:left="180"/>
              <w:spacing w:after="0"/>
              <w:rPr>
                <w:sz w:val="20"/>
                <w:szCs w:val="20"/>
                <w:color w:val="auto"/>
              </w:rPr>
            </w:pPr>
            <w:r>
              <w:rPr>
                <w:rFonts w:ascii="Arial" w:cs="Arial" w:eastAsia="Arial" w:hAnsi="Arial"/>
                <w:sz w:val="16"/>
                <w:szCs w:val="16"/>
                <w:color w:val="auto"/>
              </w:rPr>
              <w:t>Peter Rawlinson</w:t>
            </w:r>
            <w:r>
              <w:rPr>
                <w:rFonts w:ascii="Arial" w:cs="Arial" w:eastAsia="Arial" w:hAnsi="Arial"/>
                <w:sz w:val="19"/>
                <w:szCs w:val="19"/>
                <w:color w:val="auto"/>
                <w:vertAlign w:val="superscript"/>
              </w:rPr>
              <w:t>(1)</w:t>
            </w:r>
          </w:p>
        </w:tc>
        <w:tc>
          <w:tcPr>
            <w:tcW w:w="3900" w:type="dxa"/>
            <w:vAlign w:val="bottom"/>
          </w:tcPr>
          <w:p>
            <w:pPr>
              <w:ind w:left="1780"/>
              <w:spacing w:after="0"/>
              <w:rPr>
                <w:sz w:val="20"/>
                <w:szCs w:val="20"/>
                <w:color w:val="auto"/>
              </w:rPr>
            </w:pPr>
            <w:r>
              <w:rPr>
                <w:rFonts w:ascii="Arial" w:cs="Arial" w:eastAsia="Arial" w:hAnsi="Arial"/>
                <w:sz w:val="16"/>
                <w:szCs w:val="16"/>
                <w:color w:val="auto"/>
              </w:rPr>
              <w:t>12</w:t>
            </w:r>
          </w:p>
        </w:tc>
        <w:tc>
          <w:tcPr>
            <w:tcW w:w="2880" w:type="dxa"/>
            <w:vAlign w:val="bottom"/>
          </w:tcPr>
          <w:p>
            <w:pPr>
              <w:ind w:left="120"/>
              <w:spacing w:after="0"/>
              <w:rPr>
                <w:sz w:val="20"/>
                <w:szCs w:val="20"/>
                <w:color w:val="auto"/>
              </w:rPr>
            </w:pPr>
            <w:r>
              <w:rPr>
                <w:rFonts w:ascii="Arial" w:cs="Arial" w:eastAsia="Arial" w:hAnsi="Arial"/>
                <w:sz w:val="16"/>
                <w:szCs w:val="16"/>
                <w:color w:val="auto"/>
              </w:rPr>
              <w:t>18</w:t>
            </w:r>
          </w:p>
        </w:tc>
      </w:tr>
      <w:tr>
        <w:trPr>
          <w:trHeight w:val="71"/>
        </w:trPr>
        <w:tc>
          <w:tcPr>
            <w:tcW w:w="36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Gagan Dhingra</w:t>
            </w:r>
            <w:r>
              <w:rPr>
                <w:rFonts w:ascii="Arial" w:cs="Arial" w:eastAsia="Arial" w:hAnsi="Arial"/>
                <w:sz w:val="19"/>
                <w:szCs w:val="19"/>
                <w:color w:val="auto"/>
                <w:vertAlign w:val="superscript"/>
              </w:rPr>
              <w:t>(2)</w:t>
            </w:r>
          </w:p>
        </w:tc>
        <w:tc>
          <w:tcPr>
            <w:tcW w:w="3900" w:type="dxa"/>
            <w:vAlign w:val="bottom"/>
          </w:tcPr>
          <w:p>
            <w:pPr>
              <w:ind w:left="1780"/>
              <w:spacing w:after="0"/>
              <w:rPr>
                <w:sz w:val="20"/>
                <w:szCs w:val="20"/>
                <w:color w:val="auto"/>
              </w:rPr>
            </w:pPr>
            <w:r>
              <w:rPr>
                <w:rFonts w:ascii="Arial" w:cs="Arial" w:eastAsia="Arial" w:hAnsi="Arial"/>
                <w:sz w:val="16"/>
                <w:szCs w:val="16"/>
                <w:color w:val="auto"/>
              </w:rPr>
              <w:t>6</w:t>
            </w:r>
          </w:p>
        </w:tc>
        <w:tc>
          <w:tcPr>
            <w:tcW w:w="2880" w:type="dxa"/>
            <w:vAlign w:val="bottom"/>
          </w:tcPr>
          <w:p>
            <w:pPr>
              <w:ind w:left="120"/>
              <w:spacing w:after="0"/>
              <w:rPr>
                <w:sz w:val="20"/>
                <w:szCs w:val="20"/>
                <w:color w:val="auto"/>
              </w:rPr>
            </w:pPr>
            <w:r>
              <w:rPr>
                <w:rFonts w:ascii="Arial" w:cs="Arial" w:eastAsia="Arial" w:hAnsi="Arial"/>
                <w:sz w:val="16"/>
                <w:szCs w:val="16"/>
                <w:color w:val="auto"/>
              </w:rPr>
              <w:t>9</w:t>
            </w:r>
          </w:p>
        </w:tc>
      </w:tr>
      <w:tr>
        <w:trPr>
          <w:trHeight w:val="71"/>
        </w:trPr>
        <w:tc>
          <w:tcPr>
            <w:tcW w:w="36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(3)</w:t>
            </w:r>
          </w:p>
        </w:tc>
        <w:tc>
          <w:tcPr>
            <w:tcW w:w="3900" w:type="dxa"/>
            <w:vAlign w:val="bottom"/>
          </w:tcPr>
          <w:p>
            <w:pPr>
              <w:ind w:left="1780"/>
              <w:spacing w:after="0"/>
              <w:rPr>
                <w:sz w:val="20"/>
                <w:szCs w:val="20"/>
                <w:color w:val="auto"/>
              </w:rPr>
            </w:pPr>
            <w:r>
              <w:rPr>
                <w:rFonts w:ascii="Arial" w:cs="Arial" w:eastAsia="Arial" w:hAnsi="Arial"/>
                <w:sz w:val="16"/>
                <w:szCs w:val="16"/>
                <w:color w:val="auto"/>
              </w:rPr>
              <w:t>9</w:t>
            </w:r>
          </w:p>
        </w:tc>
        <w:tc>
          <w:tcPr>
            <w:tcW w:w="2880" w:type="dxa"/>
            <w:vAlign w:val="bottom"/>
          </w:tcPr>
          <w:p>
            <w:pPr>
              <w:ind w:left="120"/>
              <w:spacing w:after="0"/>
              <w:rPr>
                <w:sz w:val="20"/>
                <w:szCs w:val="20"/>
                <w:color w:val="auto"/>
              </w:rPr>
            </w:pPr>
            <w:r>
              <w:rPr>
                <w:rFonts w:ascii="Arial" w:cs="Arial" w:eastAsia="Arial" w:hAnsi="Arial"/>
                <w:sz w:val="16"/>
                <w:szCs w:val="16"/>
                <w:color w:val="auto"/>
              </w:rPr>
              <w:t>12</w:t>
            </w:r>
          </w:p>
        </w:tc>
      </w:tr>
      <w:tr>
        <w:trPr>
          <w:trHeight w:val="71"/>
        </w:trPr>
        <w:tc>
          <w:tcPr>
            <w:tcW w:w="36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r>
      <w:tr>
        <w:trPr>
          <w:trHeight w:val="304"/>
        </w:trPr>
        <w:tc>
          <w:tcPr>
            <w:tcW w:w="36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900" w:type="dxa"/>
            <w:vAlign w:val="bottom"/>
          </w:tcPr>
          <w:p>
            <w:pPr>
              <w:ind w:left="1780"/>
              <w:spacing w:after="0"/>
              <w:rPr>
                <w:sz w:val="20"/>
                <w:szCs w:val="20"/>
                <w:color w:val="auto"/>
              </w:rPr>
            </w:pPr>
            <w:r>
              <w:rPr>
                <w:rFonts w:ascii="Arial" w:cs="Arial" w:eastAsia="Arial" w:hAnsi="Arial"/>
                <w:sz w:val="16"/>
                <w:szCs w:val="16"/>
                <w:color w:val="auto"/>
              </w:rPr>
              <w:t>9</w:t>
            </w:r>
          </w:p>
        </w:tc>
        <w:tc>
          <w:tcPr>
            <w:tcW w:w="2880" w:type="dxa"/>
            <w:vAlign w:val="bottom"/>
          </w:tcPr>
          <w:p>
            <w:pPr>
              <w:ind w:left="120"/>
              <w:spacing w:after="0"/>
              <w:rPr>
                <w:sz w:val="20"/>
                <w:szCs w:val="20"/>
                <w:color w:val="auto"/>
              </w:rPr>
            </w:pPr>
            <w:r>
              <w:rPr>
                <w:rFonts w:ascii="Arial" w:cs="Arial" w:eastAsia="Arial" w:hAnsi="Arial"/>
                <w:sz w:val="16"/>
                <w:szCs w:val="16"/>
                <w:color w:val="auto"/>
              </w:rPr>
              <w:t>12</w:t>
            </w:r>
          </w:p>
        </w:tc>
      </w:tr>
      <w:tr>
        <w:trPr>
          <w:trHeight w:val="135"/>
        </w:trPr>
        <w:tc>
          <w:tcPr>
            <w:tcW w:w="364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(4)</w:t>
            </w:r>
          </w:p>
        </w:tc>
        <w:tc>
          <w:tcPr>
            <w:tcW w:w="3900" w:type="dxa"/>
            <w:vAlign w:val="bottom"/>
          </w:tcPr>
          <w:p>
            <w:pPr>
              <w:ind w:left="1780"/>
              <w:spacing w:after="0"/>
              <w:rPr>
                <w:sz w:val="20"/>
                <w:szCs w:val="20"/>
                <w:color w:val="auto"/>
              </w:rPr>
            </w:pPr>
            <w:r>
              <w:rPr>
                <w:rFonts w:ascii="Arial" w:cs="Arial" w:eastAsia="Arial" w:hAnsi="Arial"/>
                <w:sz w:val="16"/>
                <w:szCs w:val="16"/>
                <w:color w:val="auto"/>
              </w:rPr>
              <w:t>—</w:t>
            </w:r>
          </w:p>
        </w:tc>
        <w:tc>
          <w:tcPr>
            <w:tcW w:w="28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74"/>
        </w:trPr>
        <w:tc>
          <w:tcPr>
            <w:tcW w:w="36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r>
    </w:tbl>
    <w:p>
      <w:pPr>
        <w:spacing w:after="0" w:line="313" w:lineRule="exact"/>
        <w:rPr>
          <w:sz w:val="20"/>
          <w:szCs w:val="20"/>
          <w:color w:val="auto"/>
        </w:rPr>
      </w:pPr>
    </w:p>
    <w:p>
      <w:pPr>
        <w:ind w:left="142" w:right="240" w:hanging="142"/>
        <w:spacing w:after="0" w:line="212" w:lineRule="auto"/>
        <w:tabs>
          <w:tab w:leader="none" w:pos="142" w:val="left"/>
        </w:tabs>
        <w:numPr>
          <w:ilvl w:val="0"/>
          <w:numId w:val="38"/>
        </w:numPr>
        <w:rPr>
          <w:rFonts w:ascii="Arial" w:cs="Arial" w:eastAsia="Arial" w:hAnsi="Arial"/>
          <w:sz w:val="17"/>
          <w:szCs w:val="17"/>
          <w:color w:val="auto"/>
          <w:vertAlign w:val="superscript"/>
        </w:rPr>
      </w:pPr>
      <w:r>
        <w:rPr>
          <w:rFonts w:ascii="Arial" w:cs="Arial" w:eastAsia="Arial" w:hAnsi="Arial"/>
          <w:sz w:val="11"/>
          <w:szCs w:val="11"/>
          <w:color w:val="auto"/>
        </w:rPr>
        <w:t>Peter Rawlinson stepped aside as our CEO and Chief Technology Officer and was appointed as Strategic Technical Advisor to the Chairman of the Board on February 21, 2025. Therefore, he is no longer participating in our Executive Severance Plan. See “Mr. Rawlinson Transition Agreement” above.</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57</w:t>
      </w:r>
    </w:p>
    <w:p>
      <w:pPr>
        <w:sectPr>
          <w:pgSz w:w="11880" w:h="15480" w:orient="portrait"/>
          <w:cols w:equalWidth="0" w:num="1">
            <w:col w:w="10422"/>
          </w:cols>
          <w:pgMar w:left="718" w:top="943" w:right="740" w:bottom="0" w:gutter="0" w:footer="0" w:header="0"/>
          <w:type w:val="continuous"/>
        </w:sectPr>
      </w:pPr>
    </w:p>
    <w:bookmarkStart w:id="63" w:name="page64"/>
    <w:bookmarkEnd w:id="63"/>
    <w:p>
      <w:pPr>
        <w:ind w:left="142" w:right="120" w:hanging="142"/>
        <w:spacing w:after="0" w:line="238" w:lineRule="auto"/>
        <w:tabs>
          <w:tab w:leader="none" w:pos="142" w:val="left"/>
        </w:tabs>
        <w:numPr>
          <w:ilvl w:val="0"/>
          <w:numId w:val="39"/>
        </w:numPr>
        <w:rPr>
          <w:rFonts w:ascii="Arial" w:cs="Arial" w:eastAsia="Arial" w:hAnsi="Arial"/>
          <w:sz w:val="17"/>
          <w:szCs w:val="17"/>
          <w:color w:val="auto"/>
          <w:vertAlign w:val="superscript"/>
        </w:rPr>
      </w:pPr>
      <w:r>
        <w:rPr>
          <w:rFonts w:ascii="Arial" w:cs="Arial" w:eastAsia="Arial" w:hAnsi="Arial"/>
          <w:sz w:val="11"/>
          <w:szCs w:val="11"/>
          <w:color w:val="auto"/>
        </w:rPr>
        <w:t>Gagan Dhingra was promoted from Vice President of Accounting to Senior Vice President, Finance and Accounting, on February 25, 2025. In connection with the promotion, his participation level under our Executive Severance Plan has been adjusted into 9 months for severance not in connection with a change in control termination, and 12 months for severance in connection with a change in control termination. See “Mr. Dhingra Interim Chief Financial Officer Terms and Promotion” above.</w:t>
      </w:r>
    </w:p>
    <w:p>
      <w:pPr>
        <w:spacing w:after="0" w:line="115" w:lineRule="exact"/>
        <w:rPr>
          <w:rFonts w:ascii="Arial" w:cs="Arial" w:eastAsia="Arial" w:hAnsi="Arial"/>
          <w:sz w:val="17"/>
          <w:szCs w:val="17"/>
          <w:color w:val="auto"/>
          <w:vertAlign w:val="superscript"/>
        </w:rPr>
      </w:pPr>
    </w:p>
    <w:p>
      <w:pPr>
        <w:ind w:left="142" w:right="220" w:hanging="142"/>
        <w:spacing w:after="0" w:line="238" w:lineRule="auto"/>
        <w:tabs>
          <w:tab w:leader="none" w:pos="142" w:val="left"/>
        </w:tabs>
        <w:numPr>
          <w:ilvl w:val="0"/>
          <w:numId w:val="39"/>
        </w:numPr>
        <w:rPr>
          <w:rFonts w:ascii="Arial" w:cs="Arial" w:eastAsia="Arial" w:hAnsi="Arial"/>
          <w:sz w:val="17"/>
          <w:szCs w:val="17"/>
          <w:color w:val="auto"/>
          <w:vertAlign w:val="superscript"/>
        </w:rPr>
      </w:pPr>
      <w:r>
        <w:rPr>
          <w:rFonts w:ascii="Arial" w:cs="Arial" w:eastAsia="Arial" w:hAnsi="Arial"/>
          <w:sz w:val="11"/>
          <w:szCs w:val="11"/>
          <w:color w:val="auto"/>
        </w:rPr>
        <w:t>Marc Winterhoff was appointed Interim CEO on February 21, 2025. In connection with the appointment, his participation level under our Executive Severance Plan has been adjusted into 12 months for severance not in connection with a change in control termination, and 12 months for severance in connection with a change in control termination. See “Mr. Winterhoff Interim CEO Terms and Promotion” above.</w:t>
      </w:r>
    </w:p>
    <w:p>
      <w:pPr>
        <w:spacing w:after="0" w:line="66"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39"/>
        </w:numPr>
        <w:rPr>
          <w:rFonts w:ascii="Arial" w:cs="Arial" w:eastAsia="Arial" w:hAnsi="Arial"/>
          <w:sz w:val="17"/>
          <w:szCs w:val="17"/>
          <w:color w:val="auto"/>
          <w:vertAlign w:val="superscript"/>
        </w:rPr>
      </w:pPr>
      <w:r>
        <w:rPr>
          <w:rFonts w:ascii="Arial" w:cs="Arial" w:eastAsia="Arial" w:hAnsi="Arial"/>
          <w:sz w:val="11"/>
          <w:szCs w:val="11"/>
          <w:color w:val="auto"/>
        </w:rPr>
        <w:t>Due to Mr. Bell’s separation on May 3, 2024, he was not eligible for any benefits under the Executive Severance Plan as of December 31, 2024.</w:t>
      </w:r>
    </w:p>
    <w:p>
      <w:pPr>
        <w:spacing w:after="0" w:line="229" w:lineRule="exact"/>
        <w:rPr>
          <w:sz w:val="20"/>
          <w:szCs w:val="20"/>
          <w:color w:val="auto"/>
        </w:rPr>
      </w:pPr>
    </w:p>
    <w:p>
      <w:pPr>
        <w:ind w:left="2" w:right="20"/>
        <w:spacing w:after="0" w:line="291" w:lineRule="auto"/>
        <w:rPr>
          <w:sz w:val="20"/>
          <w:szCs w:val="20"/>
          <w:color w:val="auto"/>
        </w:rPr>
      </w:pPr>
      <w:r>
        <w:rPr>
          <w:rFonts w:ascii="Arial" w:cs="Arial" w:eastAsia="Arial" w:hAnsi="Arial"/>
          <w:sz w:val="18"/>
          <w:szCs w:val="18"/>
          <w:color w:val="auto"/>
        </w:rPr>
        <w:t>Under the terms of the Lucid Group, Inc. Vesting Acceleration Policy for Death and Disability (the “Acceleration Policy”), our NEOs who are currently employed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September 15, 2021, the date the Acceleration Policy was adopted. Each NEO’s severance entitlements upon certain terminations of employment are described in more detail below under “Potential Payments Upon Termination or Change in Control.”</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Bell Separation Agreement</w:t>
      </w:r>
    </w:p>
    <w:p>
      <w:pPr>
        <w:spacing w:after="0" w:line="197" w:lineRule="exact"/>
        <w:rPr>
          <w:sz w:val="20"/>
          <w:szCs w:val="20"/>
          <w:color w:val="auto"/>
        </w:rPr>
      </w:pPr>
    </w:p>
    <w:p>
      <w:pPr>
        <w:ind w:left="2" w:right="20"/>
        <w:spacing w:after="0" w:line="289" w:lineRule="auto"/>
        <w:rPr>
          <w:sz w:val="20"/>
          <w:szCs w:val="20"/>
          <w:color w:val="auto"/>
        </w:rPr>
      </w:pPr>
      <w:r>
        <w:rPr>
          <w:rFonts w:ascii="Arial" w:cs="Arial" w:eastAsia="Arial" w:hAnsi="Arial"/>
          <w:sz w:val="18"/>
          <w:szCs w:val="18"/>
          <w:color w:val="auto"/>
        </w:rPr>
        <w:t>In connection with Mr. Bell’s separation on May 3, 2024, Mr. Bell received the following severance benefits pursuant to the terms of his separation agreement: (i) nine months of base salary continuation totaling $393,750, (ii) up to nine months of Company-paid COBRA premiums for healthcare continuation coverage (including a gross-up for applicable taxes),</w:t>
      </w:r>
    </w:p>
    <w:p>
      <w:pPr>
        <w:spacing w:after="0" w:line="1" w:lineRule="exact"/>
        <w:rPr>
          <w:sz w:val="20"/>
          <w:szCs w:val="20"/>
          <w:color w:val="auto"/>
        </w:rPr>
      </w:pPr>
    </w:p>
    <w:p>
      <w:pPr>
        <w:ind w:left="2" w:right="20" w:hanging="2"/>
        <w:spacing w:after="0" w:line="296" w:lineRule="auto"/>
        <w:tabs>
          <w:tab w:leader="none" w:pos="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consulting fee of $125,000 for the advisory period from May 3, 2024 through August 12, 2024; and (iv) $25,000 to cover the preparation costs of his 2024 tax returns. In addition, 66,100 (or an applicable percentage of 40%) of unvested RSUs subject to Mr. Bell’s March 31, 2021 RSU grant were accelerated, pursuant to the terms of his participation agreement under the Executive Severance Plan. All of Mr. Bell’s other outstanding, unvested equity awards were forfeited in connection with his separation.</w:t>
      </w:r>
    </w:p>
    <w:p>
      <w:pPr>
        <w:spacing w:after="0" w:line="200" w:lineRule="exact"/>
        <w:rPr>
          <w:sz w:val="20"/>
          <w:szCs w:val="20"/>
          <w:color w:val="auto"/>
        </w:rPr>
      </w:pPr>
    </w:p>
    <w:p>
      <w:pPr>
        <w:spacing w:after="0" w:line="283" w:lineRule="exact"/>
        <w:rPr>
          <w:sz w:val="20"/>
          <w:szCs w:val="20"/>
          <w:color w:val="auto"/>
        </w:rPr>
      </w:pPr>
    </w:p>
    <w:p>
      <w:pPr>
        <w:ind w:left="2"/>
        <w:spacing w:after="0"/>
        <w:rPr>
          <w:sz w:val="20"/>
          <w:szCs w:val="20"/>
          <w:color w:val="auto"/>
        </w:rPr>
      </w:pPr>
      <w:r>
        <w:rPr>
          <w:rFonts w:ascii="Arial" w:cs="Arial" w:eastAsia="Arial" w:hAnsi="Arial"/>
          <w:sz w:val="16"/>
          <w:szCs w:val="16"/>
          <w:color w:val="auto"/>
        </w:rPr>
        <w:t>2021 CEO GRANT</w:t>
      </w:r>
    </w:p>
    <w:p>
      <w:pPr>
        <w:spacing w:after="0" w:line="197" w:lineRule="exact"/>
        <w:rPr>
          <w:sz w:val="20"/>
          <w:szCs w:val="20"/>
          <w:color w:val="auto"/>
        </w:rPr>
      </w:pPr>
    </w:p>
    <w:p>
      <w:pPr>
        <w:ind w:left="2"/>
        <w:spacing w:after="0" w:line="292" w:lineRule="auto"/>
        <w:rPr>
          <w:sz w:val="20"/>
          <w:szCs w:val="20"/>
          <w:color w:val="auto"/>
        </w:rPr>
      </w:pPr>
      <w:r>
        <w:rPr>
          <w:rFonts w:ascii="Arial" w:cs="Arial" w:eastAsia="Arial" w:hAnsi="Arial"/>
          <w:sz w:val="18"/>
          <w:szCs w:val="18"/>
          <w:color w:val="auto"/>
        </w:rPr>
        <w:t>In March 2021, as previously disclosed, Mr. Rawlinson was granted (i) 13,834,748 RSUs vesting quarterly over a four-year period beginning on December 5, 2021 (the “CEO Time-Based RSUs”); and (ii) 16,024,411 PSUs vesting in five tranches with each tranche tied to the attainment of market capitalization goals over the course of a five-year performance period as outlined below (the “CEO Performance RSUs”, and collectively, the “2021 CEO Grant”). Of the 13,834,748 CEO Time-Based RSUs, as of December 31, 2024, 11,240,732 have vested and 2,594,016 remain unvested. Of the 16,024,411 CEO Performance RSUs, as of December 31, 2024, 13,934,271 have vested and 2,090,140 remain unvested. The unvested CEO Performance RSUs can be earned until July 23, 2026, subject to continued service as of each applicable vesting date.</w:t>
      </w:r>
    </w:p>
    <w:p>
      <w:pPr>
        <w:spacing w:after="0" w:line="200" w:lineRule="exact"/>
        <w:rPr>
          <w:sz w:val="20"/>
          <w:szCs w:val="20"/>
          <w:color w:val="auto"/>
        </w:rPr>
      </w:pPr>
    </w:p>
    <w:p>
      <w:pPr>
        <w:spacing w:after="0" w:line="272" w:lineRule="exact"/>
        <w:rPr>
          <w:sz w:val="20"/>
          <w:szCs w:val="20"/>
          <w:color w:val="auto"/>
        </w:rPr>
      </w:pPr>
    </w:p>
    <w:p>
      <w:pPr>
        <w:ind w:left="2" w:right="20"/>
        <w:spacing w:after="0" w:line="290" w:lineRule="auto"/>
        <w:rPr>
          <w:sz w:val="20"/>
          <w:szCs w:val="20"/>
          <w:color w:val="auto"/>
        </w:rPr>
      </w:pPr>
      <w:r>
        <w:rPr>
          <w:rFonts w:ascii="Arial" w:cs="Arial" w:eastAsia="Arial" w:hAnsi="Arial"/>
          <w:sz w:val="18"/>
          <w:szCs w:val="18"/>
          <w:color w:val="auto"/>
        </w:rPr>
        <w:t>Pursuant to the 2021 CEO Grant award agreement, with respect to the CEO Time-Based RSUs, in the event of a change in control of Lucid, any unvested amount will vest (a) to the extent not assumed or substituted in connection with such change in control, if Mr. Rawlinson remains in continuous service through the change in control or (b) upon a termination without “cause” or upon a “constructive termination” (as each such term is defined in the 2021 CEO Grant award agreement) 30 days prior to the change in control. If the CEO Time-Based RSUs are assumed or substituted in connection with the change in control, the unvested CEO Time-Based RSUs will vest if Mr. Rawlinson experiences a termination of service without “cause” or “constructive termination” within 12 months following the change in control.</w:t>
      </w:r>
    </w:p>
    <w:p>
      <w:pPr>
        <w:spacing w:after="0" w:line="227" w:lineRule="exact"/>
        <w:rPr>
          <w:sz w:val="20"/>
          <w:szCs w:val="20"/>
          <w:color w:val="auto"/>
        </w:rPr>
      </w:pPr>
    </w:p>
    <w:p>
      <w:pPr>
        <w:ind w:left="2" w:right="20"/>
        <w:spacing w:after="0" w:line="288" w:lineRule="auto"/>
        <w:rPr>
          <w:sz w:val="20"/>
          <w:szCs w:val="20"/>
          <w:color w:val="auto"/>
        </w:rPr>
      </w:pPr>
      <w:r>
        <w:rPr>
          <w:rFonts w:ascii="Arial" w:cs="Arial" w:eastAsia="Arial" w:hAnsi="Arial"/>
          <w:sz w:val="18"/>
          <w:szCs w:val="18"/>
          <w:color w:val="auto"/>
        </w:rPr>
        <w:t>With respect to the CEO Performance RSUs, the unvested amount will vest on a change in control if the per share price multiplied by the total number of outstanding shares of our Common Stock exceeds certain previously disclosed market capitalization metrics. In addition, upon a private financing or public offering of our Common Stock with proceeds of at least $1 billion, if Lucid’s total market capitalization implied by the financing exceeds such market capitalization metrics, the CEO Performance RSUs associated with those metrics will vest. Upon a termination of service without cause or upon a constructive termination, any unvested CEO Performance RSUs will remain outstanding and eligible to vest if Lucid achieves certain market capitalization metrics within six months after such termination of continuous service. The CEO Performance RSUs that do not vest by July 23, 2026 will be forfeited.</w:t>
      </w:r>
    </w:p>
    <w:p>
      <w:pPr>
        <w:spacing w:after="0" w:line="231" w:lineRule="exact"/>
        <w:rPr>
          <w:sz w:val="20"/>
          <w:szCs w:val="20"/>
          <w:color w:val="auto"/>
        </w:rPr>
      </w:pPr>
    </w:p>
    <w:p>
      <w:pPr>
        <w:ind w:left="2" w:right="180"/>
        <w:spacing w:after="0" w:line="301" w:lineRule="auto"/>
        <w:rPr>
          <w:sz w:val="20"/>
          <w:szCs w:val="20"/>
          <w:color w:val="auto"/>
        </w:rPr>
      </w:pPr>
      <w:r>
        <w:rPr>
          <w:rFonts w:ascii="Arial" w:cs="Arial" w:eastAsia="Arial" w:hAnsi="Arial"/>
          <w:sz w:val="18"/>
          <w:szCs w:val="18"/>
          <w:color w:val="auto"/>
        </w:rPr>
        <w:t>In connection with Mr. Rawlinson’s transition to Strategic Technical Advisor to the Chairman of the Board, any unvested CEO Time-Based RSUs and CEO Performance RSUs remain outstanding and eligible to vest during his consulting term.</w:t>
      </w:r>
    </w:p>
    <w:p>
      <w:pPr>
        <w:sectPr>
          <w:pgSz w:w="11880" w:h="15480" w:orient="portrait"/>
          <w:cols w:equalWidth="0" w:num="1">
            <w:col w:w="10442"/>
          </w:cols>
          <w:pgMar w:left="718" w:top="961" w:right="720" w:bottom="0" w:gutter="0" w:footer="0" w:header="0"/>
        </w:sectPr>
      </w:pPr>
    </w:p>
    <w:p>
      <w:pPr>
        <w:spacing w:after="0" w:line="200" w:lineRule="exact"/>
        <w:rPr>
          <w:sz w:val="20"/>
          <w:szCs w:val="20"/>
          <w:color w:val="auto"/>
        </w:rPr>
      </w:pPr>
    </w:p>
    <w:p>
      <w:pPr>
        <w:spacing w:after="0" w:line="285"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2"/>
          </w:cols>
          <w:pgMar w:left="718" w:top="961" w:right="720" w:bottom="0" w:gutter="0" w:footer="0" w:header="0"/>
          <w:type w:val="continuous"/>
        </w:sectPr>
      </w:pPr>
    </w:p>
    <w:bookmarkStart w:id="64" w:name="page65"/>
    <w:bookmarkEnd w:id="64"/>
    <w:p>
      <w:pPr>
        <w:ind w:left="2"/>
        <w:spacing w:after="0"/>
        <w:rPr>
          <w:sz w:val="20"/>
          <w:szCs w:val="20"/>
          <w:color w:val="auto"/>
        </w:rPr>
      </w:pPr>
      <w:r>
        <w:rPr>
          <w:rFonts w:ascii="Arial" w:cs="Arial" w:eastAsia="Arial" w:hAnsi="Arial"/>
          <w:sz w:val="16"/>
          <w:szCs w:val="16"/>
          <w:color w:val="auto"/>
        </w:rPr>
        <w:t>COMPENSATION RECOUPMENT POLICY</w:t>
      </w:r>
    </w:p>
    <w:p>
      <w:pPr>
        <w:spacing w:after="0" w:line="197" w:lineRule="exact"/>
        <w:rPr>
          <w:sz w:val="20"/>
          <w:szCs w:val="20"/>
          <w:color w:val="auto"/>
        </w:rPr>
      </w:pPr>
    </w:p>
    <w:p>
      <w:pPr>
        <w:ind w:left="2" w:right="80"/>
        <w:spacing w:after="0" w:line="276" w:lineRule="auto"/>
        <w:rPr>
          <w:sz w:val="20"/>
          <w:szCs w:val="20"/>
          <w:color w:val="auto"/>
        </w:rPr>
      </w:pPr>
      <w:r>
        <w:rPr>
          <w:rFonts w:ascii="Arial" w:cs="Arial" w:eastAsia="Arial" w:hAnsi="Arial"/>
          <w:sz w:val="18"/>
          <w:szCs w:val="18"/>
          <w:color w:val="auto"/>
        </w:rPr>
        <w:t>On November 13, 2023, the Company adopted a Compensation Recoupment Policy. The Compensation Recoupment Policy, adopted in compliance with Exchange Act Rule 10D and the corresponding Nasdaq listing standards, applies to current and former executive officers of the Company. In the event the Company is required to restate its financial statements as a result of events described in the Nasdaq listing standards effective October 2, 2023, the Compensation and Human Capital Committee is authorized to recover incentive compensation awarded to a covered executive in accordance with the Compensation Recoupment Policy.</w:t>
      </w:r>
    </w:p>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color w:val="auto"/>
        </w:rPr>
        <w:t>2024 SAY-ON-PAY VOTE</w:t>
      </w:r>
    </w:p>
    <w:p>
      <w:pPr>
        <w:spacing w:after="0" w:line="197" w:lineRule="exact"/>
        <w:rPr>
          <w:sz w:val="20"/>
          <w:szCs w:val="20"/>
          <w:color w:val="auto"/>
        </w:rPr>
      </w:pPr>
    </w:p>
    <w:p>
      <w:pPr>
        <w:ind w:left="2"/>
        <w:spacing w:after="0" w:line="274" w:lineRule="auto"/>
        <w:rPr>
          <w:sz w:val="20"/>
          <w:szCs w:val="20"/>
          <w:color w:val="auto"/>
        </w:rPr>
      </w:pPr>
      <w:r>
        <w:rPr>
          <w:rFonts w:ascii="Arial" w:cs="Arial" w:eastAsia="Arial" w:hAnsi="Arial"/>
          <w:sz w:val="18"/>
          <w:szCs w:val="18"/>
          <w:color w:val="auto"/>
        </w:rPr>
        <w:t>At our 2024 annual meeting of stockholders, we held a non-binding advisory stockholder vote to approve the compensation program for our NEOs, commonly referred to as a “say-on-pay” vote. Approximately 99% of the voting power of shares voted at the 2024 annual meeting of stockholders were cast in favor of our say-on-pay proposal. The Compensation and Human Capital Committee considered the result of this advisory vote to be an endorsement of our compensation program, policies, practices, and philosophy for our NEOs. The Compensation and Human Capital Committee will continue to consider the outcome of our say-on-pay votes and our stockholders’ views when making compensation decisions for our NEOs, including the outcome of Proposal No. 3 (non-binding advisory vote to approve the compensation of our NEOs) at the Annual Meeting. Based on the results of a separate non-binding advisory stockholder vote on the frequency of future stockholder advisory votes regarding the compensation program for our NEOs, commonly referred to as a “say on frequency” vote, held at our 2023 annual meeting of stockholders, the Board determined that we will hold our say-on-pay vote every year until the next required say on frequency vote. We expect to hold our next advisory vote on the frequency of say-on-pay votes at our annual meeting in 2028.</w:t>
      </w:r>
    </w:p>
    <w:p>
      <w:pPr>
        <w:spacing w:after="0" w:line="200" w:lineRule="exact"/>
        <w:rPr>
          <w:sz w:val="20"/>
          <w:szCs w:val="20"/>
          <w:color w:val="auto"/>
        </w:rPr>
      </w:pPr>
    </w:p>
    <w:p>
      <w:pPr>
        <w:spacing w:after="0" w:line="284" w:lineRule="exact"/>
        <w:rPr>
          <w:sz w:val="20"/>
          <w:szCs w:val="20"/>
          <w:color w:val="auto"/>
        </w:rPr>
      </w:pPr>
    </w:p>
    <w:p>
      <w:pPr>
        <w:ind w:left="2"/>
        <w:spacing w:after="0"/>
        <w:rPr>
          <w:sz w:val="20"/>
          <w:szCs w:val="20"/>
          <w:color w:val="auto"/>
        </w:rPr>
      </w:pPr>
      <w:r>
        <w:rPr>
          <w:rFonts w:ascii="Arial" w:cs="Arial" w:eastAsia="Arial" w:hAnsi="Arial"/>
          <w:sz w:val="16"/>
          <w:szCs w:val="16"/>
          <w:color w:val="auto"/>
        </w:rPr>
        <w:t>STOCK OWNERSHIP GUIDELINES</w:t>
      </w:r>
    </w:p>
    <w:p>
      <w:pPr>
        <w:spacing w:after="0" w:line="197" w:lineRule="exact"/>
        <w:rPr>
          <w:sz w:val="20"/>
          <w:szCs w:val="20"/>
          <w:color w:val="auto"/>
        </w:rPr>
      </w:pPr>
    </w:p>
    <w:p>
      <w:pPr>
        <w:ind w:left="2"/>
        <w:spacing w:after="0" w:line="275" w:lineRule="auto"/>
        <w:rPr>
          <w:sz w:val="20"/>
          <w:szCs w:val="20"/>
          <w:color w:val="auto"/>
        </w:rPr>
      </w:pPr>
      <w:r>
        <w:rPr>
          <w:rFonts w:ascii="Arial" w:cs="Arial" w:eastAsia="Arial" w:hAnsi="Arial"/>
          <w:sz w:val="18"/>
          <w:szCs w:val="18"/>
          <w:color w:val="auto"/>
        </w:rPr>
        <w:t>The Board adopted Stock Ownership Guidelines in 2023. Under these guidelines, our non-employee directors and executives are expected to maintain a minimum equity stake in the Company. These guidelines embody the Compensation and Human Capital Committee’s belief that our directors and executives should maintain a significant personal financial stake in the Company to align such individuals’ interests with our stockholders’ interests, which reduces the incentive for excessive short-term risk taking. Under the guidelines, each covered individual is expected to meet the following ownership goal within five years of January 23, 2023, the effective date of the guidelines, or within five years of the first election or appointment as a covered individual, whichever comes later.</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following Stock Ownership Guidelines applied to the NEOs with respect to their roles as of December 31, 2024:</w:t>
      </w:r>
    </w:p>
    <w:p>
      <w:pPr>
        <w:spacing w:after="0" w:line="326"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38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Category of Covered Individual</w:t>
            </w:r>
          </w:p>
        </w:tc>
        <w:tc>
          <w:tcPr>
            <w:tcW w:w="6620" w:type="dxa"/>
            <w:vAlign w:val="bottom"/>
            <w:shd w:val="clear" w:color="auto" w:fill="000000"/>
          </w:tcPr>
          <w:p>
            <w:pPr>
              <w:ind w:left="1500"/>
              <w:spacing w:after="0"/>
              <w:rPr>
                <w:sz w:val="20"/>
                <w:szCs w:val="20"/>
                <w:color w:val="auto"/>
              </w:rPr>
            </w:pPr>
            <w:r>
              <w:rPr>
                <w:rFonts w:ascii="Arial" w:cs="Arial" w:eastAsia="Arial" w:hAnsi="Arial"/>
                <w:sz w:val="14"/>
                <w:szCs w:val="14"/>
                <w:color w:val="FFFFFF"/>
              </w:rPr>
              <w:t>Ownership Goal</w:t>
            </w:r>
          </w:p>
        </w:tc>
      </w:tr>
      <w:tr>
        <w:trPr>
          <w:trHeight w:val="149"/>
        </w:trPr>
        <w:tc>
          <w:tcPr>
            <w:tcW w:w="3800" w:type="dxa"/>
            <w:vAlign w:val="bottom"/>
            <w:shd w:val="clear" w:color="auto" w:fill="000000"/>
          </w:tcPr>
          <w:p>
            <w:pPr>
              <w:spacing w:after="0"/>
              <w:rPr>
                <w:sz w:val="12"/>
                <w:szCs w:val="12"/>
                <w:color w:val="auto"/>
              </w:rPr>
            </w:pPr>
          </w:p>
        </w:tc>
        <w:tc>
          <w:tcPr>
            <w:tcW w:w="6620" w:type="dxa"/>
            <w:vAlign w:val="bottom"/>
            <w:shd w:val="clear" w:color="auto" w:fill="000000"/>
          </w:tcPr>
          <w:p>
            <w:pPr>
              <w:spacing w:after="0"/>
              <w:rPr>
                <w:sz w:val="12"/>
                <w:szCs w:val="12"/>
                <w:color w:val="auto"/>
              </w:rPr>
            </w:pPr>
          </w:p>
        </w:tc>
      </w:tr>
      <w:tr>
        <w:trPr>
          <w:trHeight w:val="326"/>
        </w:trPr>
        <w:tc>
          <w:tcPr>
            <w:tcW w:w="3800" w:type="dxa"/>
            <w:vAlign w:val="bottom"/>
          </w:tcPr>
          <w:p>
            <w:pPr>
              <w:ind w:left="180"/>
              <w:spacing w:after="0"/>
              <w:rPr>
                <w:sz w:val="20"/>
                <w:szCs w:val="20"/>
                <w:color w:val="auto"/>
              </w:rPr>
            </w:pPr>
            <w:r>
              <w:rPr>
                <w:rFonts w:ascii="Arial" w:cs="Arial" w:eastAsia="Arial" w:hAnsi="Arial"/>
                <w:sz w:val="16"/>
                <w:szCs w:val="16"/>
                <w:color w:val="auto"/>
              </w:rPr>
              <w:t>Non-Employee Director</w:t>
            </w:r>
          </w:p>
        </w:tc>
        <w:tc>
          <w:tcPr>
            <w:tcW w:w="6620" w:type="dxa"/>
            <w:vAlign w:val="bottom"/>
          </w:tcPr>
          <w:p>
            <w:pPr>
              <w:ind w:left="1500"/>
              <w:spacing w:after="0"/>
              <w:rPr>
                <w:sz w:val="20"/>
                <w:szCs w:val="20"/>
                <w:color w:val="auto"/>
              </w:rPr>
            </w:pPr>
            <w:r>
              <w:rPr>
                <w:rFonts w:ascii="Arial" w:cs="Arial" w:eastAsia="Arial" w:hAnsi="Arial"/>
                <w:sz w:val="16"/>
                <w:szCs w:val="16"/>
                <w:color w:val="auto"/>
              </w:rPr>
              <w:t>5x Annual Board Cash Retainer</w:t>
            </w:r>
          </w:p>
        </w:tc>
      </w:tr>
      <w:tr>
        <w:trPr>
          <w:trHeight w:val="135"/>
        </w:trPr>
        <w:tc>
          <w:tcPr>
            <w:tcW w:w="3800" w:type="dxa"/>
            <w:vAlign w:val="bottom"/>
            <w:tcBorders>
              <w:bottom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r>
      <w:tr>
        <w:trPr>
          <w:trHeight w:val="304"/>
        </w:trPr>
        <w:tc>
          <w:tcPr>
            <w:tcW w:w="3800" w:type="dxa"/>
            <w:vAlign w:val="bottom"/>
          </w:tcPr>
          <w:p>
            <w:pPr>
              <w:ind w:left="180"/>
              <w:spacing w:after="0"/>
              <w:rPr>
                <w:sz w:val="20"/>
                <w:szCs w:val="20"/>
                <w:color w:val="auto"/>
              </w:rPr>
            </w:pPr>
            <w:r>
              <w:rPr>
                <w:rFonts w:ascii="Arial" w:cs="Arial" w:eastAsia="Arial" w:hAnsi="Arial"/>
                <w:sz w:val="16"/>
                <w:szCs w:val="16"/>
                <w:color w:val="auto"/>
              </w:rPr>
              <w:t>Chief Executive Officer</w:t>
            </w:r>
          </w:p>
        </w:tc>
        <w:tc>
          <w:tcPr>
            <w:tcW w:w="6620" w:type="dxa"/>
            <w:vAlign w:val="bottom"/>
          </w:tcPr>
          <w:p>
            <w:pPr>
              <w:ind w:left="1500"/>
              <w:spacing w:after="0"/>
              <w:rPr>
                <w:sz w:val="20"/>
                <w:szCs w:val="20"/>
                <w:color w:val="auto"/>
              </w:rPr>
            </w:pPr>
            <w:r>
              <w:rPr>
                <w:rFonts w:ascii="Arial" w:cs="Arial" w:eastAsia="Arial" w:hAnsi="Arial"/>
                <w:sz w:val="16"/>
                <w:szCs w:val="16"/>
                <w:color w:val="auto"/>
              </w:rPr>
              <w:t>6x Annual Base Salary</w:t>
            </w:r>
          </w:p>
        </w:tc>
      </w:tr>
      <w:tr>
        <w:trPr>
          <w:trHeight w:val="135"/>
        </w:trPr>
        <w:tc>
          <w:tcPr>
            <w:tcW w:w="3800" w:type="dxa"/>
            <w:vAlign w:val="bottom"/>
            <w:tcBorders>
              <w:bottom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r>
      <w:tr>
        <w:trPr>
          <w:trHeight w:val="368"/>
        </w:trPr>
        <w:tc>
          <w:tcPr>
            <w:tcW w:w="3800" w:type="dxa"/>
            <w:vAlign w:val="bottom"/>
          </w:tcPr>
          <w:p>
            <w:pPr>
              <w:ind w:left="180"/>
              <w:spacing w:after="0"/>
              <w:rPr>
                <w:sz w:val="20"/>
                <w:szCs w:val="20"/>
                <w:color w:val="auto"/>
              </w:rPr>
            </w:pPr>
            <w:r>
              <w:rPr>
                <w:rFonts w:ascii="Arial" w:cs="Arial" w:eastAsia="Arial" w:hAnsi="Arial"/>
                <w:sz w:val="16"/>
                <w:szCs w:val="16"/>
                <w:color w:val="auto"/>
              </w:rPr>
              <w:t>Senior Vice Presidents</w:t>
            </w:r>
            <w:r>
              <w:rPr>
                <w:rFonts w:ascii="Arial" w:cs="Arial" w:eastAsia="Arial" w:hAnsi="Arial"/>
                <w:sz w:val="19"/>
                <w:szCs w:val="19"/>
                <w:color w:val="auto"/>
                <w:vertAlign w:val="superscript"/>
              </w:rPr>
              <w:t>(1)</w:t>
            </w:r>
          </w:p>
        </w:tc>
        <w:tc>
          <w:tcPr>
            <w:tcW w:w="6620" w:type="dxa"/>
            <w:vAlign w:val="bottom"/>
          </w:tcPr>
          <w:p>
            <w:pPr>
              <w:ind w:left="1500"/>
              <w:spacing w:after="0"/>
              <w:rPr>
                <w:sz w:val="20"/>
                <w:szCs w:val="20"/>
                <w:color w:val="auto"/>
              </w:rPr>
            </w:pPr>
            <w:r>
              <w:rPr>
                <w:rFonts w:ascii="Arial" w:cs="Arial" w:eastAsia="Arial" w:hAnsi="Arial"/>
                <w:sz w:val="16"/>
                <w:szCs w:val="16"/>
                <w:color w:val="auto"/>
              </w:rPr>
              <w:t>3x Annual Base Salary</w:t>
            </w:r>
          </w:p>
        </w:tc>
      </w:tr>
      <w:tr>
        <w:trPr>
          <w:trHeight w:val="71"/>
        </w:trPr>
        <w:tc>
          <w:tcPr>
            <w:tcW w:w="3800" w:type="dxa"/>
            <w:vAlign w:val="bottom"/>
            <w:tcBorders>
              <w:bottom w:val="single" w:sz="8" w:color="auto"/>
            </w:tcBorders>
          </w:tcPr>
          <w:p>
            <w:pPr>
              <w:spacing w:after="0"/>
              <w:rPr>
                <w:sz w:val="6"/>
                <w:szCs w:val="6"/>
                <w:color w:val="auto"/>
              </w:rPr>
            </w:pPr>
          </w:p>
        </w:tc>
        <w:tc>
          <w:tcPr>
            <w:tcW w:w="6620" w:type="dxa"/>
            <w:vAlign w:val="bottom"/>
            <w:tcBorders>
              <w:bottom w:val="single" w:sz="8" w:color="auto"/>
            </w:tcBorders>
          </w:tcPr>
          <w:p>
            <w:pPr>
              <w:spacing w:after="0"/>
              <w:rPr>
                <w:sz w:val="6"/>
                <w:szCs w:val="6"/>
                <w:color w:val="auto"/>
              </w:rPr>
            </w:pPr>
          </w:p>
        </w:tc>
      </w:tr>
      <w:tr>
        <w:trPr>
          <w:trHeight w:val="368"/>
        </w:trPr>
        <w:tc>
          <w:tcPr>
            <w:tcW w:w="3800" w:type="dxa"/>
            <w:vAlign w:val="bottom"/>
          </w:tcPr>
          <w:p>
            <w:pPr>
              <w:ind w:left="180"/>
              <w:spacing w:after="0"/>
              <w:rPr>
                <w:sz w:val="20"/>
                <w:szCs w:val="20"/>
                <w:color w:val="auto"/>
              </w:rPr>
            </w:pPr>
            <w:r>
              <w:rPr>
                <w:rFonts w:ascii="Arial" w:cs="Arial" w:eastAsia="Arial" w:hAnsi="Arial"/>
                <w:sz w:val="16"/>
                <w:szCs w:val="16"/>
                <w:color w:val="auto"/>
              </w:rPr>
              <w:t>Vice Presidents</w:t>
            </w:r>
            <w:r>
              <w:rPr>
                <w:rFonts w:ascii="Arial" w:cs="Arial" w:eastAsia="Arial" w:hAnsi="Arial"/>
                <w:sz w:val="19"/>
                <w:szCs w:val="19"/>
                <w:color w:val="auto"/>
                <w:vertAlign w:val="superscript"/>
              </w:rPr>
              <w:t>(2)</w:t>
            </w:r>
          </w:p>
        </w:tc>
        <w:tc>
          <w:tcPr>
            <w:tcW w:w="6620" w:type="dxa"/>
            <w:vAlign w:val="bottom"/>
          </w:tcPr>
          <w:p>
            <w:pPr>
              <w:ind w:left="1500"/>
              <w:spacing w:after="0"/>
              <w:rPr>
                <w:sz w:val="20"/>
                <w:szCs w:val="20"/>
                <w:color w:val="auto"/>
              </w:rPr>
            </w:pPr>
            <w:r>
              <w:rPr>
                <w:rFonts w:ascii="Arial" w:cs="Arial" w:eastAsia="Arial" w:hAnsi="Arial"/>
                <w:sz w:val="16"/>
                <w:szCs w:val="16"/>
                <w:color w:val="auto"/>
              </w:rPr>
              <w:t>2x Annual Base Salary</w:t>
            </w:r>
          </w:p>
        </w:tc>
      </w:tr>
      <w:tr>
        <w:trPr>
          <w:trHeight w:val="74"/>
        </w:trPr>
        <w:tc>
          <w:tcPr>
            <w:tcW w:w="3800" w:type="dxa"/>
            <w:vAlign w:val="bottom"/>
            <w:tcBorders>
              <w:bottom w:val="single" w:sz="8" w:color="auto"/>
            </w:tcBorders>
          </w:tcPr>
          <w:p>
            <w:pPr>
              <w:spacing w:after="0"/>
              <w:rPr>
                <w:sz w:val="6"/>
                <w:szCs w:val="6"/>
                <w:color w:val="auto"/>
              </w:rPr>
            </w:pPr>
          </w:p>
        </w:tc>
        <w:tc>
          <w:tcPr>
            <w:tcW w:w="662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ind w:left="142" w:hanging="142"/>
        <w:spacing w:after="0"/>
        <w:tabs>
          <w:tab w:leader="none" w:pos="142" w:val="left"/>
        </w:tabs>
        <w:numPr>
          <w:ilvl w:val="0"/>
          <w:numId w:val="41"/>
        </w:numPr>
        <w:rPr>
          <w:rFonts w:ascii="Arial" w:cs="Arial" w:eastAsia="Arial" w:hAnsi="Arial"/>
          <w:sz w:val="17"/>
          <w:szCs w:val="17"/>
          <w:color w:val="auto"/>
          <w:vertAlign w:val="superscript"/>
        </w:rPr>
      </w:pPr>
      <w:r>
        <w:rPr>
          <w:rFonts w:ascii="Arial" w:cs="Arial" w:eastAsia="Arial" w:hAnsi="Arial"/>
          <w:sz w:val="11"/>
          <w:szCs w:val="11"/>
          <w:color w:val="auto"/>
        </w:rPr>
        <w:t>Includes Messrs. Winterhoff and Bach.</w:t>
      </w:r>
    </w:p>
    <w:p>
      <w:pPr>
        <w:spacing w:after="0" w:line="72" w:lineRule="exact"/>
        <w:rPr>
          <w:rFonts w:ascii="Arial" w:cs="Arial" w:eastAsia="Arial" w:hAnsi="Arial"/>
          <w:sz w:val="17"/>
          <w:szCs w:val="17"/>
          <w:color w:val="auto"/>
          <w:vertAlign w:val="superscript"/>
        </w:rPr>
      </w:pPr>
    </w:p>
    <w:p>
      <w:pPr>
        <w:ind w:left="142" w:hanging="142"/>
        <w:spacing w:after="0" w:line="214" w:lineRule="auto"/>
        <w:tabs>
          <w:tab w:leader="none" w:pos="142" w:val="left"/>
        </w:tabs>
        <w:numPr>
          <w:ilvl w:val="0"/>
          <w:numId w:val="41"/>
        </w:numPr>
        <w:rPr>
          <w:rFonts w:ascii="Arial" w:cs="Arial" w:eastAsia="Arial" w:hAnsi="Arial"/>
          <w:sz w:val="17"/>
          <w:szCs w:val="17"/>
          <w:color w:val="auto"/>
          <w:vertAlign w:val="superscript"/>
        </w:rPr>
      </w:pPr>
      <w:r>
        <w:rPr>
          <w:rFonts w:ascii="Arial" w:cs="Arial" w:eastAsia="Arial" w:hAnsi="Arial"/>
          <w:sz w:val="11"/>
          <w:szCs w:val="11"/>
          <w:color w:val="auto"/>
        </w:rPr>
        <w:t>Includes Mr. Dhingra.</w:t>
      </w:r>
    </w:p>
    <w:p>
      <w:pPr>
        <w:spacing w:after="0" w:line="212" w:lineRule="exact"/>
        <w:rPr>
          <w:sz w:val="20"/>
          <w:szCs w:val="20"/>
          <w:color w:val="auto"/>
        </w:rPr>
      </w:pPr>
    </w:p>
    <w:p>
      <w:pPr>
        <w:ind w:left="2"/>
        <w:spacing w:after="0" w:line="278" w:lineRule="auto"/>
        <w:rPr>
          <w:sz w:val="20"/>
          <w:szCs w:val="20"/>
          <w:color w:val="auto"/>
        </w:rPr>
      </w:pPr>
      <w:r>
        <w:rPr>
          <w:rFonts w:ascii="Arial" w:cs="Arial" w:eastAsia="Arial" w:hAnsi="Arial"/>
          <w:sz w:val="18"/>
          <w:szCs w:val="18"/>
          <w:color w:val="auto"/>
        </w:rPr>
        <w:t>The following shares subject to equity awards will be counted toward satisfaction of the ownership goal (in addition to outstanding shares of which the individual is the beneficial owner): (a) shares subject to unvested, or vested but unsettled, RSU awards; and (b) shares subject to performance-based awards for which performance conditions have been satisfied (i.e., earned performance awards at actual achievement, even if they remain subject to time-based vesting conditions). The following shares will not be counted toward satisfaction of the ownership goal: (a) shares subject to performance-based awards for which the performance conditions have not yet been satisfied; (b) shares subject to unexercised stock options or stock appreciation rights, in each case, regardless of whether vested or “in-the-money” ; and (c) shares subject to equity-based awards that may only be settled in cash.</w:t>
      </w:r>
    </w:p>
    <w:p>
      <w:pPr>
        <w:sectPr>
          <w:pgSz w:w="11880" w:h="15480" w:orient="portrait"/>
          <w:cols w:equalWidth="0" w:num="1">
            <w:col w:w="10422"/>
          </w:cols>
          <w:pgMar w:left="718"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59</w:t>
      </w:r>
    </w:p>
    <w:p>
      <w:pPr>
        <w:sectPr>
          <w:pgSz w:w="11880" w:h="15480" w:orient="portrait"/>
          <w:cols w:equalWidth="0" w:num="1">
            <w:col w:w="10422"/>
          </w:cols>
          <w:pgMar w:left="718" w:top="942" w:right="74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color w:val="auto"/>
        </w:rPr>
        <w:t>TAX AND ACCOUNTING CONSIDERATIONS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Deductibility of Executive Compensation</w:t>
      </w:r>
    </w:p>
    <w:p>
      <w:pPr>
        <w:spacing w:after="0" w:line="19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Section 162(m) of the Code generally imposes a $1 million cap on the federal income tax deduction for compensation paid to our “covered employees” during any fiscal year. While the Compensation and Human Capital Committee considers the deductibility of awards as one factor in determining executive compensation, the Compensation and Human Capital Committee also looks at other factors in making its decisions, and, in the exercise of its business judgment and in accordance with its compensation philosophy, the Compensation and Human Capital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Stock-Based Compensation</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Compensation and Human Capital Committee takes accounting considerations into account in designing compensation plans and arrangements for our NEOs and other employees. We follow Financial Accounting Standard Board Accounting Standards Codification Topic 718 (FASB ASC Topic 718) for our stock-based compensation awards. FASB ASC Topic 718 requires us to measure the compensation expense for all share-based payment awards based on the grant date “fair value” of these awards.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COMPENSATION RISK ASSESSMENT</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Compensation and Human Capital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Pay Governance annually conducts a detailed risk assessment of our compensation programs, employing a framework to assist the Compensation and Human Capital Committee in ascertaining any potential material adverse risks and how they may link with our compensation programs. The results of Pay Governance’s risk assessment were presented to the Compensation and Human Capital Committee in December 2024. Based on the assessment, Pay Governance concluded, and the Compensation and Human Capital Committee agreed, that our compensation programs do not create any potential risk that is reasonably likely to have a material adverse effect on the Company.</w:t>
      </w:r>
    </w:p>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Based on the above, we believe our executive compensation program effectively (i) ensures that our compensation opportunities do not encourage excessive risk taking, (ii) keeps our NEOs focused on the creation of long-term, sustainable value for our stockholders, and (iii) provides competitive and appropriate levels of compensation over time.</w:t>
      </w:r>
    </w:p>
    <w:p>
      <w:pPr>
        <w:spacing w:after="0" w:line="21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Equity Grant Practices. Although we do not have a formal policy regarding the timing of equity award grants, we generally grant annual equity awards to our NEOs on a pre-established date and we do not grant any form of equity compensation in anticipation of the release of material, non-public information. Similarly, we do not time the release of material, non-public information based on equity award grant dates for the purpose of affecting the value of any equity award. The Compensation and Human Capital Committee also does not take material, non-public information into account when determining the timing and terms of equity award grants, provided that, if material, non-public information becomes known to the Compensation and Human Capital Committee prior to granting an equity award, the Compensation and Human Capital Committee takes the existence of such information into consideration and uses its business judgment to determine whether to delay the grant of equity to avoid any impropriety.</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2" w:right="7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40"/>
          <w:szCs w:val="40"/>
          <w:color w:val="auto"/>
        </w:rPr>
        <w:t>Compensation and Human Capital Committee Report</w:t>
      </w:r>
    </w:p>
    <w:p>
      <w:pPr>
        <w:spacing w:after="0" w:line="200" w:lineRule="exact"/>
        <w:rPr>
          <w:sz w:val="20"/>
          <w:szCs w:val="20"/>
          <w:color w:val="auto"/>
        </w:rPr>
      </w:pPr>
    </w:p>
    <w:p>
      <w:pPr>
        <w:spacing w:after="0" w:line="24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The Compensation and Human Capital Committee has reviewed and discussed the foregoing Compensation Discussion and Analysis with management and, based on such review and discussions, the Compensation and Human Capital Committee recommended to the Board that the Compensation Discussion and Analysis be included in this Proxy Statement and incorporated by reference into the Company’s Annual Report on Form 10-K for the fiscal year ended December 31, 2024.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Andrew Liveris,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Ori Winitzer</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61</w:t>
      </w:r>
    </w:p>
    <w:p>
      <w:pPr>
        <w:sectPr>
          <w:pgSz w:w="11880" w:h="15480" w:orient="portrait"/>
          <w:cols w:equalWidth="0" w:num="1">
            <w:col w:w="10420"/>
          </w:cols>
          <w:pgMar w:left="720" w:top="876" w:right="740" w:bottom="0" w:gutter="0" w:footer="0" w:header="0"/>
          <w:type w:val="continuous"/>
        </w:sectPr>
      </w:pPr>
    </w:p>
    <w:bookmarkStart w:id="67" w:name="page68"/>
    <w:bookmarkEnd w:id="67"/>
    <w:p>
      <w:pPr>
        <w:ind w:left="2"/>
        <w:spacing w:after="0"/>
        <w:rPr>
          <w:sz w:val="20"/>
          <w:szCs w:val="20"/>
          <w:color w:val="auto"/>
        </w:rPr>
      </w:pPr>
      <w:r>
        <w:rPr>
          <w:rFonts w:ascii="Times New Roman" w:cs="Times New Roman" w:eastAsia="Times New Roman" w:hAnsi="Times New Roman"/>
          <w:sz w:val="40"/>
          <w:szCs w:val="40"/>
          <w:color w:val="auto"/>
        </w:rPr>
        <w:t>2024 Summary Compensation Table</w:t>
      </w:r>
    </w:p>
    <w:p>
      <w:pPr>
        <w:spacing w:after="0" w:line="200" w:lineRule="exact"/>
        <w:rPr>
          <w:sz w:val="20"/>
          <w:szCs w:val="20"/>
          <w:color w:val="auto"/>
        </w:rPr>
      </w:pPr>
    </w:p>
    <w:p>
      <w:pPr>
        <w:spacing w:after="0" w:line="246" w:lineRule="exact"/>
        <w:rPr>
          <w:sz w:val="20"/>
          <w:szCs w:val="20"/>
          <w:color w:val="auto"/>
        </w:rPr>
      </w:pPr>
    </w:p>
    <w:p>
      <w:pPr>
        <w:ind w:left="2" w:right="240"/>
        <w:spacing w:after="0" w:line="292" w:lineRule="auto"/>
        <w:rPr>
          <w:sz w:val="20"/>
          <w:szCs w:val="20"/>
          <w:color w:val="auto"/>
        </w:rPr>
      </w:pPr>
      <w:r>
        <w:rPr>
          <w:rFonts w:ascii="Arial" w:cs="Arial" w:eastAsia="Arial" w:hAnsi="Arial"/>
          <w:sz w:val="18"/>
          <w:szCs w:val="18"/>
          <w:color w:val="auto"/>
        </w:rPr>
        <w:t>The following table sets forth the compensation awarded to or paid to our NEOs for services rendered to the Company during the years ended December 31, 2024, 2023 and 2022.</w:t>
      </w:r>
    </w:p>
    <w:p>
      <w:pPr>
        <w:spacing w:after="0" w:line="269" w:lineRule="exact"/>
        <w:rPr>
          <w:sz w:val="20"/>
          <w:szCs w:val="20"/>
          <w:color w:val="auto"/>
        </w:rPr>
      </w:pPr>
    </w:p>
    <w:tbl>
      <w:tblPr>
        <w:tblLayout w:type="fixed"/>
        <w:tblInd w:w="2" w:type="dxa"/>
        <w:tblCellMar>
          <w:top w:w="0" w:type="dxa"/>
          <w:left w:w="0" w:type="dxa"/>
          <w:bottom w:w="0" w:type="dxa"/>
          <w:right w:w="0" w:type="dxa"/>
        </w:tblCellMar>
      </w:tblPr>
      <w:tr>
        <w:trPr>
          <w:trHeight w:val="297"/>
        </w:trPr>
        <w:tc>
          <w:tcPr>
            <w:tcW w:w="20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 and Principal</w:t>
            </w:r>
          </w:p>
        </w:tc>
        <w:tc>
          <w:tcPr>
            <w:tcW w:w="62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Year</w:t>
            </w:r>
          </w:p>
        </w:tc>
        <w:tc>
          <w:tcPr>
            <w:tcW w:w="86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Salary</w:t>
            </w:r>
          </w:p>
        </w:tc>
        <w:tc>
          <w:tcPr>
            <w:tcW w:w="120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Bonus</w:t>
            </w:r>
          </w:p>
        </w:tc>
        <w:tc>
          <w:tcPr>
            <w:tcW w:w="100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Stock</w:t>
            </w:r>
          </w:p>
        </w:tc>
        <w:tc>
          <w:tcPr>
            <w:tcW w:w="102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Option</w:t>
            </w:r>
          </w:p>
        </w:tc>
        <w:tc>
          <w:tcPr>
            <w:tcW w:w="118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Non-Equity</w:t>
            </w:r>
          </w:p>
        </w:tc>
        <w:tc>
          <w:tcPr>
            <w:tcW w:w="120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All Other</w:t>
            </w:r>
          </w:p>
        </w:tc>
        <w:tc>
          <w:tcPr>
            <w:tcW w:w="126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60"/>
        </w:trPr>
        <w:tc>
          <w:tcPr>
            <w:tcW w:w="2080" w:type="dxa"/>
            <w:vAlign w:val="bottom"/>
            <w:shd w:val="clear" w:color="auto" w:fill="000000"/>
          </w:tcPr>
          <w:p>
            <w:pPr>
              <w:ind w:left="180"/>
              <w:spacing w:after="0" w:line="160" w:lineRule="exact"/>
              <w:rPr>
                <w:sz w:val="20"/>
                <w:szCs w:val="20"/>
                <w:color w:val="auto"/>
              </w:rPr>
            </w:pPr>
            <w:r>
              <w:rPr>
                <w:rFonts w:ascii="Arial" w:cs="Arial" w:eastAsia="Arial" w:hAnsi="Arial"/>
                <w:sz w:val="14"/>
                <w:szCs w:val="14"/>
                <w:color w:val="FFFFFF"/>
              </w:rPr>
              <w:t>Position</w:t>
            </w:r>
            <w:r>
              <w:rPr>
                <w:rFonts w:ascii="Arial" w:cs="Arial" w:eastAsia="Arial" w:hAnsi="Arial"/>
                <w:sz w:val="17"/>
                <w:szCs w:val="17"/>
                <w:color w:val="FFFFFF"/>
                <w:vertAlign w:val="superscript"/>
              </w:rPr>
              <w:t>(1)</w:t>
            </w:r>
          </w:p>
        </w:tc>
        <w:tc>
          <w:tcPr>
            <w:tcW w:w="620" w:type="dxa"/>
            <w:vAlign w:val="bottom"/>
            <w:shd w:val="clear" w:color="auto" w:fill="000000"/>
          </w:tcPr>
          <w:p>
            <w:pPr>
              <w:spacing w:after="0"/>
              <w:rPr>
                <w:sz w:val="13"/>
                <w:szCs w:val="13"/>
                <w:color w:val="auto"/>
              </w:rPr>
            </w:pPr>
          </w:p>
        </w:tc>
        <w:tc>
          <w:tcPr>
            <w:tcW w:w="860" w:type="dxa"/>
            <w:vAlign w:val="bottom"/>
            <w:shd w:val="clear" w:color="auto" w:fill="000000"/>
          </w:tcPr>
          <w:p>
            <w:pPr>
              <w:ind w:left="100"/>
              <w:spacing w:after="0" w:line="160"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(2)</w:t>
            </w:r>
          </w:p>
        </w:tc>
        <w:tc>
          <w:tcPr>
            <w:tcW w:w="1200" w:type="dxa"/>
            <w:vAlign w:val="bottom"/>
            <w:shd w:val="clear" w:color="auto" w:fill="000000"/>
          </w:tcPr>
          <w:p>
            <w:pPr>
              <w:ind w:left="100"/>
              <w:spacing w:after="0" w:line="159" w:lineRule="exact"/>
              <w:rPr>
                <w:sz w:val="20"/>
                <w:szCs w:val="20"/>
                <w:color w:val="auto"/>
              </w:rPr>
            </w:pPr>
            <w:r>
              <w:rPr>
                <w:rFonts w:ascii="Arial" w:cs="Arial" w:eastAsia="Arial" w:hAnsi="Arial"/>
                <w:sz w:val="14"/>
                <w:szCs w:val="14"/>
                <w:color w:val="FFFFFF"/>
              </w:rPr>
              <w:t>($)</w:t>
            </w:r>
          </w:p>
        </w:tc>
        <w:tc>
          <w:tcPr>
            <w:tcW w:w="1000" w:type="dxa"/>
            <w:vAlign w:val="bottom"/>
            <w:shd w:val="clear" w:color="auto" w:fill="000000"/>
          </w:tcPr>
          <w:p>
            <w:pPr>
              <w:ind w:left="80"/>
              <w:spacing w:after="0" w:line="159" w:lineRule="exact"/>
              <w:rPr>
                <w:sz w:val="20"/>
                <w:szCs w:val="20"/>
                <w:color w:val="auto"/>
              </w:rPr>
            </w:pPr>
            <w:r>
              <w:rPr>
                <w:rFonts w:ascii="Arial" w:cs="Arial" w:eastAsia="Arial" w:hAnsi="Arial"/>
                <w:sz w:val="14"/>
                <w:szCs w:val="14"/>
                <w:color w:val="FFFFFF"/>
              </w:rPr>
              <w:t>Awards</w:t>
            </w:r>
          </w:p>
        </w:tc>
        <w:tc>
          <w:tcPr>
            <w:tcW w:w="1020" w:type="dxa"/>
            <w:vAlign w:val="bottom"/>
            <w:shd w:val="clear" w:color="auto" w:fill="000000"/>
          </w:tcPr>
          <w:p>
            <w:pPr>
              <w:ind w:left="100"/>
              <w:spacing w:after="0" w:line="159" w:lineRule="exact"/>
              <w:rPr>
                <w:sz w:val="20"/>
                <w:szCs w:val="20"/>
                <w:color w:val="auto"/>
              </w:rPr>
            </w:pPr>
            <w:r>
              <w:rPr>
                <w:rFonts w:ascii="Arial" w:cs="Arial" w:eastAsia="Arial" w:hAnsi="Arial"/>
                <w:sz w:val="14"/>
                <w:szCs w:val="14"/>
                <w:color w:val="FFFFFF"/>
              </w:rPr>
              <w:t>Awards</w:t>
            </w:r>
          </w:p>
        </w:tc>
        <w:tc>
          <w:tcPr>
            <w:tcW w:w="1180" w:type="dxa"/>
            <w:vAlign w:val="bottom"/>
            <w:shd w:val="clear" w:color="auto" w:fill="000000"/>
          </w:tcPr>
          <w:p>
            <w:pPr>
              <w:ind w:left="80"/>
              <w:spacing w:after="0" w:line="159" w:lineRule="exact"/>
              <w:rPr>
                <w:sz w:val="20"/>
                <w:szCs w:val="20"/>
                <w:color w:val="auto"/>
              </w:rPr>
            </w:pPr>
            <w:r>
              <w:rPr>
                <w:rFonts w:ascii="Arial" w:cs="Arial" w:eastAsia="Arial" w:hAnsi="Arial"/>
                <w:sz w:val="14"/>
                <w:szCs w:val="14"/>
                <w:color w:val="FFFFFF"/>
              </w:rPr>
              <w:t>Incentive Plan</w:t>
            </w:r>
          </w:p>
        </w:tc>
        <w:tc>
          <w:tcPr>
            <w:tcW w:w="1200" w:type="dxa"/>
            <w:vAlign w:val="bottom"/>
            <w:shd w:val="clear" w:color="auto" w:fill="000000"/>
          </w:tcPr>
          <w:p>
            <w:pPr>
              <w:ind w:left="100"/>
              <w:spacing w:after="0" w:line="159" w:lineRule="exact"/>
              <w:rPr>
                <w:sz w:val="20"/>
                <w:szCs w:val="20"/>
                <w:color w:val="auto"/>
              </w:rPr>
            </w:pPr>
            <w:r>
              <w:rPr>
                <w:rFonts w:ascii="Arial" w:cs="Arial" w:eastAsia="Arial" w:hAnsi="Arial"/>
                <w:sz w:val="14"/>
                <w:szCs w:val="14"/>
                <w:color w:val="FFFFFF"/>
              </w:rPr>
              <w:t>Compensation</w:t>
            </w:r>
          </w:p>
        </w:tc>
        <w:tc>
          <w:tcPr>
            <w:tcW w:w="1260" w:type="dxa"/>
            <w:vAlign w:val="bottom"/>
            <w:shd w:val="clear" w:color="auto" w:fill="000000"/>
          </w:tcPr>
          <w:p>
            <w:pPr>
              <w:ind w:left="100"/>
              <w:spacing w:after="0" w:line="159" w:lineRule="exact"/>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60"/>
        </w:trPr>
        <w:tc>
          <w:tcPr>
            <w:tcW w:w="208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000" w:type="dxa"/>
            <w:vAlign w:val="bottom"/>
            <w:shd w:val="clear" w:color="auto" w:fill="000000"/>
          </w:tcPr>
          <w:p>
            <w:pPr>
              <w:ind w:left="80"/>
              <w:spacing w:after="0" w:line="160"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(3)</w:t>
            </w:r>
          </w:p>
        </w:tc>
        <w:tc>
          <w:tcPr>
            <w:tcW w:w="1020" w:type="dxa"/>
            <w:vAlign w:val="bottom"/>
            <w:shd w:val="clear" w:color="auto" w:fill="000000"/>
          </w:tcPr>
          <w:p>
            <w:pPr>
              <w:ind w:left="100"/>
              <w:spacing w:after="0" w:line="160"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(3)</w:t>
            </w:r>
          </w:p>
        </w:tc>
        <w:tc>
          <w:tcPr>
            <w:tcW w:w="1180" w:type="dxa"/>
            <w:vAlign w:val="bottom"/>
            <w:shd w:val="clear" w:color="auto" w:fill="000000"/>
          </w:tcPr>
          <w:p>
            <w:pPr>
              <w:ind w:left="80"/>
              <w:spacing w:after="0" w:line="159" w:lineRule="exact"/>
              <w:rPr>
                <w:sz w:val="20"/>
                <w:szCs w:val="20"/>
                <w:color w:val="auto"/>
              </w:rPr>
            </w:pPr>
            <w:r>
              <w:rPr>
                <w:rFonts w:ascii="Arial" w:cs="Arial" w:eastAsia="Arial" w:hAnsi="Arial"/>
                <w:sz w:val="14"/>
                <w:szCs w:val="14"/>
                <w:color w:val="FFFFFF"/>
              </w:rPr>
              <w:t>Compensation</w:t>
            </w:r>
          </w:p>
        </w:tc>
        <w:tc>
          <w:tcPr>
            <w:tcW w:w="1200" w:type="dxa"/>
            <w:vAlign w:val="bottom"/>
            <w:shd w:val="clear" w:color="auto" w:fill="000000"/>
          </w:tcPr>
          <w:p>
            <w:pPr>
              <w:ind w:left="100"/>
              <w:spacing w:after="0" w:line="160"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(5)</w:t>
            </w:r>
          </w:p>
        </w:tc>
        <w:tc>
          <w:tcPr>
            <w:tcW w:w="12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000000"/>
          </w:tcPr>
          <w:p>
            <w:pPr>
              <w:spacing w:after="0"/>
              <w:rPr>
                <w:sz w:val="20"/>
                <w:szCs w:val="20"/>
                <w:color w:val="auto"/>
              </w:rPr>
            </w:pPr>
          </w:p>
        </w:tc>
        <w:tc>
          <w:tcPr>
            <w:tcW w:w="62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1200" w:type="dxa"/>
            <w:vAlign w:val="bottom"/>
            <w:shd w:val="clear" w:color="auto" w:fill="000000"/>
          </w:tcPr>
          <w:p>
            <w:pPr>
              <w:spacing w:after="0"/>
              <w:rPr>
                <w:sz w:val="20"/>
                <w:szCs w:val="20"/>
                <w:color w:val="auto"/>
              </w:rPr>
            </w:pPr>
          </w:p>
        </w:tc>
        <w:tc>
          <w:tcPr>
            <w:tcW w:w="1000" w:type="dxa"/>
            <w:vAlign w:val="bottom"/>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118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(4)</w:t>
            </w:r>
          </w:p>
        </w:tc>
        <w:tc>
          <w:tcPr>
            <w:tcW w:w="1200" w:type="dxa"/>
            <w:vAlign w:val="bottom"/>
            <w:shd w:val="clear" w:color="auto" w:fill="000000"/>
          </w:tcPr>
          <w:p>
            <w:pPr>
              <w:spacing w:after="0"/>
              <w:rPr>
                <w:sz w:val="20"/>
                <w:szCs w:val="20"/>
                <w:color w:val="auto"/>
              </w:rPr>
            </w:pPr>
          </w:p>
        </w:tc>
        <w:tc>
          <w:tcPr>
            <w:tcW w:w="126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20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1200" w:type="dxa"/>
            <w:vAlign w:val="bottom"/>
            <w:shd w:val="clear" w:color="auto" w:fill="000000"/>
          </w:tcPr>
          <w:p>
            <w:pPr>
              <w:spacing w:after="0"/>
              <w:rPr>
                <w:sz w:val="7"/>
                <w:szCs w:val="7"/>
                <w:color w:val="auto"/>
              </w:rPr>
            </w:pPr>
          </w:p>
        </w:tc>
        <w:tc>
          <w:tcPr>
            <w:tcW w:w="1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Arial" w:cs="Arial" w:eastAsia="Arial" w:hAnsi="Arial"/>
                <w:sz w:val="18"/>
                <w:szCs w:val="18"/>
                <w:color w:val="auto"/>
              </w:rPr>
              <w:t>Peter Rawlinson</w:t>
            </w:r>
          </w:p>
        </w:tc>
        <w:tc>
          <w:tcPr>
            <w:tcW w:w="62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ind w:left="100"/>
              <w:spacing w:after="0"/>
              <w:rPr>
                <w:sz w:val="20"/>
                <w:szCs w:val="20"/>
                <w:color w:val="auto"/>
              </w:rPr>
            </w:pPr>
            <w:r>
              <w:rPr>
                <w:rFonts w:ascii="Arial" w:cs="Arial" w:eastAsia="Arial" w:hAnsi="Arial"/>
                <w:sz w:val="16"/>
                <w:szCs w:val="16"/>
                <w:color w:val="auto"/>
              </w:rPr>
              <w:t>625,000</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814,375</w:t>
            </w:r>
          </w:p>
        </w:tc>
        <w:tc>
          <w:tcPr>
            <w:tcW w:w="1200" w:type="dxa"/>
            <w:vAlign w:val="bottom"/>
          </w:tcPr>
          <w:p>
            <w:pPr>
              <w:ind w:left="100"/>
              <w:spacing w:after="0"/>
              <w:rPr>
                <w:sz w:val="20"/>
                <w:szCs w:val="20"/>
                <w:color w:val="auto"/>
              </w:rPr>
            </w:pPr>
            <w:r>
              <w:rPr>
                <w:rFonts w:ascii="Arial" w:cs="Arial" w:eastAsia="Arial" w:hAnsi="Arial"/>
                <w:sz w:val="16"/>
                <w:szCs w:val="16"/>
                <w:color w:val="auto"/>
              </w:rPr>
              <w:t>51,115</w:t>
            </w:r>
          </w:p>
        </w:tc>
        <w:tc>
          <w:tcPr>
            <w:tcW w:w="1260" w:type="dxa"/>
            <w:vAlign w:val="bottom"/>
          </w:tcPr>
          <w:p>
            <w:pPr>
              <w:ind w:left="100"/>
              <w:spacing w:after="0"/>
              <w:rPr>
                <w:sz w:val="20"/>
                <w:szCs w:val="20"/>
                <w:color w:val="auto"/>
              </w:rPr>
            </w:pPr>
            <w:r>
              <w:rPr>
                <w:rFonts w:ascii="Arial" w:cs="Arial" w:eastAsia="Arial" w:hAnsi="Arial"/>
                <w:sz w:val="16"/>
                <w:szCs w:val="16"/>
                <w:color w:val="auto"/>
              </w:rPr>
              <w:t>1,490,490</w:t>
            </w:r>
          </w:p>
        </w:tc>
        <w:tc>
          <w:tcPr>
            <w:tcW w:w="0" w:type="dxa"/>
            <w:vAlign w:val="bottom"/>
          </w:tcPr>
          <w:p>
            <w:pPr>
              <w:spacing w:after="0"/>
              <w:rPr>
                <w:sz w:val="1"/>
                <w:szCs w:val="1"/>
                <w:color w:val="auto"/>
              </w:rPr>
            </w:pPr>
          </w:p>
        </w:tc>
      </w:tr>
      <w:tr>
        <w:trPr>
          <w:trHeight w:val="219"/>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and Chief Technology</w:t>
            </w:r>
          </w:p>
        </w:tc>
        <w:tc>
          <w:tcPr>
            <w:tcW w:w="620" w:type="dxa"/>
            <w:vAlign w:val="bottom"/>
          </w:tcPr>
          <w:p>
            <w:pPr>
              <w:ind w:left="100"/>
              <w:spacing w:after="0" w:line="180" w:lineRule="exact"/>
              <w:rPr>
                <w:sz w:val="20"/>
                <w:szCs w:val="20"/>
                <w:color w:val="auto"/>
              </w:rPr>
            </w:pPr>
            <w:r>
              <w:rPr>
                <w:rFonts w:ascii="Arial" w:cs="Arial" w:eastAsia="Arial" w:hAnsi="Arial"/>
                <w:sz w:val="16"/>
                <w:szCs w:val="16"/>
                <w:color w:val="auto"/>
              </w:rPr>
              <w:t>2023</w:t>
            </w:r>
          </w:p>
        </w:tc>
        <w:tc>
          <w:tcPr>
            <w:tcW w:w="860" w:type="dxa"/>
            <w:vAlign w:val="bottom"/>
          </w:tcPr>
          <w:p>
            <w:pPr>
              <w:ind w:left="100"/>
              <w:spacing w:after="0" w:line="180" w:lineRule="exact"/>
              <w:rPr>
                <w:sz w:val="20"/>
                <w:szCs w:val="20"/>
                <w:color w:val="auto"/>
              </w:rPr>
            </w:pPr>
            <w:r>
              <w:rPr>
                <w:rFonts w:ascii="Arial" w:cs="Arial" w:eastAsia="Arial" w:hAnsi="Arial"/>
                <w:sz w:val="16"/>
                <w:szCs w:val="16"/>
                <w:color w:val="auto"/>
              </w:rPr>
              <w:t>584,615</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6,000,000</w:t>
            </w:r>
            <w:r>
              <w:rPr>
                <w:rFonts w:ascii="Arial" w:cs="Arial" w:eastAsia="Arial" w:hAnsi="Arial"/>
                <w:sz w:val="19"/>
                <w:szCs w:val="19"/>
                <w:color w:val="auto"/>
                <w:vertAlign w:val="superscript"/>
              </w:rPr>
              <w:t>(6)</w:t>
            </w:r>
          </w:p>
        </w:tc>
        <w:tc>
          <w:tcPr>
            <w:tcW w:w="1000" w:type="dxa"/>
            <w:vAlign w:val="bottom"/>
          </w:tcPr>
          <w:p>
            <w:pPr>
              <w:ind w:left="80"/>
              <w:spacing w:after="0" w:line="180" w:lineRule="exact"/>
              <w:rPr>
                <w:sz w:val="20"/>
                <w:szCs w:val="20"/>
                <w:color w:val="auto"/>
              </w:rPr>
            </w:pPr>
            <w:r>
              <w:rPr>
                <w:rFonts w:ascii="Arial" w:cs="Arial" w:eastAsia="Arial" w:hAnsi="Arial"/>
                <w:sz w:val="16"/>
                <w:szCs w:val="16"/>
                <w:color w:val="auto"/>
              </w:rPr>
              <w:t>—</w:t>
            </w:r>
          </w:p>
        </w:tc>
        <w:tc>
          <w:tcPr>
            <w:tcW w:w="1020" w:type="dxa"/>
            <w:vAlign w:val="bottom"/>
          </w:tcPr>
          <w:p>
            <w:pPr>
              <w:ind w:left="100"/>
              <w:spacing w:after="0" w:line="180" w:lineRule="exact"/>
              <w:rPr>
                <w:sz w:val="20"/>
                <w:szCs w:val="20"/>
                <w:color w:val="auto"/>
              </w:rPr>
            </w:pPr>
            <w:r>
              <w:rPr>
                <w:rFonts w:ascii="Arial" w:cs="Arial" w:eastAsia="Arial" w:hAnsi="Arial"/>
                <w:sz w:val="16"/>
                <w:szCs w:val="16"/>
                <w:color w:val="auto"/>
              </w:rPr>
              <w:t>—</w:t>
            </w:r>
          </w:p>
        </w:tc>
        <w:tc>
          <w:tcPr>
            <w:tcW w:w="1180" w:type="dxa"/>
            <w:vAlign w:val="bottom"/>
          </w:tcPr>
          <w:p>
            <w:pPr>
              <w:ind w:left="80"/>
              <w:spacing w:after="0" w:line="180" w:lineRule="exact"/>
              <w:rPr>
                <w:sz w:val="20"/>
                <w:szCs w:val="20"/>
                <w:color w:val="auto"/>
              </w:rPr>
            </w:pPr>
            <w:r>
              <w:rPr>
                <w:rFonts w:ascii="Arial" w:cs="Arial" w:eastAsia="Arial" w:hAnsi="Arial"/>
                <w:sz w:val="16"/>
                <w:szCs w:val="16"/>
                <w:color w:val="auto"/>
              </w:rPr>
              <w:t>233,377</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19,223</w:t>
            </w:r>
          </w:p>
        </w:tc>
        <w:tc>
          <w:tcPr>
            <w:tcW w:w="1260" w:type="dxa"/>
            <w:vAlign w:val="bottom"/>
          </w:tcPr>
          <w:p>
            <w:pPr>
              <w:ind w:left="100"/>
              <w:spacing w:after="0" w:line="180" w:lineRule="exact"/>
              <w:rPr>
                <w:sz w:val="20"/>
                <w:szCs w:val="20"/>
                <w:color w:val="auto"/>
              </w:rPr>
            </w:pPr>
            <w:r>
              <w:rPr>
                <w:rFonts w:ascii="Arial" w:cs="Arial" w:eastAsia="Arial" w:hAnsi="Arial"/>
                <w:sz w:val="16"/>
                <w:szCs w:val="16"/>
                <w:color w:val="auto"/>
              </w:rPr>
              <w:t>6,837,215</w:t>
            </w:r>
          </w:p>
        </w:tc>
        <w:tc>
          <w:tcPr>
            <w:tcW w:w="0" w:type="dxa"/>
            <w:vAlign w:val="bottom"/>
          </w:tcPr>
          <w:p>
            <w:pPr>
              <w:spacing w:after="0"/>
              <w:rPr>
                <w:sz w:val="1"/>
                <w:szCs w:val="1"/>
                <w:color w:val="auto"/>
              </w:rPr>
            </w:pPr>
          </w:p>
        </w:tc>
      </w:tr>
      <w:tr>
        <w:trPr>
          <w:trHeight w:val="197"/>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Officer</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08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2022</w:t>
            </w:r>
          </w:p>
        </w:tc>
        <w:tc>
          <w:tcPr>
            <w:tcW w:w="860" w:type="dxa"/>
            <w:vAlign w:val="bottom"/>
          </w:tcPr>
          <w:p>
            <w:pPr>
              <w:ind w:left="100"/>
              <w:spacing w:after="0"/>
              <w:rPr>
                <w:sz w:val="20"/>
                <w:szCs w:val="20"/>
                <w:color w:val="auto"/>
              </w:rPr>
            </w:pPr>
            <w:r>
              <w:rPr>
                <w:rFonts w:ascii="Arial" w:cs="Arial" w:eastAsia="Arial" w:hAnsi="Arial"/>
                <w:sz w:val="16"/>
                <w:szCs w:val="16"/>
                <w:color w:val="auto"/>
              </w:rPr>
              <w:t>575,000</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21,430</w:t>
            </w:r>
          </w:p>
        </w:tc>
        <w:tc>
          <w:tcPr>
            <w:tcW w:w="1260" w:type="dxa"/>
            <w:vAlign w:val="bottom"/>
          </w:tcPr>
          <w:p>
            <w:pPr>
              <w:ind w:left="100"/>
              <w:spacing w:after="0"/>
              <w:rPr>
                <w:sz w:val="20"/>
                <w:szCs w:val="20"/>
                <w:color w:val="auto"/>
              </w:rPr>
            </w:pPr>
            <w:r>
              <w:rPr>
                <w:rFonts w:ascii="Arial" w:cs="Arial" w:eastAsia="Arial" w:hAnsi="Arial"/>
                <w:sz w:val="16"/>
                <w:szCs w:val="16"/>
                <w:color w:val="auto"/>
              </w:rPr>
              <w:t>596,430</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2080" w:type="dxa"/>
            <w:vAlign w:val="bottom"/>
          </w:tcPr>
          <w:p>
            <w:pPr>
              <w:ind w:left="180"/>
              <w:spacing w:after="0"/>
              <w:rPr>
                <w:sz w:val="20"/>
                <w:szCs w:val="20"/>
                <w:color w:val="auto"/>
              </w:rPr>
            </w:pPr>
            <w:r>
              <w:rPr>
                <w:rFonts w:ascii="Arial" w:cs="Arial" w:eastAsia="Arial" w:hAnsi="Arial"/>
                <w:sz w:val="18"/>
                <w:szCs w:val="18"/>
                <w:color w:val="auto"/>
              </w:rPr>
              <w:t>Gagan Dhingra</w:t>
            </w:r>
          </w:p>
        </w:tc>
        <w:tc>
          <w:tcPr>
            <w:tcW w:w="62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ind w:left="100"/>
              <w:spacing w:after="0"/>
              <w:rPr>
                <w:sz w:val="20"/>
                <w:szCs w:val="20"/>
                <w:color w:val="auto"/>
              </w:rPr>
            </w:pPr>
            <w:r>
              <w:rPr>
                <w:rFonts w:ascii="Arial" w:cs="Arial" w:eastAsia="Arial" w:hAnsi="Arial"/>
                <w:sz w:val="16"/>
                <w:szCs w:val="16"/>
                <w:color w:val="auto"/>
              </w:rPr>
              <w:t>397,231</w:t>
            </w:r>
          </w:p>
        </w:tc>
        <w:tc>
          <w:tcPr>
            <w:tcW w:w="1200" w:type="dxa"/>
            <w:vAlign w:val="bottom"/>
          </w:tcPr>
          <w:p>
            <w:pPr>
              <w:ind w:left="100"/>
              <w:spacing w:after="0"/>
              <w:rPr>
                <w:sz w:val="20"/>
                <w:szCs w:val="20"/>
                <w:color w:val="auto"/>
              </w:rPr>
            </w:pPr>
            <w:r>
              <w:rPr>
                <w:rFonts w:ascii="Arial" w:cs="Arial" w:eastAsia="Arial" w:hAnsi="Arial"/>
                <w:sz w:val="16"/>
                <w:szCs w:val="16"/>
                <w:color w:val="auto"/>
              </w:rPr>
              <w:t>200,000</w:t>
            </w:r>
            <w:r>
              <w:rPr>
                <w:rFonts w:ascii="Arial" w:cs="Arial" w:eastAsia="Arial" w:hAnsi="Arial"/>
                <w:sz w:val="19"/>
                <w:szCs w:val="19"/>
                <w:color w:val="auto"/>
                <w:vertAlign w:val="superscript"/>
              </w:rPr>
              <w:t>(7)</w:t>
            </w:r>
          </w:p>
        </w:tc>
        <w:tc>
          <w:tcPr>
            <w:tcW w:w="1000" w:type="dxa"/>
            <w:vAlign w:val="bottom"/>
          </w:tcPr>
          <w:p>
            <w:pPr>
              <w:ind w:left="80"/>
              <w:spacing w:after="0"/>
              <w:rPr>
                <w:sz w:val="20"/>
                <w:szCs w:val="20"/>
                <w:color w:val="auto"/>
              </w:rPr>
            </w:pPr>
            <w:r>
              <w:rPr>
                <w:rFonts w:ascii="Arial" w:cs="Arial" w:eastAsia="Arial" w:hAnsi="Arial"/>
                <w:sz w:val="16"/>
                <w:szCs w:val="16"/>
                <w:color w:val="auto"/>
              </w:rPr>
              <w:t>3,287,166</w:t>
            </w:r>
          </w:p>
        </w:tc>
        <w:tc>
          <w:tcPr>
            <w:tcW w:w="10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6"/>
                <w:szCs w:val="16"/>
                <w:color w:val="auto"/>
              </w:rPr>
              <w:t>390,900</w:t>
            </w:r>
          </w:p>
        </w:tc>
        <w:tc>
          <w:tcPr>
            <w:tcW w:w="1200" w:type="dxa"/>
            <w:vAlign w:val="bottom"/>
          </w:tcPr>
          <w:p>
            <w:pPr>
              <w:ind w:left="100"/>
              <w:spacing w:after="0"/>
              <w:rPr>
                <w:sz w:val="20"/>
                <w:szCs w:val="20"/>
                <w:color w:val="auto"/>
              </w:rPr>
            </w:pPr>
            <w:r>
              <w:rPr>
                <w:rFonts w:ascii="Arial" w:cs="Arial" w:eastAsia="Arial" w:hAnsi="Arial"/>
                <w:sz w:val="16"/>
                <w:szCs w:val="16"/>
                <w:color w:val="auto"/>
              </w:rPr>
              <w:t>337,614</w:t>
            </w:r>
          </w:p>
        </w:tc>
        <w:tc>
          <w:tcPr>
            <w:tcW w:w="1260" w:type="dxa"/>
            <w:vAlign w:val="bottom"/>
          </w:tcPr>
          <w:p>
            <w:pPr>
              <w:ind w:left="100"/>
              <w:spacing w:after="0"/>
              <w:rPr>
                <w:sz w:val="20"/>
                <w:szCs w:val="20"/>
                <w:color w:val="auto"/>
              </w:rPr>
            </w:pPr>
            <w:r>
              <w:rPr>
                <w:rFonts w:ascii="Arial" w:cs="Arial" w:eastAsia="Arial" w:hAnsi="Arial"/>
                <w:sz w:val="16"/>
                <w:szCs w:val="16"/>
                <w:color w:val="auto"/>
              </w:rPr>
              <w:t>4,612,911</w:t>
            </w: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Interim Chief Financial</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Officer and Vice</w:t>
            </w:r>
          </w:p>
        </w:tc>
        <w:tc>
          <w:tcPr>
            <w:tcW w:w="620" w:type="dxa"/>
            <w:vAlign w:val="bottom"/>
          </w:tcPr>
          <w:p>
            <w:pPr>
              <w:ind w:left="100"/>
              <w:spacing w:after="0" w:line="180" w:lineRule="exact"/>
              <w:rPr>
                <w:sz w:val="20"/>
                <w:szCs w:val="20"/>
                <w:color w:val="auto"/>
              </w:rPr>
            </w:pPr>
            <w:r>
              <w:rPr>
                <w:rFonts w:ascii="Arial" w:cs="Arial" w:eastAsia="Arial" w:hAnsi="Arial"/>
                <w:sz w:val="16"/>
                <w:szCs w:val="16"/>
                <w:color w:val="auto"/>
              </w:rPr>
              <w:t>2023</w:t>
            </w:r>
          </w:p>
        </w:tc>
        <w:tc>
          <w:tcPr>
            <w:tcW w:w="860" w:type="dxa"/>
            <w:vAlign w:val="bottom"/>
          </w:tcPr>
          <w:p>
            <w:pPr>
              <w:ind w:left="100"/>
              <w:spacing w:after="0" w:line="180" w:lineRule="exact"/>
              <w:rPr>
                <w:sz w:val="20"/>
                <w:szCs w:val="20"/>
                <w:color w:val="auto"/>
              </w:rPr>
            </w:pPr>
            <w:r>
              <w:rPr>
                <w:rFonts w:ascii="Arial" w:cs="Arial" w:eastAsia="Arial" w:hAnsi="Arial"/>
                <w:sz w:val="16"/>
                <w:szCs w:val="16"/>
                <w:color w:val="auto"/>
              </w:rPr>
              <w:t>377,768</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68,000</w:t>
            </w:r>
          </w:p>
        </w:tc>
        <w:tc>
          <w:tcPr>
            <w:tcW w:w="1000" w:type="dxa"/>
            <w:vAlign w:val="bottom"/>
          </w:tcPr>
          <w:p>
            <w:pPr>
              <w:ind w:left="80"/>
              <w:spacing w:after="0" w:line="180" w:lineRule="exact"/>
              <w:rPr>
                <w:sz w:val="20"/>
                <w:szCs w:val="20"/>
                <w:color w:val="auto"/>
              </w:rPr>
            </w:pPr>
            <w:r>
              <w:rPr>
                <w:rFonts w:ascii="Arial" w:cs="Arial" w:eastAsia="Arial" w:hAnsi="Arial"/>
                <w:sz w:val="16"/>
                <w:szCs w:val="16"/>
                <w:color w:val="auto"/>
              </w:rPr>
              <w:t>2,529,876</w:t>
            </w:r>
          </w:p>
        </w:tc>
        <w:tc>
          <w:tcPr>
            <w:tcW w:w="1020" w:type="dxa"/>
            <w:vAlign w:val="bottom"/>
          </w:tcPr>
          <w:p>
            <w:pPr>
              <w:ind w:left="100"/>
              <w:spacing w:after="0" w:line="180" w:lineRule="exact"/>
              <w:rPr>
                <w:sz w:val="20"/>
                <w:szCs w:val="20"/>
                <w:color w:val="auto"/>
              </w:rPr>
            </w:pPr>
            <w:r>
              <w:rPr>
                <w:rFonts w:ascii="Arial" w:cs="Arial" w:eastAsia="Arial" w:hAnsi="Arial"/>
                <w:sz w:val="16"/>
                <w:szCs w:val="16"/>
                <w:color w:val="auto"/>
              </w:rPr>
              <w:t>430,229</w:t>
            </w:r>
          </w:p>
        </w:tc>
        <w:tc>
          <w:tcPr>
            <w:tcW w:w="1180" w:type="dxa"/>
            <w:vAlign w:val="bottom"/>
          </w:tcPr>
          <w:p>
            <w:pPr>
              <w:ind w:left="80"/>
              <w:spacing w:after="0" w:line="180" w:lineRule="exact"/>
              <w:rPr>
                <w:sz w:val="20"/>
                <w:szCs w:val="20"/>
                <w:color w:val="auto"/>
              </w:rPr>
            </w:pPr>
            <w:r>
              <w:rPr>
                <w:rFonts w:ascii="Arial" w:cs="Arial" w:eastAsia="Arial" w:hAnsi="Arial"/>
                <w:sz w:val="16"/>
                <w:szCs w:val="16"/>
                <w:color w:val="auto"/>
              </w:rPr>
              <w:t>71,319</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73,384</w:t>
            </w:r>
          </w:p>
        </w:tc>
        <w:tc>
          <w:tcPr>
            <w:tcW w:w="1260" w:type="dxa"/>
            <w:vAlign w:val="bottom"/>
          </w:tcPr>
          <w:p>
            <w:pPr>
              <w:ind w:left="100"/>
              <w:spacing w:after="0" w:line="180" w:lineRule="exact"/>
              <w:rPr>
                <w:sz w:val="20"/>
                <w:szCs w:val="20"/>
                <w:color w:val="auto"/>
              </w:rPr>
            </w:pPr>
            <w:r>
              <w:rPr>
                <w:rFonts w:ascii="Arial" w:cs="Arial" w:eastAsia="Arial" w:hAnsi="Arial"/>
                <w:sz w:val="16"/>
                <w:szCs w:val="16"/>
                <w:color w:val="auto"/>
              </w:rPr>
              <w:t>3,550,576</w:t>
            </w: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President of</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Accounting and</w:t>
            </w:r>
          </w:p>
        </w:tc>
        <w:tc>
          <w:tcPr>
            <w:tcW w:w="620" w:type="dxa"/>
            <w:vAlign w:val="bottom"/>
            <w:vMerge w:val="restart"/>
          </w:tcPr>
          <w:p>
            <w:pPr>
              <w:ind w:left="100"/>
              <w:spacing w:after="0"/>
              <w:rPr>
                <w:sz w:val="20"/>
                <w:szCs w:val="20"/>
                <w:color w:val="auto"/>
              </w:rPr>
            </w:pPr>
            <w:r>
              <w:rPr>
                <w:rFonts w:ascii="Arial" w:cs="Arial" w:eastAsia="Arial" w:hAnsi="Arial"/>
                <w:sz w:val="16"/>
                <w:szCs w:val="16"/>
                <w:color w:val="auto"/>
              </w:rPr>
              <w:t>2022</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7"/>
        </w:trPr>
        <w:tc>
          <w:tcPr>
            <w:tcW w:w="2080" w:type="dxa"/>
            <w:vAlign w:val="bottom"/>
            <w:vMerge w:val="restart"/>
          </w:tcPr>
          <w:p>
            <w:pPr>
              <w:ind w:left="180"/>
              <w:spacing w:after="0" w:line="180" w:lineRule="exact"/>
              <w:rPr>
                <w:sz w:val="20"/>
                <w:szCs w:val="20"/>
                <w:color w:val="auto"/>
              </w:rPr>
            </w:pPr>
            <w:r>
              <w:rPr>
                <w:rFonts w:ascii="Arial" w:cs="Arial" w:eastAsia="Arial" w:hAnsi="Arial"/>
                <w:sz w:val="16"/>
                <w:szCs w:val="16"/>
                <w:i w:val="1"/>
                <w:iCs w:val="1"/>
                <w:color w:val="auto"/>
              </w:rPr>
              <w:t>Principal Accounting</w:t>
            </w: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Officer</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2080" w:type="dxa"/>
            <w:vAlign w:val="bottom"/>
          </w:tcPr>
          <w:p>
            <w:pPr>
              <w:ind w:left="180"/>
              <w:spacing w:after="0"/>
              <w:rPr>
                <w:sz w:val="20"/>
                <w:szCs w:val="20"/>
                <w:color w:val="auto"/>
              </w:rPr>
            </w:pPr>
            <w:r>
              <w:rPr>
                <w:rFonts w:ascii="Arial" w:cs="Arial" w:eastAsia="Arial" w:hAnsi="Arial"/>
                <w:sz w:val="18"/>
                <w:szCs w:val="18"/>
                <w:color w:val="auto"/>
              </w:rPr>
              <w:t>Marc Winterhoff</w:t>
            </w:r>
          </w:p>
        </w:tc>
        <w:tc>
          <w:tcPr>
            <w:tcW w:w="62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ind w:left="100"/>
              <w:spacing w:after="0"/>
              <w:rPr>
                <w:sz w:val="20"/>
                <w:szCs w:val="20"/>
                <w:color w:val="auto"/>
              </w:rPr>
            </w:pPr>
            <w:r>
              <w:rPr>
                <w:rFonts w:ascii="Arial" w:cs="Arial" w:eastAsia="Arial" w:hAnsi="Arial"/>
                <w:sz w:val="16"/>
                <w:szCs w:val="16"/>
                <w:color w:val="auto"/>
              </w:rPr>
              <w:t>595,000</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5,320,323</w:t>
            </w:r>
          </w:p>
        </w:tc>
        <w:tc>
          <w:tcPr>
            <w:tcW w:w="10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6"/>
                <w:szCs w:val="16"/>
                <w:color w:val="auto"/>
              </w:rPr>
              <w:t>697,757</w:t>
            </w:r>
          </w:p>
        </w:tc>
        <w:tc>
          <w:tcPr>
            <w:tcW w:w="1200" w:type="dxa"/>
            <w:vAlign w:val="bottom"/>
          </w:tcPr>
          <w:p>
            <w:pPr>
              <w:ind w:left="100"/>
              <w:spacing w:after="0"/>
              <w:rPr>
                <w:sz w:val="20"/>
                <w:szCs w:val="20"/>
                <w:color w:val="auto"/>
              </w:rPr>
            </w:pPr>
            <w:r>
              <w:rPr>
                <w:rFonts w:ascii="Arial" w:cs="Arial" w:eastAsia="Arial" w:hAnsi="Arial"/>
                <w:sz w:val="16"/>
                <w:szCs w:val="16"/>
                <w:color w:val="auto"/>
              </w:rPr>
              <w:t>32,712</w:t>
            </w:r>
          </w:p>
        </w:tc>
        <w:tc>
          <w:tcPr>
            <w:tcW w:w="1260" w:type="dxa"/>
            <w:vAlign w:val="bottom"/>
          </w:tcPr>
          <w:p>
            <w:pPr>
              <w:ind w:left="100"/>
              <w:spacing w:after="0"/>
              <w:rPr>
                <w:sz w:val="20"/>
                <w:szCs w:val="20"/>
                <w:color w:val="auto"/>
              </w:rPr>
            </w:pPr>
            <w:r>
              <w:rPr>
                <w:rFonts w:ascii="Arial" w:cs="Arial" w:eastAsia="Arial" w:hAnsi="Arial"/>
                <w:sz w:val="16"/>
                <w:szCs w:val="16"/>
                <w:color w:val="auto"/>
              </w:rPr>
              <w:t>6,645,792</w:t>
            </w:r>
          </w:p>
        </w:tc>
        <w:tc>
          <w:tcPr>
            <w:tcW w:w="0" w:type="dxa"/>
            <w:vAlign w:val="bottom"/>
          </w:tcPr>
          <w:p>
            <w:pPr>
              <w:spacing w:after="0"/>
              <w:rPr>
                <w:sz w:val="1"/>
                <w:szCs w:val="1"/>
                <w:color w:val="auto"/>
              </w:rPr>
            </w:pPr>
          </w:p>
        </w:tc>
      </w:tr>
      <w:tr>
        <w:trPr>
          <w:trHeight w:val="235"/>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Chief Operating Officer</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ind w:left="100"/>
              <w:spacing w:after="0"/>
              <w:rPr>
                <w:sz w:val="20"/>
                <w:szCs w:val="20"/>
                <w:color w:val="auto"/>
              </w:rPr>
            </w:pPr>
            <w:r>
              <w:rPr>
                <w:rFonts w:ascii="Arial" w:cs="Arial" w:eastAsia="Arial" w:hAnsi="Arial"/>
                <w:sz w:val="16"/>
                <w:szCs w:val="16"/>
                <w:color w:val="auto"/>
              </w:rPr>
              <w:t>22,884</w:t>
            </w:r>
          </w:p>
        </w:tc>
        <w:tc>
          <w:tcPr>
            <w:tcW w:w="1200" w:type="dxa"/>
            <w:vAlign w:val="bottom"/>
          </w:tcPr>
          <w:p>
            <w:pPr>
              <w:ind w:left="100"/>
              <w:spacing w:after="0"/>
              <w:rPr>
                <w:sz w:val="20"/>
                <w:szCs w:val="20"/>
                <w:color w:val="auto"/>
              </w:rPr>
            </w:pPr>
            <w:r>
              <w:rPr>
                <w:rFonts w:ascii="Arial" w:cs="Arial" w:eastAsia="Arial" w:hAnsi="Arial"/>
                <w:sz w:val="16"/>
                <w:szCs w:val="16"/>
                <w:color w:val="auto"/>
              </w:rPr>
              <w:t>3,350,000</w:t>
            </w:r>
          </w:p>
        </w:tc>
        <w:tc>
          <w:tcPr>
            <w:tcW w:w="1000" w:type="dxa"/>
            <w:vAlign w:val="bottom"/>
          </w:tcPr>
          <w:p>
            <w:pPr>
              <w:ind w:left="80"/>
              <w:spacing w:after="0"/>
              <w:rPr>
                <w:sz w:val="20"/>
                <w:szCs w:val="20"/>
                <w:color w:val="auto"/>
              </w:rPr>
            </w:pPr>
            <w:r>
              <w:rPr>
                <w:rFonts w:ascii="Arial" w:cs="Arial" w:eastAsia="Arial" w:hAnsi="Arial"/>
                <w:sz w:val="16"/>
                <w:szCs w:val="16"/>
                <w:color w:val="auto"/>
              </w:rPr>
              <w:t>3,112,651</w:t>
            </w:r>
          </w:p>
        </w:tc>
        <w:tc>
          <w:tcPr>
            <w:tcW w:w="1020" w:type="dxa"/>
            <w:vAlign w:val="bottom"/>
          </w:tcPr>
          <w:p>
            <w:pPr>
              <w:ind w:left="100"/>
              <w:spacing w:after="0"/>
              <w:rPr>
                <w:sz w:val="20"/>
                <w:szCs w:val="20"/>
                <w:color w:val="auto"/>
              </w:rPr>
            </w:pPr>
            <w:r>
              <w:rPr>
                <w:rFonts w:ascii="Arial" w:cs="Arial" w:eastAsia="Arial" w:hAnsi="Arial"/>
                <w:sz w:val="16"/>
                <w:szCs w:val="16"/>
                <w:color w:val="auto"/>
              </w:rPr>
              <w:t>2,006,087</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70</w:t>
            </w:r>
          </w:p>
        </w:tc>
        <w:tc>
          <w:tcPr>
            <w:tcW w:w="1260" w:type="dxa"/>
            <w:vAlign w:val="bottom"/>
          </w:tcPr>
          <w:p>
            <w:pPr>
              <w:ind w:left="100"/>
              <w:spacing w:after="0"/>
              <w:rPr>
                <w:sz w:val="20"/>
                <w:szCs w:val="20"/>
                <w:color w:val="auto"/>
              </w:rPr>
            </w:pPr>
            <w:r>
              <w:rPr>
                <w:rFonts w:ascii="Arial" w:cs="Arial" w:eastAsia="Arial" w:hAnsi="Arial"/>
                <w:sz w:val="16"/>
                <w:szCs w:val="16"/>
                <w:color w:val="auto"/>
              </w:rPr>
              <w:t>8,491,692</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2022</w:t>
            </w:r>
          </w:p>
        </w:tc>
        <w:tc>
          <w:tcPr>
            <w:tcW w:w="86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2080" w:type="dxa"/>
            <w:vAlign w:val="bottom"/>
          </w:tcPr>
          <w:p>
            <w:pPr>
              <w:ind w:left="180"/>
              <w:spacing w:after="0"/>
              <w:rPr>
                <w:sz w:val="20"/>
                <w:szCs w:val="20"/>
                <w:color w:val="auto"/>
              </w:rPr>
            </w:pPr>
            <w:r>
              <w:rPr>
                <w:rFonts w:ascii="Arial" w:cs="Arial" w:eastAsia="Arial" w:hAnsi="Arial"/>
                <w:sz w:val="18"/>
                <w:szCs w:val="18"/>
                <w:color w:val="auto"/>
              </w:rPr>
              <w:t>Eric Bach</w:t>
            </w:r>
          </w:p>
        </w:tc>
        <w:tc>
          <w:tcPr>
            <w:tcW w:w="62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ind w:left="100"/>
              <w:spacing w:after="0"/>
              <w:rPr>
                <w:sz w:val="20"/>
                <w:szCs w:val="20"/>
                <w:color w:val="auto"/>
              </w:rPr>
            </w:pPr>
            <w:r>
              <w:rPr>
                <w:rFonts w:ascii="Arial" w:cs="Arial" w:eastAsia="Arial" w:hAnsi="Arial"/>
                <w:sz w:val="16"/>
                <w:szCs w:val="16"/>
                <w:color w:val="auto"/>
              </w:rPr>
              <w:t>598,077</w:t>
            </w:r>
          </w:p>
        </w:tc>
        <w:tc>
          <w:tcPr>
            <w:tcW w:w="120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Arial" w:cs="Arial" w:eastAsia="Arial" w:hAnsi="Arial"/>
                <w:sz w:val="16"/>
                <w:szCs w:val="16"/>
                <w:color w:val="auto"/>
              </w:rPr>
              <w:t>9,861,505</w:t>
            </w:r>
          </w:p>
        </w:tc>
        <w:tc>
          <w:tcPr>
            <w:tcW w:w="10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6"/>
                <w:szCs w:val="16"/>
                <w:color w:val="auto"/>
              </w:rPr>
              <w:t>591,236</w:t>
            </w:r>
          </w:p>
        </w:tc>
        <w:tc>
          <w:tcPr>
            <w:tcW w:w="1200" w:type="dxa"/>
            <w:vAlign w:val="bottom"/>
          </w:tcPr>
          <w:p>
            <w:pPr>
              <w:ind w:left="100"/>
              <w:spacing w:after="0"/>
              <w:rPr>
                <w:sz w:val="20"/>
                <w:szCs w:val="20"/>
                <w:color w:val="auto"/>
              </w:rPr>
            </w:pPr>
            <w:r>
              <w:rPr>
                <w:rFonts w:ascii="Arial" w:cs="Arial" w:eastAsia="Arial" w:hAnsi="Arial"/>
                <w:sz w:val="16"/>
                <w:szCs w:val="16"/>
                <w:color w:val="auto"/>
              </w:rPr>
              <w:t>141,660</w:t>
            </w:r>
          </w:p>
        </w:tc>
        <w:tc>
          <w:tcPr>
            <w:tcW w:w="1260" w:type="dxa"/>
            <w:vAlign w:val="bottom"/>
          </w:tcPr>
          <w:p>
            <w:pPr>
              <w:ind w:left="100"/>
              <w:spacing w:after="0"/>
              <w:rPr>
                <w:sz w:val="20"/>
                <w:szCs w:val="20"/>
                <w:color w:val="auto"/>
              </w:rPr>
            </w:pPr>
            <w:r>
              <w:rPr>
                <w:rFonts w:ascii="Arial" w:cs="Arial" w:eastAsia="Arial" w:hAnsi="Arial"/>
                <w:sz w:val="16"/>
                <w:szCs w:val="16"/>
                <w:color w:val="auto"/>
              </w:rPr>
              <w:t>11,192,478</w:t>
            </w:r>
          </w:p>
        </w:tc>
        <w:tc>
          <w:tcPr>
            <w:tcW w:w="0" w:type="dxa"/>
            <w:vAlign w:val="bottom"/>
          </w:tcPr>
          <w:p>
            <w:pPr>
              <w:spacing w:after="0"/>
              <w:rPr>
                <w:sz w:val="1"/>
                <w:szCs w:val="1"/>
                <w:color w:val="auto"/>
              </w:rPr>
            </w:pPr>
          </w:p>
        </w:tc>
      </w:tr>
      <w:tr>
        <w:trPr>
          <w:trHeight w:val="219"/>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Senior Vice President,</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180"/>
              <w:spacing w:after="0" w:line="180" w:lineRule="exact"/>
              <w:rPr>
                <w:sz w:val="20"/>
                <w:szCs w:val="20"/>
                <w:color w:val="auto"/>
              </w:rPr>
            </w:pPr>
            <w:r>
              <w:rPr>
                <w:rFonts w:ascii="Arial" w:cs="Arial" w:eastAsia="Arial" w:hAnsi="Arial"/>
                <w:sz w:val="16"/>
                <w:szCs w:val="16"/>
                <w:i w:val="1"/>
                <w:iCs w:val="1"/>
                <w:color w:val="auto"/>
              </w:rPr>
              <w:t>Product and Chief</w:t>
            </w:r>
          </w:p>
        </w:tc>
        <w:tc>
          <w:tcPr>
            <w:tcW w:w="620" w:type="dxa"/>
            <w:vAlign w:val="bottom"/>
          </w:tcPr>
          <w:p>
            <w:pPr>
              <w:ind w:left="100"/>
              <w:spacing w:after="0" w:line="180" w:lineRule="exact"/>
              <w:rPr>
                <w:sz w:val="20"/>
                <w:szCs w:val="20"/>
                <w:color w:val="auto"/>
              </w:rPr>
            </w:pPr>
            <w:r>
              <w:rPr>
                <w:rFonts w:ascii="Arial" w:cs="Arial" w:eastAsia="Arial" w:hAnsi="Arial"/>
                <w:sz w:val="16"/>
                <w:szCs w:val="16"/>
                <w:color w:val="auto"/>
              </w:rPr>
              <w:t>2023</w:t>
            </w:r>
          </w:p>
        </w:tc>
        <w:tc>
          <w:tcPr>
            <w:tcW w:w="860" w:type="dxa"/>
            <w:vAlign w:val="bottom"/>
          </w:tcPr>
          <w:p>
            <w:pPr>
              <w:ind w:left="100"/>
              <w:spacing w:after="0" w:line="180" w:lineRule="exact"/>
              <w:rPr>
                <w:sz w:val="20"/>
                <w:szCs w:val="20"/>
                <w:color w:val="auto"/>
              </w:rPr>
            </w:pPr>
            <w:r>
              <w:rPr>
                <w:rFonts w:ascii="Arial" w:cs="Arial" w:eastAsia="Arial" w:hAnsi="Arial"/>
                <w:sz w:val="16"/>
                <w:szCs w:val="16"/>
                <w:color w:val="auto"/>
              </w:rPr>
              <w:t>534,423</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1,000,000</w:t>
            </w:r>
            <w:r>
              <w:rPr>
                <w:rFonts w:ascii="Arial" w:cs="Arial" w:eastAsia="Arial" w:hAnsi="Arial"/>
                <w:sz w:val="19"/>
                <w:szCs w:val="19"/>
                <w:color w:val="auto"/>
                <w:vertAlign w:val="superscript"/>
              </w:rPr>
              <w:t>(6)</w:t>
            </w:r>
          </w:p>
        </w:tc>
        <w:tc>
          <w:tcPr>
            <w:tcW w:w="1000" w:type="dxa"/>
            <w:vAlign w:val="bottom"/>
          </w:tcPr>
          <w:p>
            <w:pPr>
              <w:ind w:left="80"/>
              <w:spacing w:after="0" w:line="180" w:lineRule="exact"/>
              <w:rPr>
                <w:sz w:val="20"/>
                <w:szCs w:val="20"/>
                <w:color w:val="auto"/>
              </w:rPr>
            </w:pPr>
            <w:r>
              <w:rPr>
                <w:rFonts w:ascii="Arial" w:cs="Arial" w:eastAsia="Arial" w:hAnsi="Arial"/>
                <w:sz w:val="16"/>
                <w:szCs w:val="16"/>
                <w:color w:val="auto"/>
              </w:rPr>
              <w:t>7,159,781</w:t>
            </w:r>
          </w:p>
        </w:tc>
        <w:tc>
          <w:tcPr>
            <w:tcW w:w="1020" w:type="dxa"/>
            <w:vAlign w:val="bottom"/>
          </w:tcPr>
          <w:p>
            <w:pPr>
              <w:ind w:left="100"/>
              <w:spacing w:after="0" w:line="180" w:lineRule="exact"/>
              <w:rPr>
                <w:sz w:val="20"/>
                <w:szCs w:val="20"/>
                <w:color w:val="auto"/>
              </w:rPr>
            </w:pPr>
            <w:r>
              <w:rPr>
                <w:rFonts w:ascii="Arial" w:cs="Arial" w:eastAsia="Arial" w:hAnsi="Arial"/>
                <w:sz w:val="16"/>
                <w:szCs w:val="16"/>
                <w:color w:val="auto"/>
              </w:rPr>
              <w:t>1,548,832</w:t>
            </w:r>
          </w:p>
        </w:tc>
        <w:tc>
          <w:tcPr>
            <w:tcW w:w="1180" w:type="dxa"/>
            <w:vAlign w:val="bottom"/>
          </w:tcPr>
          <w:p>
            <w:pPr>
              <w:ind w:left="80"/>
              <w:spacing w:after="0" w:line="180" w:lineRule="exact"/>
              <w:rPr>
                <w:sz w:val="20"/>
                <w:szCs w:val="20"/>
                <w:color w:val="auto"/>
              </w:rPr>
            </w:pPr>
            <w:r>
              <w:rPr>
                <w:rFonts w:ascii="Arial" w:cs="Arial" w:eastAsia="Arial" w:hAnsi="Arial"/>
                <w:sz w:val="16"/>
                <w:szCs w:val="16"/>
                <w:color w:val="auto"/>
              </w:rPr>
              <w:t>196,035</w:t>
            </w:r>
          </w:p>
        </w:tc>
        <w:tc>
          <w:tcPr>
            <w:tcW w:w="1200" w:type="dxa"/>
            <w:vAlign w:val="bottom"/>
          </w:tcPr>
          <w:p>
            <w:pPr>
              <w:ind w:left="100"/>
              <w:spacing w:after="0" w:line="180" w:lineRule="exact"/>
              <w:rPr>
                <w:sz w:val="20"/>
                <w:szCs w:val="20"/>
                <w:color w:val="auto"/>
              </w:rPr>
            </w:pPr>
            <w:r>
              <w:rPr>
                <w:rFonts w:ascii="Arial" w:cs="Arial" w:eastAsia="Arial" w:hAnsi="Arial"/>
                <w:sz w:val="16"/>
                <w:szCs w:val="16"/>
                <w:color w:val="auto"/>
              </w:rPr>
              <w:t>872</w:t>
            </w:r>
          </w:p>
        </w:tc>
        <w:tc>
          <w:tcPr>
            <w:tcW w:w="1260" w:type="dxa"/>
            <w:vAlign w:val="bottom"/>
          </w:tcPr>
          <w:p>
            <w:pPr>
              <w:ind w:left="100"/>
              <w:spacing w:after="0" w:line="180" w:lineRule="exact"/>
              <w:rPr>
                <w:sz w:val="20"/>
                <w:szCs w:val="20"/>
                <w:color w:val="auto"/>
              </w:rPr>
            </w:pPr>
            <w:r>
              <w:rPr>
                <w:rFonts w:ascii="Arial" w:cs="Arial" w:eastAsia="Arial" w:hAnsi="Arial"/>
                <w:sz w:val="16"/>
                <w:szCs w:val="16"/>
                <w:color w:val="auto"/>
              </w:rPr>
              <w:t>10,439,943</w:t>
            </w:r>
          </w:p>
        </w:tc>
        <w:tc>
          <w:tcPr>
            <w:tcW w:w="0" w:type="dxa"/>
            <w:vAlign w:val="bottom"/>
          </w:tcPr>
          <w:p>
            <w:pPr>
              <w:spacing w:after="0"/>
              <w:rPr>
                <w:sz w:val="1"/>
                <w:szCs w:val="1"/>
                <w:color w:val="auto"/>
              </w:rPr>
            </w:pPr>
          </w:p>
        </w:tc>
      </w:tr>
      <w:tr>
        <w:trPr>
          <w:trHeight w:val="197"/>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Engineer</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08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2022</w:t>
            </w:r>
          </w:p>
        </w:tc>
        <w:tc>
          <w:tcPr>
            <w:tcW w:w="860" w:type="dxa"/>
            <w:vAlign w:val="bottom"/>
          </w:tcPr>
          <w:p>
            <w:pPr>
              <w:ind w:left="100"/>
              <w:spacing w:after="0"/>
              <w:rPr>
                <w:sz w:val="20"/>
                <w:szCs w:val="20"/>
                <w:color w:val="auto"/>
              </w:rPr>
            </w:pPr>
            <w:r>
              <w:rPr>
                <w:rFonts w:ascii="Arial" w:cs="Arial" w:eastAsia="Arial" w:hAnsi="Arial"/>
                <w:sz w:val="16"/>
                <w:szCs w:val="16"/>
                <w:color w:val="auto"/>
              </w:rPr>
              <w:t>488,942</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5,249,436</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5,738,378</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2080" w:type="dxa"/>
            <w:vAlign w:val="bottom"/>
          </w:tcPr>
          <w:p>
            <w:pPr>
              <w:ind w:left="180"/>
              <w:spacing w:after="0"/>
              <w:rPr>
                <w:sz w:val="20"/>
                <w:szCs w:val="20"/>
                <w:color w:val="auto"/>
              </w:rPr>
            </w:pPr>
            <w:r>
              <w:rPr>
                <w:rFonts w:ascii="Arial" w:cs="Arial" w:eastAsia="Arial" w:hAnsi="Arial"/>
                <w:sz w:val="18"/>
                <w:szCs w:val="18"/>
                <w:color w:val="auto"/>
              </w:rPr>
              <w:t>Michael Bell</w:t>
            </w:r>
          </w:p>
        </w:tc>
        <w:tc>
          <w:tcPr>
            <w:tcW w:w="620" w:type="dxa"/>
            <w:vAlign w:val="bottom"/>
          </w:tcPr>
          <w:p>
            <w:pPr>
              <w:ind w:left="100"/>
              <w:spacing w:after="0"/>
              <w:rPr>
                <w:sz w:val="20"/>
                <w:szCs w:val="20"/>
                <w:color w:val="auto"/>
              </w:rPr>
            </w:pPr>
            <w:r>
              <w:rPr>
                <w:rFonts w:ascii="Arial" w:cs="Arial" w:eastAsia="Arial" w:hAnsi="Arial"/>
                <w:sz w:val="16"/>
                <w:szCs w:val="16"/>
                <w:color w:val="auto"/>
              </w:rPr>
              <w:t>2024</w:t>
            </w:r>
          </w:p>
        </w:tc>
        <w:tc>
          <w:tcPr>
            <w:tcW w:w="860" w:type="dxa"/>
            <w:vAlign w:val="bottom"/>
          </w:tcPr>
          <w:p>
            <w:pPr>
              <w:ind w:left="100"/>
              <w:spacing w:after="0"/>
              <w:rPr>
                <w:sz w:val="20"/>
                <w:szCs w:val="20"/>
                <w:color w:val="auto"/>
              </w:rPr>
            </w:pPr>
            <w:r>
              <w:rPr>
                <w:rFonts w:ascii="Arial" w:cs="Arial" w:eastAsia="Arial" w:hAnsi="Arial"/>
                <w:sz w:val="16"/>
                <w:szCs w:val="16"/>
                <w:color w:val="auto"/>
              </w:rPr>
              <w:t>254,928</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773,388</w:t>
            </w:r>
          </w:p>
        </w:tc>
        <w:tc>
          <w:tcPr>
            <w:tcW w:w="1260" w:type="dxa"/>
            <w:vAlign w:val="bottom"/>
          </w:tcPr>
          <w:p>
            <w:pPr>
              <w:ind w:left="100"/>
              <w:spacing w:after="0"/>
              <w:rPr>
                <w:sz w:val="20"/>
                <w:szCs w:val="20"/>
                <w:color w:val="auto"/>
              </w:rPr>
            </w:pPr>
            <w:r>
              <w:rPr>
                <w:rFonts w:ascii="Arial" w:cs="Arial" w:eastAsia="Arial" w:hAnsi="Arial"/>
                <w:sz w:val="16"/>
                <w:szCs w:val="16"/>
                <w:color w:val="auto"/>
              </w:rPr>
              <w:t>1,028,316</w:t>
            </w:r>
          </w:p>
        </w:tc>
        <w:tc>
          <w:tcPr>
            <w:tcW w:w="0" w:type="dxa"/>
            <w:vAlign w:val="bottom"/>
          </w:tcPr>
          <w:p>
            <w:pPr>
              <w:spacing w:after="0"/>
              <w:rPr>
                <w:sz w:val="1"/>
                <w:szCs w:val="1"/>
                <w:color w:val="auto"/>
              </w:rPr>
            </w:pPr>
          </w:p>
        </w:tc>
      </w:tr>
      <w:tr>
        <w:trPr>
          <w:trHeight w:val="219"/>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Former Senior Vice</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President, Digital</w:t>
            </w:r>
          </w:p>
        </w:tc>
        <w:tc>
          <w:tcPr>
            <w:tcW w:w="620" w:type="dxa"/>
            <w:vAlign w:val="bottom"/>
          </w:tcPr>
          <w:p>
            <w:pPr>
              <w:ind w:left="100"/>
              <w:spacing w:after="0"/>
              <w:rPr>
                <w:sz w:val="20"/>
                <w:szCs w:val="20"/>
                <w:color w:val="auto"/>
              </w:rPr>
            </w:pPr>
            <w:r>
              <w:rPr>
                <w:rFonts w:ascii="Arial" w:cs="Arial" w:eastAsia="Arial" w:hAnsi="Arial"/>
                <w:sz w:val="16"/>
                <w:szCs w:val="16"/>
                <w:color w:val="auto"/>
              </w:rPr>
              <w:t>2023</w:t>
            </w:r>
          </w:p>
        </w:tc>
        <w:tc>
          <w:tcPr>
            <w:tcW w:w="860" w:type="dxa"/>
            <w:vAlign w:val="bottom"/>
          </w:tcPr>
          <w:p>
            <w:pPr>
              <w:ind w:left="100"/>
              <w:spacing w:after="0"/>
              <w:rPr>
                <w:sz w:val="20"/>
                <w:szCs w:val="20"/>
                <w:color w:val="auto"/>
              </w:rPr>
            </w:pPr>
            <w:r>
              <w:rPr>
                <w:rFonts w:ascii="Arial" w:cs="Arial" w:eastAsia="Arial" w:hAnsi="Arial"/>
                <w:sz w:val="16"/>
                <w:szCs w:val="16"/>
                <w:color w:val="auto"/>
              </w:rPr>
              <w:t>525,000</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7,159,781</w:t>
            </w:r>
          </w:p>
        </w:tc>
        <w:tc>
          <w:tcPr>
            <w:tcW w:w="1020" w:type="dxa"/>
            <w:vAlign w:val="bottom"/>
          </w:tcPr>
          <w:p>
            <w:pPr>
              <w:ind w:left="100"/>
              <w:spacing w:after="0"/>
              <w:rPr>
                <w:sz w:val="20"/>
                <w:szCs w:val="20"/>
                <w:color w:val="auto"/>
              </w:rPr>
            </w:pPr>
            <w:r>
              <w:rPr>
                <w:rFonts w:ascii="Arial" w:cs="Arial" w:eastAsia="Arial" w:hAnsi="Arial"/>
                <w:sz w:val="16"/>
                <w:szCs w:val="16"/>
                <w:color w:val="auto"/>
              </w:rPr>
              <w:t>1,548,832</w:t>
            </w:r>
          </w:p>
        </w:tc>
        <w:tc>
          <w:tcPr>
            <w:tcW w:w="1180" w:type="dxa"/>
            <w:vAlign w:val="bottom"/>
          </w:tcPr>
          <w:p>
            <w:pPr>
              <w:ind w:left="80"/>
              <w:spacing w:after="0"/>
              <w:rPr>
                <w:sz w:val="20"/>
                <w:szCs w:val="20"/>
                <w:color w:val="auto"/>
              </w:rPr>
            </w:pPr>
            <w:r>
              <w:rPr>
                <w:rFonts w:ascii="Arial" w:cs="Arial" w:eastAsia="Arial" w:hAnsi="Arial"/>
                <w:sz w:val="16"/>
                <w:szCs w:val="16"/>
                <w:color w:val="auto"/>
              </w:rPr>
              <w:t>73,513</w:t>
            </w:r>
          </w:p>
        </w:tc>
        <w:tc>
          <w:tcPr>
            <w:tcW w:w="1200" w:type="dxa"/>
            <w:vAlign w:val="bottom"/>
          </w:tcPr>
          <w:p>
            <w:pPr>
              <w:ind w:left="100"/>
              <w:spacing w:after="0"/>
              <w:rPr>
                <w:sz w:val="20"/>
                <w:szCs w:val="20"/>
                <w:color w:val="auto"/>
              </w:rPr>
            </w:pPr>
            <w:r>
              <w:rPr>
                <w:rFonts w:ascii="Arial" w:cs="Arial" w:eastAsia="Arial" w:hAnsi="Arial"/>
                <w:sz w:val="16"/>
                <w:szCs w:val="16"/>
                <w:color w:val="auto"/>
              </w:rPr>
              <w:t>872</w:t>
            </w:r>
          </w:p>
        </w:tc>
        <w:tc>
          <w:tcPr>
            <w:tcW w:w="1260" w:type="dxa"/>
            <w:vAlign w:val="bottom"/>
          </w:tcPr>
          <w:p>
            <w:pPr>
              <w:ind w:left="100"/>
              <w:spacing w:after="0"/>
              <w:rPr>
                <w:sz w:val="20"/>
                <w:szCs w:val="20"/>
                <w:color w:val="auto"/>
              </w:rPr>
            </w:pPr>
            <w:r>
              <w:rPr>
                <w:rFonts w:ascii="Arial" w:cs="Arial" w:eastAsia="Arial" w:hAnsi="Arial"/>
                <w:sz w:val="16"/>
                <w:szCs w:val="16"/>
                <w:color w:val="auto"/>
              </w:rPr>
              <w:t>9,307,998</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2022</w:t>
            </w:r>
          </w:p>
        </w:tc>
        <w:tc>
          <w:tcPr>
            <w:tcW w:w="860" w:type="dxa"/>
            <w:vAlign w:val="bottom"/>
          </w:tcPr>
          <w:p>
            <w:pPr>
              <w:ind w:left="100"/>
              <w:spacing w:after="0"/>
              <w:rPr>
                <w:sz w:val="20"/>
                <w:szCs w:val="20"/>
                <w:color w:val="auto"/>
              </w:rPr>
            </w:pPr>
            <w:r>
              <w:rPr>
                <w:rFonts w:ascii="Arial" w:cs="Arial" w:eastAsia="Arial" w:hAnsi="Arial"/>
                <w:sz w:val="16"/>
                <w:szCs w:val="16"/>
                <w:color w:val="auto"/>
              </w:rPr>
              <w:t>512,981</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ind w:left="80"/>
              <w:spacing w:after="0"/>
              <w:rPr>
                <w:sz w:val="20"/>
                <w:szCs w:val="20"/>
                <w:color w:val="auto"/>
              </w:rPr>
            </w:pPr>
            <w:r>
              <w:rPr>
                <w:rFonts w:ascii="Arial" w:cs="Arial" w:eastAsia="Arial" w:hAnsi="Arial"/>
                <w:sz w:val="16"/>
                <w:szCs w:val="16"/>
                <w:color w:val="auto"/>
              </w:rPr>
              <w:t>5,249,436</w:t>
            </w:r>
          </w:p>
        </w:tc>
        <w:tc>
          <w:tcPr>
            <w:tcW w:w="1020" w:type="dxa"/>
            <w:vAlign w:val="bottom"/>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100"/>
              <w:spacing w:after="0"/>
              <w:rPr>
                <w:sz w:val="20"/>
                <w:szCs w:val="20"/>
                <w:color w:val="auto"/>
              </w:rPr>
            </w:pPr>
            <w:r>
              <w:rPr>
                <w:rFonts w:ascii="Arial" w:cs="Arial" w:eastAsia="Arial" w:hAnsi="Arial"/>
                <w:sz w:val="16"/>
                <w:szCs w:val="16"/>
                <w:color w:val="auto"/>
              </w:rPr>
              <w:t>—</w:t>
            </w:r>
          </w:p>
        </w:tc>
        <w:tc>
          <w:tcPr>
            <w:tcW w:w="1260" w:type="dxa"/>
            <w:vAlign w:val="bottom"/>
          </w:tcPr>
          <w:p>
            <w:pPr>
              <w:ind w:left="100"/>
              <w:spacing w:after="0"/>
              <w:rPr>
                <w:sz w:val="20"/>
                <w:szCs w:val="20"/>
                <w:color w:val="auto"/>
              </w:rPr>
            </w:pPr>
            <w:r>
              <w:rPr>
                <w:rFonts w:ascii="Arial" w:cs="Arial" w:eastAsia="Arial" w:hAnsi="Arial"/>
                <w:sz w:val="16"/>
                <w:szCs w:val="16"/>
                <w:color w:val="auto"/>
              </w:rPr>
              <w:t>5,762,417</w:t>
            </w:r>
          </w:p>
        </w:tc>
        <w:tc>
          <w:tcPr>
            <w:tcW w:w="0" w:type="dxa"/>
            <w:vAlign w:val="bottom"/>
          </w:tcPr>
          <w:p>
            <w:pPr>
              <w:spacing w:after="0"/>
              <w:rPr>
                <w:sz w:val="1"/>
                <w:szCs w:val="1"/>
                <w:color w:val="auto"/>
              </w:rPr>
            </w:pPr>
          </w:p>
        </w:tc>
      </w:tr>
      <w:tr>
        <w:trPr>
          <w:trHeight w:val="138"/>
        </w:trPr>
        <w:tc>
          <w:tcPr>
            <w:tcW w:w="20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42" w:hanging="142"/>
        <w:spacing w:after="0"/>
        <w:tabs>
          <w:tab w:leader="none" w:pos="142" w:val="left"/>
        </w:tabs>
        <w:numPr>
          <w:ilvl w:val="0"/>
          <w:numId w:val="42"/>
        </w:numPr>
        <w:rPr>
          <w:rFonts w:ascii="Arial" w:cs="Arial" w:eastAsia="Arial" w:hAnsi="Arial"/>
          <w:sz w:val="17"/>
          <w:szCs w:val="17"/>
          <w:color w:val="auto"/>
          <w:vertAlign w:val="superscript"/>
        </w:rPr>
      </w:pPr>
      <w:r>
        <w:rPr>
          <w:rFonts w:ascii="Arial" w:cs="Arial" w:eastAsia="Arial" w:hAnsi="Arial"/>
          <w:sz w:val="11"/>
          <w:szCs w:val="11"/>
          <w:color w:val="auto"/>
        </w:rPr>
        <w:t>The principal positions reported in this table reflect each NEO’s title as of December 31, 2024.</w:t>
      </w:r>
    </w:p>
    <w:p>
      <w:pPr>
        <w:spacing w:after="0" w:line="103" w:lineRule="exact"/>
        <w:rPr>
          <w:rFonts w:ascii="Arial" w:cs="Arial" w:eastAsia="Arial" w:hAnsi="Arial"/>
          <w:sz w:val="17"/>
          <w:szCs w:val="17"/>
          <w:color w:val="auto"/>
          <w:vertAlign w:val="superscript"/>
        </w:rPr>
      </w:pPr>
    </w:p>
    <w:p>
      <w:pPr>
        <w:ind w:left="142" w:hanging="142"/>
        <w:spacing w:after="0" w:line="212" w:lineRule="auto"/>
        <w:tabs>
          <w:tab w:leader="none" w:pos="142" w:val="left"/>
        </w:tabs>
        <w:numPr>
          <w:ilvl w:val="0"/>
          <w:numId w:val="42"/>
        </w:numPr>
        <w:rPr>
          <w:rFonts w:ascii="Arial" w:cs="Arial" w:eastAsia="Arial" w:hAnsi="Arial"/>
          <w:sz w:val="17"/>
          <w:szCs w:val="17"/>
          <w:color w:val="auto"/>
          <w:vertAlign w:val="superscript"/>
        </w:rPr>
      </w:pPr>
      <w:r>
        <w:rPr>
          <w:rFonts w:ascii="Arial" w:cs="Arial" w:eastAsia="Arial" w:hAnsi="Arial"/>
          <w:sz w:val="11"/>
          <w:szCs w:val="11"/>
          <w:color w:val="auto"/>
        </w:rPr>
        <w:t>Amounts reflect the base salary earned during the applicable year. For additional information, see “Analysis of 2024 Compensation — Base Salary” above. The amounts include base salary increases in 2024 for Mr. Dhingra ($18,000) and Mr. Bach ($45,000). In addition, the amount for Mr. Bell includes accrued vacation upon his separation on May 3, 2024.</w:t>
      </w:r>
    </w:p>
    <w:p>
      <w:pPr>
        <w:spacing w:after="0" w:line="104" w:lineRule="exact"/>
        <w:rPr>
          <w:rFonts w:ascii="Arial" w:cs="Arial" w:eastAsia="Arial" w:hAnsi="Arial"/>
          <w:sz w:val="17"/>
          <w:szCs w:val="17"/>
          <w:color w:val="auto"/>
          <w:vertAlign w:val="superscript"/>
        </w:rPr>
      </w:pPr>
    </w:p>
    <w:p>
      <w:pPr>
        <w:ind w:left="142" w:right="20" w:hanging="142"/>
        <w:spacing w:after="0" w:line="241" w:lineRule="auto"/>
        <w:tabs>
          <w:tab w:leader="none" w:pos="142" w:val="left"/>
        </w:tabs>
        <w:numPr>
          <w:ilvl w:val="0"/>
          <w:numId w:val="42"/>
        </w:numPr>
        <w:rPr>
          <w:rFonts w:ascii="Arial" w:cs="Arial" w:eastAsia="Arial" w:hAnsi="Arial"/>
          <w:sz w:val="17"/>
          <w:szCs w:val="17"/>
          <w:color w:val="auto"/>
          <w:vertAlign w:val="superscript"/>
        </w:rPr>
      </w:pPr>
      <w:r>
        <w:rPr>
          <w:rFonts w:ascii="Arial" w:cs="Arial" w:eastAsia="Arial" w:hAnsi="Arial"/>
          <w:sz w:val="11"/>
          <w:szCs w:val="11"/>
          <w:color w:val="auto"/>
        </w:rPr>
        <w:t>The “Stock Awards” column reflects the aggregate grant date fair value of RSUs and PSUs granted, and the “Option Awards” column reflects the aggregate grant date value of stock options granted, in each case, computed in accordance with FASB ASC Topic 718. The assumptions used to calculate the awards are disclosed in Footnote 10 to the audited consolidated financial statements included in the Company’s Annual Report on Form 10-K for the fiscal year ended December 31, 2024. PSU values in the Stock Awards column are based on performance achieved at target levels for the PSUs, which was the probable outcome of performance conditions as of the grant date for the PSUs. The grant date fair value of each NEO’s PSUs for fiscal year 2024 if earned at maximum levels was $2,249,998; $9,000,000; and $8,100,000 for Messrs. Dhingra, Winterhoff and Bach, respectively.</w:t>
      </w:r>
    </w:p>
    <w:p>
      <w:pPr>
        <w:spacing w:after="0" w:line="54"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42"/>
        </w:numPr>
        <w:rPr>
          <w:rFonts w:ascii="Arial" w:cs="Arial" w:eastAsia="Arial" w:hAnsi="Arial"/>
          <w:sz w:val="17"/>
          <w:szCs w:val="17"/>
          <w:color w:val="auto"/>
          <w:vertAlign w:val="superscript"/>
        </w:rPr>
      </w:pPr>
      <w:r>
        <w:rPr>
          <w:rFonts w:ascii="Arial" w:cs="Arial" w:eastAsia="Arial" w:hAnsi="Arial"/>
          <w:sz w:val="11"/>
          <w:szCs w:val="11"/>
          <w:color w:val="auto"/>
        </w:rPr>
        <w:t>This column reflects amounts earned under our Annual Incentive Plan Program.</w:t>
      </w:r>
    </w:p>
    <w:p>
      <w:pPr>
        <w:sectPr>
          <w:pgSz w:w="11880" w:h="15480" w:orient="portrait"/>
          <w:cols w:equalWidth="0" w:num="1">
            <w:col w:w="10442"/>
          </w:cols>
          <w:pgMar w:left="718" w:top="87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2"/>
          </w:cols>
          <w:pgMar w:left="718" w:top="876" w:right="720" w:bottom="0" w:gutter="0" w:footer="0" w:header="0"/>
          <w:type w:val="continuous"/>
        </w:sectPr>
      </w:pPr>
    </w:p>
    <w:bookmarkStart w:id="68" w:name="page69"/>
    <w:bookmarkEnd w:id="68"/>
    <w:p>
      <w:pPr>
        <w:ind w:left="142" w:hanging="142"/>
        <w:spacing w:after="0"/>
        <w:tabs>
          <w:tab w:leader="none" w:pos="142" w:val="left"/>
        </w:tabs>
        <w:numPr>
          <w:ilvl w:val="0"/>
          <w:numId w:val="43"/>
        </w:numPr>
        <w:rPr>
          <w:rFonts w:ascii="Arial" w:cs="Arial" w:eastAsia="Arial" w:hAnsi="Arial"/>
          <w:sz w:val="17"/>
          <w:szCs w:val="17"/>
          <w:color w:val="auto"/>
          <w:vertAlign w:val="superscript"/>
        </w:rPr>
      </w:pPr>
      <w:r>
        <w:rPr>
          <w:rFonts w:ascii="Arial" w:cs="Arial" w:eastAsia="Arial" w:hAnsi="Arial"/>
          <w:sz w:val="11"/>
          <w:szCs w:val="11"/>
          <w:color w:val="auto"/>
        </w:rPr>
        <w:t>The value includes the following personal perquisites and other compensation:</w:t>
      </w:r>
    </w:p>
    <w:p>
      <w:pPr>
        <w:spacing w:after="0" w:line="269" w:lineRule="exact"/>
        <w:rPr>
          <w:sz w:val="20"/>
          <w:szCs w:val="20"/>
          <w:color w:val="auto"/>
        </w:rPr>
      </w:pPr>
    </w:p>
    <w:tbl>
      <w:tblPr>
        <w:tblLayout w:type="fixed"/>
        <w:tblInd w:w="182" w:type="dxa"/>
        <w:tblCellMar>
          <w:top w:w="0" w:type="dxa"/>
          <w:left w:w="0" w:type="dxa"/>
          <w:bottom w:w="0" w:type="dxa"/>
          <w:right w:w="0" w:type="dxa"/>
        </w:tblCellMar>
      </w:tblPr>
      <w:tr>
        <w:trPr>
          <w:trHeight w:val="303"/>
        </w:trPr>
        <w:tc>
          <w:tcPr>
            <w:tcW w:w="36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Named Executive Officer</w:t>
            </w:r>
          </w:p>
        </w:tc>
        <w:tc>
          <w:tcPr>
            <w:tcW w:w="2600" w:type="dxa"/>
            <w:vAlign w:val="bottom"/>
            <w:shd w:val="clear" w:color="auto" w:fill="000000"/>
          </w:tcPr>
          <w:p>
            <w:pPr>
              <w:ind w:left="1780"/>
              <w:spacing w:after="0"/>
              <w:rPr>
                <w:sz w:val="20"/>
                <w:szCs w:val="20"/>
                <w:color w:val="auto"/>
              </w:rPr>
            </w:pPr>
            <w:r>
              <w:rPr>
                <w:rFonts w:ascii="Arial" w:cs="Arial" w:eastAsia="Arial" w:hAnsi="Arial"/>
                <w:sz w:val="14"/>
                <w:szCs w:val="14"/>
                <w:color w:val="FFFFFF"/>
              </w:rPr>
              <w:t>Company-</w:t>
            </w:r>
          </w:p>
        </w:tc>
        <w:tc>
          <w:tcPr>
            <w:tcW w:w="98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Employee</w:t>
            </w:r>
          </w:p>
        </w:tc>
        <w:tc>
          <w:tcPr>
            <w:tcW w:w="94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Tax</w:t>
            </w:r>
          </w:p>
        </w:tc>
        <w:tc>
          <w:tcPr>
            <w:tcW w:w="92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All Other</w:t>
            </w:r>
          </w:p>
        </w:tc>
        <w:tc>
          <w:tcPr>
            <w:tcW w:w="116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Other ($)</w:t>
            </w:r>
          </w:p>
        </w:tc>
      </w:tr>
      <w:tr>
        <w:trPr>
          <w:trHeight w:val="153"/>
        </w:trPr>
        <w:tc>
          <w:tcPr>
            <w:tcW w:w="3640" w:type="dxa"/>
            <w:vAlign w:val="bottom"/>
            <w:shd w:val="clear" w:color="auto" w:fill="000000"/>
          </w:tcPr>
          <w:p>
            <w:pPr>
              <w:spacing w:after="0"/>
              <w:rPr>
                <w:sz w:val="13"/>
                <w:szCs w:val="13"/>
                <w:color w:val="auto"/>
              </w:rPr>
            </w:pPr>
          </w:p>
        </w:tc>
        <w:tc>
          <w:tcPr>
            <w:tcW w:w="2600" w:type="dxa"/>
            <w:vAlign w:val="bottom"/>
            <w:shd w:val="clear" w:color="auto" w:fill="000000"/>
          </w:tcPr>
          <w:p>
            <w:pPr>
              <w:ind w:left="1780"/>
              <w:spacing w:after="0" w:line="153" w:lineRule="exact"/>
              <w:rPr>
                <w:sz w:val="20"/>
                <w:szCs w:val="20"/>
                <w:color w:val="auto"/>
              </w:rPr>
            </w:pPr>
            <w:r>
              <w:rPr>
                <w:rFonts w:ascii="Arial" w:cs="Arial" w:eastAsia="Arial" w:hAnsi="Arial"/>
                <w:sz w:val="14"/>
                <w:szCs w:val="14"/>
                <w:color w:val="FFFFFF"/>
              </w:rPr>
              <w:t>Provided</w:t>
            </w:r>
          </w:p>
        </w:tc>
        <w:tc>
          <w:tcPr>
            <w:tcW w:w="980" w:type="dxa"/>
            <w:vAlign w:val="bottom"/>
            <w:shd w:val="clear" w:color="auto" w:fill="000000"/>
          </w:tcPr>
          <w:p>
            <w:pPr>
              <w:ind w:left="80"/>
              <w:spacing w:after="0" w:line="153" w:lineRule="exact"/>
              <w:rPr>
                <w:sz w:val="20"/>
                <w:szCs w:val="20"/>
                <w:color w:val="auto"/>
              </w:rPr>
            </w:pPr>
            <w:r>
              <w:rPr>
                <w:rFonts w:ascii="Arial" w:cs="Arial" w:eastAsia="Arial" w:hAnsi="Arial"/>
                <w:sz w:val="14"/>
                <w:szCs w:val="14"/>
                <w:color w:val="FFFFFF"/>
              </w:rPr>
              <w:t>Purchase</w:t>
            </w:r>
          </w:p>
        </w:tc>
        <w:tc>
          <w:tcPr>
            <w:tcW w:w="940" w:type="dxa"/>
            <w:vAlign w:val="bottom"/>
            <w:shd w:val="clear" w:color="auto" w:fill="000000"/>
          </w:tcPr>
          <w:p>
            <w:pPr>
              <w:ind w:left="80"/>
              <w:spacing w:after="0" w:line="153" w:lineRule="exact"/>
              <w:rPr>
                <w:sz w:val="20"/>
                <w:szCs w:val="20"/>
                <w:color w:val="auto"/>
              </w:rPr>
            </w:pPr>
            <w:r>
              <w:rPr>
                <w:rFonts w:ascii="Arial" w:cs="Arial" w:eastAsia="Arial" w:hAnsi="Arial"/>
                <w:sz w:val="14"/>
                <w:szCs w:val="14"/>
                <w:color w:val="FFFFFF"/>
              </w:rPr>
              <w:t>Preparation</w:t>
            </w:r>
          </w:p>
        </w:tc>
        <w:tc>
          <w:tcPr>
            <w:tcW w:w="920" w:type="dxa"/>
            <w:vAlign w:val="bottom"/>
            <w:shd w:val="clear" w:color="auto" w:fill="000000"/>
          </w:tcPr>
          <w:p>
            <w:pPr>
              <w:ind w:left="80"/>
              <w:spacing w:after="0" w:line="153" w:lineRule="exact"/>
              <w:rPr>
                <w:sz w:val="20"/>
                <w:szCs w:val="20"/>
                <w:color w:val="auto"/>
              </w:rPr>
            </w:pPr>
            <w:r>
              <w:rPr>
                <w:rFonts w:ascii="Arial" w:cs="Arial" w:eastAsia="Arial" w:hAnsi="Arial"/>
                <w:sz w:val="14"/>
                <w:szCs w:val="14"/>
                <w:color w:val="FFFFFF"/>
              </w:rPr>
              <w:t>Perquisites</w:t>
            </w:r>
          </w:p>
        </w:tc>
        <w:tc>
          <w:tcPr>
            <w:tcW w:w="1160" w:type="dxa"/>
            <w:vAlign w:val="bottom"/>
            <w:shd w:val="clear" w:color="auto" w:fill="000000"/>
          </w:tcPr>
          <w:p>
            <w:pPr>
              <w:spacing w:after="0"/>
              <w:rPr>
                <w:sz w:val="13"/>
                <w:szCs w:val="13"/>
                <w:color w:val="auto"/>
              </w:rPr>
            </w:pPr>
          </w:p>
        </w:tc>
      </w:tr>
      <w:tr>
        <w:trPr>
          <w:trHeight w:val="166"/>
        </w:trPr>
        <w:tc>
          <w:tcPr>
            <w:tcW w:w="3640" w:type="dxa"/>
            <w:vAlign w:val="bottom"/>
            <w:shd w:val="clear" w:color="auto" w:fill="000000"/>
          </w:tcPr>
          <w:p>
            <w:pPr>
              <w:spacing w:after="0"/>
              <w:rPr>
                <w:sz w:val="14"/>
                <w:szCs w:val="14"/>
                <w:color w:val="auto"/>
              </w:rPr>
            </w:pPr>
          </w:p>
        </w:tc>
        <w:tc>
          <w:tcPr>
            <w:tcW w:w="2600" w:type="dxa"/>
            <w:vAlign w:val="bottom"/>
            <w:shd w:val="clear" w:color="auto" w:fill="000000"/>
          </w:tcPr>
          <w:p>
            <w:pPr>
              <w:ind w:left="1780"/>
              <w:spacing w:after="0"/>
              <w:rPr>
                <w:sz w:val="20"/>
                <w:szCs w:val="20"/>
                <w:color w:val="auto"/>
              </w:rPr>
            </w:pPr>
            <w:r>
              <w:rPr>
                <w:rFonts w:ascii="Arial" w:cs="Arial" w:eastAsia="Arial" w:hAnsi="Arial"/>
                <w:sz w:val="14"/>
                <w:szCs w:val="14"/>
                <w:color w:val="FFFFFF"/>
              </w:rPr>
              <w:t>Vehicle ($)</w:t>
            </w:r>
          </w:p>
        </w:tc>
        <w:tc>
          <w:tcPr>
            <w:tcW w:w="98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Program</w:t>
            </w:r>
          </w:p>
        </w:tc>
        <w:tc>
          <w:tcPr>
            <w:tcW w:w="94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Stipend ($)</w:t>
            </w:r>
          </w:p>
        </w:tc>
        <w:tc>
          <w:tcPr>
            <w:tcW w:w="920" w:type="dxa"/>
            <w:vAlign w:val="bottom"/>
            <w:shd w:val="clear" w:color="auto" w:fill="000000"/>
          </w:tcPr>
          <w:p>
            <w:pPr>
              <w:ind w:left="80"/>
              <w:spacing w:after="0" w:line="166"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(h)</w:t>
            </w:r>
          </w:p>
        </w:tc>
        <w:tc>
          <w:tcPr>
            <w:tcW w:w="1160" w:type="dxa"/>
            <w:vAlign w:val="bottom"/>
            <w:shd w:val="clear" w:color="auto" w:fill="000000"/>
          </w:tcPr>
          <w:p>
            <w:pPr>
              <w:spacing w:after="0"/>
              <w:rPr>
                <w:sz w:val="14"/>
                <w:szCs w:val="14"/>
                <w:color w:val="auto"/>
              </w:rPr>
            </w:pPr>
          </w:p>
        </w:tc>
      </w:tr>
      <w:tr>
        <w:trPr>
          <w:trHeight w:val="172"/>
        </w:trPr>
        <w:tc>
          <w:tcPr>
            <w:tcW w:w="3640" w:type="dxa"/>
            <w:vAlign w:val="bottom"/>
            <w:shd w:val="clear" w:color="auto" w:fill="000000"/>
          </w:tcPr>
          <w:p>
            <w:pPr>
              <w:spacing w:after="0"/>
              <w:rPr>
                <w:sz w:val="14"/>
                <w:szCs w:val="14"/>
                <w:color w:val="auto"/>
              </w:rPr>
            </w:pPr>
          </w:p>
        </w:tc>
        <w:tc>
          <w:tcPr>
            <w:tcW w:w="2600" w:type="dxa"/>
            <w:vAlign w:val="bottom"/>
            <w:shd w:val="clear" w:color="auto" w:fill="000000"/>
          </w:tcPr>
          <w:p>
            <w:pPr>
              <w:spacing w:after="0"/>
              <w:rPr>
                <w:sz w:val="14"/>
                <w:szCs w:val="14"/>
                <w:color w:val="auto"/>
              </w:rPr>
            </w:pPr>
          </w:p>
        </w:tc>
        <w:tc>
          <w:tcPr>
            <w:tcW w:w="980" w:type="dxa"/>
            <w:vAlign w:val="bottom"/>
            <w:shd w:val="clear" w:color="auto" w:fill="000000"/>
          </w:tcPr>
          <w:p>
            <w:pPr>
              <w:ind w:left="80"/>
              <w:spacing w:after="0"/>
              <w:rPr>
                <w:sz w:val="20"/>
                <w:szCs w:val="20"/>
                <w:color w:val="auto"/>
              </w:rPr>
            </w:pPr>
            <w:r>
              <w:rPr>
                <w:rFonts w:ascii="Arial" w:cs="Arial" w:eastAsia="Arial" w:hAnsi="Arial"/>
                <w:sz w:val="14"/>
                <w:szCs w:val="14"/>
                <w:color w:val="FFFFFF"/>
              </w:rPr>
              <w:t>Buyback ($)</w:t>
            </w:r>
          </w:p>
        </w:tc>
        <w:tc>
          <w:tcPr>
            <w:tcW w:w="94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160" w:type="dxa"/>
            <w:vAlign w:val="bottom"/>
            <w:shd w:val="clear" w:color="auto" w:fill="000000"/>
          </w:tcPr>
          <w:p>
            <w:pPr>
              <w:spacing w:after="0"/>
              <w:rPr>
                <w:sz w:val="14"/>
                <w:szCs w:val="14"/>
                <w:color w:val="auto"/>
              </w:rPr>
            </w:pPr>
          </w:p>
        </w:tc>
      </w:tr>
      <w:tr>
        <w:trPr>
          <w:trHeight w:val="149"/>
        </w:trPr>
        <w:tc>
          <w:tcPr>
            <w:tcW w:w="3640" w:type="dxa"/>
            <w:vAlign w:val="bottom"/>
            <w:shd w:val="clear" w:color="auto" w:fill="000000"/>
          </w:tcPr>
          <w:p>
            <w:pPr>
              <w:spacing w:after="0"/>
              <w:rPr>
                <w:sz w:val="12"/>
                <w:szCs w:val="12"/>
                <w:color w:val="auto"/>
              </w:rPr>
            </w:pPr>
          </w:p>
        </w:tc>
        <w:tc>
          <w:tcPr>
            <w:tcW w:w="260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160" w:type="dxa"/>
            <w:vAlign w:val="bottom"/>
            <w:shd w:val="clear" w:color="auto" w:fill="000000"/>
          </w:tcPr>
          <w:p>
            <w:pPr>
              <w:spacing w:after="0"/>
              <w:rPr>
                <w:sz w:val="12"/>
                <w:szCs w:val="12"/>
                <w:color w:val="auto"/>
              </w:rPr>
            </w:pPr>
          </w:p>
        </w:tc>
      </w:tr>
      <w:tr>
        <w:trPr>
          <w:trHeight w:val="390"/>
        </w:trPr>
        <w:tc>
          <w:tcPr>
            <w:tcW w:w="364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2600" w:type="dxa"/>
            <w:vAlign w:val="bottom"/>
          </w:tcPr>
          <w:p>
            <w:pPr>
              <w:ind w:left="1780"/>
              <w:spacing w:after="0"/>
              <w:rPr>
                <w:sz w:val="20"/>
                <w:szCs w:val="20"/>
                <w:color w:val="auto"/>
              </w:rPr>
            </w:pPr>
            <w:r>
              <w:rPr>
                <w:rFonts w:ascii="Arial" w:cs="Arial" w:eastAsia="Arial" w:hAnsi="Arial"/>
                <w:sz w:val="16"/>
                <w:szCs w:val="16"/>
                <w:color w:val="auto"/>
              </w:rPr>
              <w:t>29,781</w:t>
            </w:r>
            <w:r>
              <w:rPr>
                <w:rFonts w:ascii="Arial" w:cs="Arial" w:eastAsia="Arial" w:hAnsi="Arial"/>
                <w:sz w:val="19"/>
                <w:szCs w:val="19"/>
                <w:color w:val="auto"/>
                <w:vertAlign w:val="superscript"/>
              </w:rPr>
              <w:t>(a)</w:t>
            </w:r>
          </w:p>
        </w:tc>
        <w:tc>
          <w:tcPr>
            <w:tcW w:w="9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20,000</w:t>
            </w:r>
          </w:p>
        </w:tc>
        <w:tc>
          <w:tcPr>
            <w:tcW w:w="920" w:type="dxa"/>
            <w:vAlign w:val="bottom"/>
          </w:tcPr>
          <w:p>
            <w:pPr>
              <w:ind w:left="80"/>
              <w:spacing w:after="0"/>
              <w:rPr>
                <w:sz w:val="20"/>
                <w:szCs w:val="20"/>
                <w:color w:val="auto"/>
              </w:rPr>
            </w:pPr>
            <w:r>
              <w:rPr>
                <w:rFonts w:ascii="Arial" w:cs="Arial" w:eastAsia="Arial" w:hAnsi="Arial"/>
                <w:sz w:val="16"/>
                <w:szCs w:val="16"/>
                <w:color w:val="auto"/>
              </w:rPr>
              <w:t>1,334</w:t>
            </w:r>
          </w:p>
        </w:tc>
        <w:tc>
          <w:tcPr>
            <w:tcW w:w="1160" w:type="dxa"/>
            <w:vAlign w:val="bottom"/>
          </w:tcPr>
          <w:p>
            <w:pPr>
              <w:spacing w:after="0"/>
              <w:rPr>
                <w:sz w:val="24"/>
                <w:szCs w:val="24"/>
                <w:color w:val="auto"/>
              </w:rPr>
            </w:pPr>
          </w:p>
        </w:tc>
      </w:tr>
      <w:tr>
        <w:trPr>
          <w:trHeight w:val="71"/>
        </w:trPr>
        <w:tc>
          <w:tcPr>
            <w:tcW w:w="36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2600" w:type="dxa"/>
            <w:vAlign w:val="bottom"/>
          </w:tcPr>
          <w:p>
            <w:pPr>
              <w:ind w:left="1780"/>
              <w:spacing w:after="0"/>
              <w:rPr>
                <w:sz w:val="20"/>
                <w:szCs w:val="20"/>
                <w:color w:val="auto"/>
              </w:rPr>
            </w:pPr>
            <w:r>
              <w:rPr>
                <w:rFonts w:ascii="Arial" w:cs="Arial" w:eastAsia="Arial" w:hAnsi="Arial"/>
                <w:sz w:val="16"/>
                <w:szCs w:val="16"/>
                <w:color w:val="auto"/>
              </w:rPr>
              <w:t>20,752</w:t>
            </w:r>
            <w:r>
              <w:rPr>
                <w:rFonts w:ascii="Arial" w:cs="Arial" w:eastAsia="Arial" w:hAnsi="Arial"/>
                <w:sz w:val="19"/>
                <w:szCs w:val="19"/>
                <w:color w:val="auto"/>
                <w:vertAlign w:val="superscript"/>
              </w:rPr>
              <w:t>(b)</w:t>
            </w:r>
          </w:p>
        </w:tc>
        <w:tc>
          <w:tcPr>
            <w:tcW w:w="980" w:type="dxa"/>
            <w:vAlign w:val="bottom"/>
          </w:tcPr>
          <w:p>
            <w:pPr>
              <w:ind w:left="80"/>
              <w:spacing w:after="0"/>
              <w:rPr>
                <w:sz w:val="20"/>
                <w:szCs w:val="20"/>
                <w:color w:val="auto"/>
              </w:rPr>
            </w:pPr>
            <w:r>
              <w:rPr>
                <w:rFonts w:ascii="Arial" w:cs="Arial" w:eastAsia="Arial" w:hAnsi="Arial"/>
                <w:sz w:val="16"/>
                <w:szCs w:val="16"/>
                <w:color w:val="auto"/>
              </w:rPr>
              <w:t>15,918</w:t>
            </w:r>
            <w:r>
              <w:rPr>
                <w:rFonts w:ascii="Arial" w:cs="Arial" w:eastAsia="Arial" w:hAnsi="Arial"/>
                <w:sz w:val="19"/>
                <w:szCs w:val="19"/>
                <w:color w:val="auto"/>
                <w:vertAlign w:val="superscript"/>
              </w:rPr>
              <w:t>(c)</w:t>
            </w:r>
          </w:p>
        </w:tc>
        <w:tc>
          <w:tcPr>
            <w:tcW w:w="9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6"/>
                <w:szCs w:val="16"/>
                <w:color w:val="auto"/>
              </w:rPr>
              <w:t>944</w:t>
            </w:r>
          </w:p>
        </w:tc>
        <w:tc>
          <w:tcPr>
            <w:tcW w:w="1160" w:type="dxa"/>
            <w:vAlign w:val="bottom"/>
          </w:tcPr>
          <w:p>
            <w:pPr>
              <w:ind w:left="80"/>
              <w:spacing w:after="0"/>
              <w:rPr>
                <w:sz w:val="20"/>
                <w:szCs w:val="20"/>
                <w:color w:val="auto"/>
              </w:rPr>
            </w:pPr>
            <w:r>
              <w:rPr>
                <w:rFonts w:ascii="Arial" w:cs="Arial" w:eastAsia="Arial" w:hAnsi="Arial"/>
                <w:sz w:val="16"/>
                <w:szCs w:val="16"/>
                <w:color w:val="auto"/>
              </w:rPr>
              <w:t>300,000</w:t>
            </w:r>
            <w:r>
              <w:rPr>
                <w:rFonts w:ascii="Arial" w:cs="Arial" w:eastAsia="Arial" w:hAnsi="Arial"/>
                <w:sz w:val="19"/>
                <w:szCs w:val="19"/>
                <w:color w:val="auto"/>
                <w:vertAlign w:val="superscript"/>
              </w:rPr>
              <w:t>(f)</w:t>
            </w:r>
          </w:p>
        </w:tc>
      </w:tr>
      <w:tr>
        <w:trPr>
          <w:trHeight w:val="71"/>
        </w:trPr>
        <w:tc>
          <w:tcPr>
            <w:tcW w:w="36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2600" w:type="dxa"/>
            <w:vAlign w:val="bottom"/>
          </w:tcPr>
          <w:p>
            <w:pPr>
              <w:ind w:left="1780"/>
              <w:spacing w:after="0"/>
              <w:rPr>
                <w:sz w:val="20"/>
                <w:szCs w:val="20"/>
                <w:color w:val="auto"/>
              </w:rPr>
            </w:pPr>
            <w:r>
              <w:rPr>
                <w:rFonts w:ascii="Arial" w:cs="Arial" w:eastAsia="Arial" w:hAnsi="Arial"/>
                <w:sz w:val="16"/>
                <w:szCs w:val="16"/>
                <w:color w:val="auto"/>
              </w:rPr>
              <w:t>28,942</w:t>
            </w:r>
            <w:r>
              <w:rPr>
                <w:rFonts w:ascii="Arial" w:cs="Arial" w:eastAsia="Arial" w:hAnsi="Arial"/>
                <w:sz w:val="19"/>
                <w:szCs w:val="19"/>
                <w:color w:val="auto"/>
                <w:vertAlign w:val="superscript"/>
              </w:rPr>
              <w:t>(d)</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6"/>
                <w:szCs w:val="16"/>
                <w:color w:val="auto"/>
              </w:rPr>
              <w:t>3,770</w:t>
            </w:r>
          </w:p>
        </w:tc>
        <w:tc>
          <w:tcPr>
            <w:tcW w:w="1160" w:type="dxa"/>
            <w:vAlign w:val="bottom"/>
          </w:tcPr>
          <w:p>
            <w:pPr>
              <w:spacing w:after="0"/>
              <w:rPr>
                <w:sz w:val="24"/>
                <w:szCs w:val="24"/>
                <w:color w:val="auto"/>
              </w:rPr>
            </w:pPr>
          </w:p>
        </w:tc>
      </w:tr>
      <w:tr>
        <w:trPr>
          <w:trHeight w:val="71"/>
        </w:trPr>
        <w:tc>
          <w:tcPr>
            <w:tcW w:w="36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260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6"/>
                <w:szCs w:val="16"/>
                <w:color w:val="auto"/>
              </w:rPr>
              <w:t>138,330</w:t>
            </w:r>
            <w:r>
              <w:rPr>
                <w:rFonts w:ascii="Arial" w:cs="Arial" w:eastAsia="Arial" w:hAnsi="Arial"/>
                <w:sz w:val="19"/>
                <w:szCs w:val="19"/>
                <w:color w:val="auto"/>
                <w:vertAlign w:val="superscript"/>
              </w:rPr>
              <w:t>(e)</w:t>
            </w:r>
          </w:p>
        </w:tc>
        <w:tc>
          <w:tcPr>
            <w:tcW w:w="9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6"/>
                <w:szCs w:val="16"/>
                <w:color w:val="auto"/>
              </w:rPr>
              <w:t>3,330</w:t>
            </w:r>
          </w:p>
        </w:tc>
        <w:tc>
          <w:tcPr>
            <w:tcW w:w="1160" w:type="dxa"/>
            <w:vAlign w:val="bottom"/>
          </w:tcPr>
          <w:p>
            <w:pPr>
              <w:spacing w:after="0"/>
              <w:rPr>
                <w:sz w:val="24"/>
                <w:szCs w:val="24"/>
                <w:color w:val="auto"/>
              </w:rPr>
            </w:pPr>
          </w:p>
        </w:tc>
      </w:tr>
      <w:tr>
        <w:trPr>
          <w:trHeight w:val="71"/>
        </w:trPr>
        <w:tc>
          <w:tcPr>
            <w:tcW w:w="36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68"/>
        </w:trPr>
        <w:tc>
          <w:tcPr>
            <w:tcW w:w="3640" w:type="dxa"/>
            <w:vAlign w:val="bottom"/>
          </w:tcPr>
          <w:p>
            <w:pPr>
              <w:ind w:left="180"/>
              <w:spacing w:after="0"/>
              <w:rPr>
                <w:sz w:val="20"/>
                <w:szCs w:val="20"/>
                <w:color w:val="auto"/>
              </w:rPr>
            </w:pPr>
            <w:r>
              <w:rPr>
                <w:rFonts w:ascii="Arial" w:cs="Arial" w:eastAsia="Arial" w:hAnsi="Arial"/>
                <w:sz w:val="16"/>
                <w:szCs w:val="16"/>
                <w:color w:val="auto"/>
              </w:rPr>
              <w:t>Michael Bell</w:t>
            </w:r>
          </w:p>
        </w:tc>
        <w:tc>
          <w:tcPr>
            <w:tcW w:w="2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6"/>
                <w:szCs w:val="16"/>
                <w:color w:val="auto"/>
              </w:rPr>
              <w:t>337</w:t>
            </w:r>
          </w:p>
        </w:tc>
        <w:tc>
          <w:tcPr>
            <w:tcW w:w="1160" w:type="dxa"/>
            <w:vAlign w:val="bottom"/>
          </w:tcPr>
          <w:p>
            <w:pPr>
              <w:ind w:left="80"/>
              <w:spacing w:after="0"/>
              <w:rPr>
                <w:sz w:val="20"/>
                <w:szCs w:val="20"/>
                <w:color w:val="auto"/>
              </w:rPr>
            </w:pPr>
            <w:r>
              <w:rPr>
                <w:rFonts w:ascii="Arial" w:cs="Arial" w:eastAsia="Arial" w:hAnsi="Arial"/>
                <w:sz w:val="16"/>
                <w:szCs w:val="16"/>
                <w:color w:val="auto"/>
              </w:rPr>
              <w:t>773,051</w:t>
            </w:r>
            <w:r>
              <w:rPr>
                <w:rFonts w:ascii="Arial" w:cs="Arial" w:eastAsia="Arial" w:hAnsi="Arial"/>
                <w:sz w:val="19"/>
                <w:szCs w:val="19"/>
                <w:color w:val="auto"/>
                <w:vertAlign w:val="superscript"/>
              </w:rPr>
              <w:t>(g)</w:t>
            </w:r>
          </w:p>
        </w:tc>
      </w:tr>
      <w:tr>
        <w:trPr>
          <w:trHeight w:val="74"/>
        </w:trPr>
        <w:tc>
          <w:tcPr>
            <w:tcW w:w="36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ind w:left="322" w:hanging="142"/>
        <w:spacing w:after="0"/>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Income includes $14,688 for the Company-provided Lucid Air vehicle and $15,093 for the related tax gross-up.</w:t>
      </w:r>
    </w:p>
    <w:p>
      <w:pPr>
        <w:spacing w:after="0" w:line="72" w:lineRule="exact"/>
        <w:rPr>
          <w:rFonts w:ascii="Arial" w:cs="Arial" w:eastAsia="Arial" w:hAnsi="Arial"/>
          <w:sz w:val="17"/>
          <w:szCs w:val="17"/>
          <w:color w:val="auto"/>
          <w:vertAlign w:val="superscript"/>
        </w:rPr>
      </w:pPr>
    </w:p>
    <w:p>
      <w:pPr>
        <w:ind w:left="322" w:hanging="142"/>
        <w:spacing w:after="0" w:line="217" w:lineRule="auto"/>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Income includes $10,196 for the Company-provided Lucid Air vehicle and $10,556 for the related tax gross-up.</w:t>
      </w:r>
    </w:p>
    <w:p>
      <w:pPr>
        <w:spacing w:after="0" w:line="72" w:lineRule="exact"/>
        <w:rPr>
          <w:rFonts w:ascii="Arial" w:cs="Arial" w:eastAsia="Arial" w:hAnsi="Arial"/>
          <w:sz w:val="17"/>
          <w:szCs w:val="17"/>
          <w:color w:val="auto"/>
          <w:vertAlign w:val="superscript"/>
        </w:rPr>
      </w:pPr>
    </w:p>
    <w:p>
      <w:pPr>
        <w:ind w:left="322" w:hanging="142"/>
        <w:spacing w:after="0" w:line="205" w:lineRule="auto"/>
        <w:tabs>
          <w:tab w:leader="none" w:pos="322" w:val="left"/>
        </w:tabs>
        <w:numPr>
          <w:ilvl w:val="1"/>
          <w:numId w:val="44"/>
        </w:numPr>
        <w:rPr>
          <w:rFonts w:ascii="Arial" w:cs="Arial" w:eastAsia="Arial" w:hAnsi="Arial"/>
          <w:sz w:val="18"/>
          <w:szCs w:val="18"/>
          <w:color w:val="auto"/>
          <w:vertAlign w:val="superscript"/>
        </w:rPr>
      </w:pPr>
      <w:r>
        <w:rPr>
          <w:rFonts w:ascii="Arial" w:cs="Arial" w:eastAsia="Arial" w:hAnsi="Arial"/>
          <w:sz w:val="12"/>
          <w:szCs w:val="12"/>
          <w:color w:val="auto"/>
        </w:rPr>
        <w:t>Income inclusion $7,664 for the Company repurchase of the employee-owned Lucid Air vehicle and $8,254 for the related tax gross-up.</w:t>
      </w:r>
    </w:p>
    <w:p>
      <w:pPr>
        <w:spacing w:after="0" w:line="72" w:lineRule="exact"/>
        <w:rPr>
          <w:rFonts w:ascii="Arial" w:cs="Arial" w:eastAsia="Arial" w:hAnsi="Arial"/>
          <w:sz w:val="18"/>
          <w:szCs w:val="18"/>
          <w:color w:val="auto"/>
          <w:vertAlign w:val="superscript"/>
        </w:rPr>
      </w:pPr>
    </w:p>
    <w:p>
      <w:pPr>
        <w:ind w:left="322" w:hanging="142"/>
        <w:spacing w:after="0" w:line="217" w:lineRule="auto"/>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Income includes $14,274 for the Company-provided Lucid Air vehicle and $14,668 for the related tax gross-up.</w:t>
      </w:r>
    </w:p>
    <w:p>
      <w:pPr>
        <w:spacing w:after="0" w:line="72" w:lineRule="exact"/>
        <w:rPr>
          <w:rFonts w:ascii="Arial" w:cs="Arial" w:eastAsia="Arial" w:hAnsi="Arial"/>
          <w:sz w:val="17"/>
          <w:szCs w:val="17"/>
          <w:color w:val="auto"/>
          <w:vertAlign w:val="superscript"/>
        </w:rPr>
      </w:pPr>
    </w:p>
    <w:p>
      <w:pPr>
        <w:ind w:left="322" w:hanging="142"/>
        <w:spacing w:after="0" w:line="217" w:lineRule="auto"/>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Income inclusion $65,361 for the Company repurchase of the employee-owned Lucid Air vehicle and $72,969 for the related tax gross-up.</w:t>
      </w:r>
    </w:p>
    <w:p>
      <w:pPr>
        <w:spacing w:after="0" w:line="72" w:lineRule="exact"/>
        <w:rPr>
          <w:rFonts w:ascii="Arial" w:cs="Arial" w:eastAsia="Arial" w:hAnsi="Arial"/>
          <w:sz w:val="17"/>
          <w:szCs w:val="17"/>
          <w:color w:val="auto"/>
          <w:vertAlign w:val="superscript"/>
        </w:rPr>
      </w:pPr>
    </w:p>
    <w:p>
      <w:pPr>
        <w:ind w:left="302" w:hanging="122"/>
        <w:spacing w:after="0" w:line="205" w:lineRule="auto"/>
        <w:tabs>
          <w:tab w:leader="none" w:pos="302" w:val="left"/>
        </w:tabs>
        <w:numPr>
          <w:ilvl w:val="1"/>
          <w:numId w:val="44"/>
        </w:numPr>
        <w:rPr>
          <w:rFonts w:ascii="Arial" w:cs="Arial" w:eastAsia="Arial" w:hAnsi="Arial"/>
          <w:sz w:val="18"/>
          <w:szCs w:val="18"/>
          <w:color w:val="auto"/>
          <w:vertAlign w:val="superscript"/>
        </w:rPr>
      </w:pPr>
      <w:r>
        <w:rPr>
          <w:rFonts w:ascii="Arial" w:cs="Arial" w:eastAsia="Arial" w:hAnsi="Arial"/>
          <w:sz w:val="12"/>
          <w:szCs w:val="12"/>
          <w:color w:val="auto"/>
        </w:rPr>
        <w:t>Mr. Dhingra received a monthly stipend of $25,000 during his tenure as our Interim Chief Financial Officer in 2024.</w:t>
      </w:r>
    </w:p>
    <w:p>
      <w:pPr>
        <w:spacing w:after="0" w:line="103" w:lineRule="exact"/>
        <w:rPr>
          <w:rFonts w:ascii="Arial" w:cs="Arial" w:eastAsia="Arial" w:hAnsi="Arial"/>
          <w:sz w:val="18"/>
          <w:szCs w:val="18"/>
          <w:color w:val="auto"/>
          <w:vertAlign w:val="superscript"/>
        </w:rPr>
      </w:pPr>
    </w:p>
    <w:p>
      <w:pPr>
        <w:ind w:left="322" w:hanging="142"/>
        <w:spacing w:after="0"/>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In connection with his separation on May 3, 2024, Mr. Bell received salary continuation for nine months ($393,750); consulting fee for the period from May 3, 2024 to August 12, 2024 ($125,000); the incremental value of RSUs acceleration ($183,758); Company-paid healthcare continuation for nine months ($45,543); and Company-paid costs for 2024 tax preparation ($25,000).</w:t>
      </w:r>
    </w:p>
    <w:p>
      <w:pPr>
        <w:spacing w:after="0" w:line="206" w:lineRule="exact"/>
        <w:rPr>
          <w:rFonts w:ascii="Arial" w:cs="Arial" w:eastAsia="Arial" w:hAnsi="Arial"/>
          <w:sz w:val="17"/>
          <w:szCs w:val="17"/>
          <w:color w:val="auto"/>
          <w:vertAlign w:val="superscript"/>
        </w:rPr>
      </w:pPr>
    </w:p>
    <w:p>
      <w:pPr>
        <w:ind w:left="322" w:hanging="142"/>
        <w:spacing w:after="0"/>
        <w:tabs>
          <w:tab w:leader="none" w:pos="322" w:val="left"/>
        </w:tabs>
        <w:numPr>
          <w:ilvl w:val="1"/>
          <w:numId w:val="44"/>
        </w:numPr>
        <w:rPr>
          <w:rFonts w:ascii="Arial" w:cs="Arial" w:eastAsia="Arial" w:hAnsi="Arial"/>
          <w:sz w:val="17"/>
          <w:szCs w:val="17"/>
          <w:color w:val="auto"/>
          <w:vertAlign w:val="superscript"/>
        </w:rPr>
      </w:pPr>
      <w:r>
        <w:rPr>
          <w:rFonts w:ascii="Arial" w:cs="Arial" w:eastAsia="Arial" w:hAnsi="Arial"/>
          <w:sz w:val="11"/>
          <w:szCs w:val="11"/>
          <w:color w:val="auto"/>
        </w:rPr>
        <w:t>Amount includes communications stipends and executive disability premiums for each NEO, as well as the incremental cost of an executive physical benefit for Messrs. Winterhoff and Bach.</w:t>
      </w:r>
    </w:p>
    <w:p>
      <w:pPr>
        <w:spacing w:after="0" w:line="193" w:lineRule="exact"/>
        <w:rPr>
          <w:rFonts w:ascii="Arial" w:cs="Arial" w:eastAsia="Arial" w:hAnsi="Arial"/>
          <w:sz w:val="17"/>
          <w:szCs w:val="17"/>
          <w:color w:val="auto"/>
          <w:vertAlign w:val="superscript"/>
        </w:rPr>
      </w:pPr>
    </w:p>
    <w:p>
      <w:pPr>
        <w:ind w:left="142" w:hanging="142"/>
        <w:spacing w:after="0" w:line="212" w:lineRule="auto"/>
        <w:tabs>
          <w:tab w:leader="none" w:pos="142"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amounts reflect one-time bonus payments to Mr. Rawlinson and Mr. Bach for achieving a key milestone in the public reveal of the Lucid Gravity product line. Although approved and paid in 2024, these bonus payments were recognized in 2023 to reward years of development that led to the public reveal of the Lucid Gravity in 2023.</w:t>
      </w:r>
    </w:p>
    <w:p>
      <w:pPr>
        <w:spacing w:after="0" w:line="55"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Mr. Dhingra received a quarterly bonus of $50,000 during his tenure as our Interim Chief Financial Officer in 2024.</w:t>
      </w:r>
    </w:p>
    <w:p>
      <w:pPr>
        <w:sectPr>
          <w:pgSz w:w="11880" w:h="15480" w:orient="portrait"/>
          <w:cols w:equalWidth="0" w:num="1">
            <w:col w:w="10422"/>
          </w:cols>
          <w:pgMar w:left="718" w:top="91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63</w:t>
      </w:r>
    </w:p>
    <w:p>
      <w:pPr>
        <w:sectPr>
          <w:pgSz w:w="11880" w:h="15480" w:orient="portrait"/>
          <w:cols w:equalWidth="0" w:num="1">
            <w:col w:w="10422"/>
          </w:cols>
          <w:pgMar w:left="718" w:top="912" w:right="740" w:bottom="0" w:gutter="0" w:footer="0" w:header="0"/>
          <w:type w:val="continuous"/>
        </w:sectPr>
      </w:pPr>
    </w:p>
    <w:bookmarkStart w:id="69" w:name="page70"/>
    <w:bookmarkEnd w:id="69"/>
    <w:p>
      <w:pPr>
        <w:ind w:left="2"/>
        <w:spacing w:after="0"/>
        <w:rPr>
          <w:sz w:val="20"/>
          <w:szCs w:val="20"/>
          <w:color w:val="auto"/>
        </w:rPr>
      </w:pPr>
      <w:r>
        <w:rPr>
          <w:rFonts w:ascii="Times New Roman" w:cs="Times New Roman" w:eastAsia="Times New Roman" w:hAnsi="Times New Roman"/>
          <w:sz w:val="40"/>
          <w:szCs w:val="40"/>
          <w:color w:val="auto"/>
        </w:rPr>
        <w:t>Grants of Plan-Based Awards</w:t>
      </w:r>
    </w:p>
    <w:p>
      <w:pPr>
        <w:spacing w:after="0" w:line="200" w:lineRule="exact"/>
        <w:rPr>
          <w:sz w:val="20"/>
          <w:szCs w:val="20"/>
          <w:color w:val="auto"/>
        </w:rPr>
      </w:pPr>
    </w:p>
    <w:p>
      <w:pPr>
        <w:spacing w:after="0" w:line="300" w:lineRule="exact"/>
        <w:rPr>
          <w:sz w:val="20"/>
          <w:szCs w:val="20"/>
          <w:color w:val="auto"/>
        </w:rPr>
      </w:pPr>
    </w:p>
    <w:tbl>
      <w:tblPr>
        <w:tblLayout w:type="fixed"/>
        <w:tblInd w:w="2" w:type="dxa"/>
        <w:tblCellMar>
          <w:top w:w="0" w:type="dxa"/>
          <w:left w:w="0" w:type="dxa"/>
          <w:bottom w:w="0" w:type="dxa"/>
          <w:right w:w="0" w:type="dxa"/>
        </w:tblCellMar>
      </w:tblPr>
      <w:tr>
        <w:trPr>
          <w:trHeight w:val="303"/>
        </w:trPr>
        <w:tc>
          <w:tcPr>
            <w:tcW w:w="172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10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Grant Date</w:t>
            </w:r>
          </w:p>
        </w:tc>
        <w:tc>
          <w:tcPr>
            <w:tcW w:w="2580" w:type="dxa"/>
            <w:vAlign w:val="bottom"/>
            <w:gridSpan w:val="3"/>
            <w:shd w:val="clear" w:color="auto" w:fill="000000"/>
          </w:tcPr>
          <w:p>
            <w:pPr>
              <w:ind w:left="40"/>
              <w:spacing w:after="0"/>
              <w:rPr>
                <w:sz w:val="20"/>
                <w:szCs w:val="20"/>
                <w:color w:val="auto"/>
              </w:rPr>
            </w:pPr>
            <w:r>
              <w:rPr>
                <w:rFonts w:ascii="Arial" w:cs="Arial" w:eastAsia="Arial" w:hAnsi="Arial"/>
                <w:sz w:val="14"/>
                <w:szCs w:val="14"/>
                <w:color w:val="FFFFFF"/>
              </w:rPr>
              <w:t>Estimated Possible Payouts Under</w:t>
            </w:r>
          </w:p>
        </w:tc>
        <w:tc>
          <w:tcPr>
            <w:tcW w:w="2980" w:type="dxa"/>
            <w:vAlign w:val="bottom"/>
            <w:gridSpan w:val="3"/>
            <w:shd w:val="clear" w:color="auto" w:fill="000000"/>
          </w:tcPr>
          <w:p>
            <w:pPr>
              <w:ind w:left="140"/>
              <w:spacing w:after="0"/>
              <w:rPr>
                <w:sz w:val="20"/>
                <w:szCs w:val="20"/>
                <w:color w:val="auto"/>
              </w:rPr>
            </w:pPr>
            <w:r>
              <w:rPr>
                <w:rFonts w:ascii="Arial" w:cs="Arial" w:eastAsia="Arial" w:hAnsi="Arial"/>
                <w:sz w:val="14"/>
                <w:szCs w:val="14"/>
                <w:color w:val="FFFFFF"/>
              </w:rPr>
              <w:t>Estimated Future Payouts Under</w:t>
            </w:r>
          </w:p>
        </w:tc>
        <w:tc>
          <w:tcPr>
            <w:tcW w:w="1020" w:type="dxa"/>
            <w:vAlign w:val="bottom"/>
            <w:shd w:val="clear" w:color="auto" w:fill="000000"/>
          </w:tcPr>
          <w:p>
            <w:pPr>
              <w:ind w:left="40"/>
              <w:spacing w:after="0"/>
              <w:rPr>
                <w:sz w:val="20"/>
                <w:szCs w:val="20"/>
                <w:color w:val="auto"/>
              </w:rPr>
            </w:pPr>
            <w:r>
              <w:rPr>
                <w:rFonts w:ascii="Arial" w:cs="Arial" w:eastAsia="Arial" w:hAnsi="Arial"/>
                <w:sz w:val="14"/>
                <w:szCs w:val="14"/>
                <w:color w:val="FFFFFF"/>
              </w:rPr>
              <w:t>All Other</w:t>
            </w:r>
          </w:p>
        </w:tc>
        <w:tc>
          <w:tcPr>
            <w:tcW w:w="1120" w:type="dxa"/>
            <w:vAlign w:val="bottom"/>
            <w:shd w:val="clear" w:color="auto" w:fill="000000"/>
          </w:tcPr>
          <w:p>
            <w:pPr>
              <w:ind w:left="40"/>
              <w:spacing w:after="0"/>
              <w:rPr>
                <w:sz w:val="20"/>
                <w:szCs w:val="20"/>
                <w:color w:val="auto"/>
              </w:rPr>
            </w:pPr>
            <w:r>
              <w:rPr>
                <w:rFonts w:ascii="Arial" w:cs="Arial" w:eastAsia="Arial" w:hAnsi="Arial"/>
                <w:sz w:val="14"/>
                <w:szCs w:val="14"/>
                <w:color w:val="FFFFFF"/>
              </w:rPr>
              <w:t>Grant Date</w:t>
            </w:r>
          </w:p>
        </w:tc>
      </w:tr>
      <w:tr>
        <w:trPr>
          <w:trHeight w:val="160"/>
        </w:trPr>
        <w:tc>
          <w:tcPr>
            <w:tcW w:w="172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2580" w:type="dxa"/>
            <w:vAlign w:val="bottom"/>
            <w:gridSpan w:val="3"/>
            <w:shd w:val="clear" w:color="auto" w:fill="000000"/>
          </w:tcPr>
          <w:p>
            <w:pPr>
              <w:ind w:left="40"/>
              <w:spacing w:after="0" w:line="160" w:lineRule="exact"/>
              <w:rPr>
                <w:sz w:val="20"/>
                <w:szCs w:val="20"/>
                <w:color w:val="auto"/>
              </w:rPr>
            </w:pPr>
            <w:r>
              <w:rPr>
                <w:rFonts w:ascii="Arial" w:cs="Arial" w:eastAsia="Arial" w:hAnsi="Arial"/>
                <w:sz w:val="14"/>
                <w:szCs w:val="14"/>
                <w:color w:val="FFFFFF"/>
              </w:rPr>
              <w:t>Non-Equity Incentive Plan Awards</w:t>
            </w:r>
          </w:p>
        </w:tc>
        <w:tc>
          <w:tcPr>
            <w:tcW w:w="2980" w:type="dxa"/>
            <w:vAlign w:val="bottom"/>
            <w:gridSpan w:val="3"/>
            <w:shd w:val="clear" w:color="auto" w:fill="000000"/>
          </w:tcPr>
          <w:p>
            <w:pPr>
              <w:ind w:left="140"/>
              <w:spacing w:after="0" w:line="160" w:lineRule="exact"/>
              <w:rPr>
                <w:sz w:val="20"/>
                <w:szCs w:val="20"/>
                <w:color w:val="auto"/>
              </w:rPr>
            </w:pPr>
            <w:r>
              <w:rPr>
                <w:rFonts w:ascii="Arial" w:cs="Arial" w:eastAsia="Arial" w:hAnsi="Arial"/>
                <w:sz w:val="14"/>
                <w:szCs w:val="14"/>
                <w:color w:val="FFFFFF"/>
              </w:rPr>
              <w:t>Equity Incentive Plan Awards</w:t>
            </w:r>
          </w:p>
        </w:tc>
        <w:tc>
          <w:tcPr>
            <w:tcW w:w="10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Stock</w:t>
            </w:r>
          </w:p>
        </w:tc>
        <w:tc>
          <w:tcPr>
            <w:tcW w:w="11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Fair Value of</w:t>
            </w:r>
          </w:p>
        </w:tc>
      </w:tr>
      <w:tr>
        <w:trPr>
          <w:trHeight w:val="160"/>
        </w:trPr>
        <w:tc>
          <w:tcPr>
            <w:tcW w:w="172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8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980" w:type="dxa"/>
            <w:vAlign w:val="bottom"/>
            <w:shd w:val="clear" w:color="auto" w:fill="000000"/>
          </w:tcPr>
          <w:p>
            <w:pPr>
              <w:spacing w:after="0"/>
              <w:rPr>
                <w:sz w:val="13"/>
                <w:szCs w:val="13"/>
                <w:color w:val="auto"/>
              </w:rPr>
            </w:pPr>
          </w:p>
        </w:tc>
        <w:tc>
          <w:tcPr>
            <w:tcW w:w="10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Awards:</w:t>
            </w:r>
          </w:p>
        </w:tc>
        <w:tc>
          <w:tcPr>
            <w:tcW w:w="11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Stock and</w:t>
            </w:r>
          </w:p>
        </w:tc>
      </w:tr>
      <w:tr>
        <w:trPr>
          <w:trHeight w:val="160"/>
        </w:trPr>
        <w:tc>
          <w:tcPr>
            <w:tcW w:w="172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4580" w:type="dxa"/>
            <w:vAlign w:val="bottom"/>
            <w:gridSpan w:val="5"/>
            <w:shd w:val="clear" w:color="auto" w:fill="000000"/>
          </w:tcPr>
          <w:p>
            <w:pPr>
              <w:ind w:left="40"/>
              <w:spacing w:after="0" w:line="160" w:lineRule="exact"/>
              <w:rPr>
                <w:sz w:val="20"/>
                <w:szCs w:val="20"/>
                <w:color w:val="auto"/>
              </w:rPr>
            </w:pPr>
            <w:r>
              <w:rPr>
                <w:rFonts w:ascii="Arial" w:cs="Arial" w:eastAsia="Arial" w:hAnsi="Arial"/>
                <w:sz w:val="14"/>
                <w:szCs w:val="14"/>
                <w:color w:val="FFFFFF"/>
              </w:rPr>
              <w:t>Threshold ($) Target ($) Maximum ($) Threshold (#) Target (#)</w:t>
            </w:r>
          </w:p>
        </w:tc>
        <w:tc>
          <w:tcPr>
            <w:tcW w:w="98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Maximum (#)</w:t>
            </w:r>
          </w:p>
        </w:tc>
        <w:tc>
          <w:tcPr>
            <w:tcW w:w="10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Number of</w:t>
            </w:r>
          </w:p>
        </w:tc>
        <w:tc>
          <w:tcPr>
            <w:tcW w:w="1120" w:type="dxa"/>
            <w:vAlign w:val="bottom"/>
            <w:shd w:val="clear" w:color="auto" w:fill="000000"/>
          </w:tcPr>
          <w:p>
            <w:pPr>
              <w:ind w:left="40"/>
              <w:spacing w:after="0" w:line="160" w:lineRule="exact"/>
              <w:rPr>
                <w:sz w:val="20"/>
                <w:szCs w:val="20"/>
                <w:color w:val="auto"/>
              </w:rPr>
            </w:pPr>
            <w:r>
              <w:rPr>
                <w:rFonts w:ascii="Arial" w:cs="Arial" w:eastAsia="Arial" w:hAnsi="Arial"/>
                <w:sz w:val="14"/>
                <w:szCs w:val="14"/>
                <w:color w:val="FFFFFF"/>
              </w:rPr>
              <w:t>Option</w:t>
            </w:r>
          </w:p>
        </w:tc>
      </w:tr>
      <w:tr>
        <w:trPr>
          <w:trHeight w:val="153"/>
        </w:trPr>
        <w:tc>
          <w:tcPr>
            <w:tcW w:w="172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8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980" w:type="dxa"/>
            <w:vAlign w:val="bottom"/>
            <w:shd w:val="clear" w:color="auto" w:fill="000000"/>
          </w:tcPr>
          <w:p>
            <w:pPr>
              <w:spacing w:after="0"/>
              <w:rPr>
                <w:sz w:val="13"/>
                <w:szCs w:val="13"/>
                <w:color w:val="auto"/>
              </w:rPr>
            </w:pPr>
          </w:p>
        </w:tc>
        <w:tc>
          <w:tcPr>
            <w:tcW w:w="1020" w:type="dxa"/>
            <w:vAlign w:val="bottom"/>
            <w:shd w:val="clear" w:color="auto" w:fill="000000"/>
          </w:tcPr>
          <w:p>
            <w:pPr>
              <w:ind w:left="40"/>
              <w:spacing w:after="0" w:line="153" w:lineRule="exact"/>
              <w:rPr>
                <w:sz w:val="20"/>
                <w:szCs w:val="20"/>
                <w:color w:val="auto"/>
              </w:rPr>
            </w:pPr>
            <w:r>
              <w:rPr>
                <w:rFonts w:ascii="Arial" w:cs="Arial" w:eastAsia="Arial" w:hAnsi="Arial"/>
                <w:sz w:val="14"/>
                <w:szCs w:val="14"/>
                <w:color w:val="FFFFFF"/>
              </w:rPr>
              <w:t>Shares of</w:t>
            </w:r>
          </w:p>
        </w:tc>
        <w:tc>
          <w:tcPr>
            <w:tcW w:w="1120" w:type="dxa"/>
            <w:vAlign w:val="bottom"/>
            <w:shd w:val="clear" w:color="auto" w:fill="000000"/>
          </w:tcPr>
          <w:p>
            <w:pPr>
              <w:ind w:left="40"/>
              <w:spacing w:after="0" w:line="153" w:lineRule="exact"/>
              <w:rPr>
                <w:sz w:val="20"/>
                <w:szCs w:val="20"/>
                <w:color w:val="auto"/>
              </w:rPr>
            </w:pPr>
            <w:r>
              <w:rPr>
                <w:rFonts w:ascii="Arial" w:cs="Arial" w:eastAsia="Arial" w:hAnsi="Arial"/>
                <w:sz w:val="14"/>
                <w:szCs w:val="14"/>
                <w:color w:val="FFFFFF"/>
              </w:rPr>
              <w:t>Awards</w:t>
            </w:r>
          </w:p>
        </w:tc>
      </w:tr>
      <w:tr>
        <w:trPr>
          <w:trHeight w:val="166"/>
        </w:trPr>
        <w:tc>
          <w:tcPr>
            <w:tcW w:w="172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10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1020" w:type="dxa"/>
            <w:vAlign w:val="bottom"/>
            <w:shd w:val="clear" w:color="auto" w:fill="000000"/>
          </w:tcPr>
          <w:p>
            <w:pPr>
              <w:ind w:left="40"/>
              <w:spacing w:after="0"/>
              <w:rPr>
                <w:sz w:val="20"/>
                <w:szCs w:val="20"/>
                <w:color w:val="auto"/>
              </w:rPr>
            </w:pPr>
            <w:r>
              <w:rPr>
                <w:rFonts w:ascii="Arial" w:cs="Arial" w:eastAsia="Arial" w:hAnsi="Arial"/>
                <w:sz w:val="14"/>
                <w:szCs w:val="14"/>
                <w:color w:val="FFFFFF"/>
              </w:rPr>
              <w:t>Stock or Units</w:t>
            </w:r>
          </w:p>
        </w:tc>
        <w:tc>
          <w:tcPr>
            <w:tcW w:w="1120" w:type="dxa"/>
            <w:vAlign w:val="bottom"/>
            <w:shd w:val="clear" w:color="auto" w:fill="000000"/>
          </w:tcPr>
          <w:p>
            <w:pPr>
              <w:ind w:left="40"/>
              <w:spacing w:after="0" w:line="166" w:lineRule="exact"/>
              <w:rPr>
                <w:sz w:val="20"/>
                <w:szCs w:val="20"/>
                <w:color w:val="auto"/>
              </w:rPr>
            </w:pPr>
            <w:r>
              <w:rPr>
                <w:rFonts w:ascii="Arial" w:cs="Arial" w:eastAsia="Arial" w:hAnsi="Arial"/>
                <w:sz w:val="19"/>
                <w:szCs w:val="19"/>
                <w:color w:val="FFFFFF"/>
                <w:vertAlign w:val="subscript"/>
              </w:rPr>
              <w:t>($)</w:t>
            </w:r>
            <w:r>
              <w:rPr>
                <w:rFonts w:ascii="Arial" w:cs="Arial" w:eastAsia="Arial" w:hAnsi="Arial"/>
                <w:sz w:val="8"/>
                <w:szCs w:val="8"/>
                <w:color w:val="FFFFFF"/>
              </w:rPr>
              <w:t>(3)</w:t>
            </w:r>
          </w:p>
        </w:tc>
      </w:tr>
      <w:tr>
        <w:trPr>
          <w:trHeight w:val="172"/>
        </w:trPr>
        <w:tc>
          <w:tcPr>
            <w:tcW w:w="172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10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1020" w:type="dxa"/>
            <w:vAlign w:val="bottom"/>
            <w:shd w:val="clear" w:color="auto" w:fill="000000"/>
          </w:tcPr>
          <w:p>
            <w:pPr>
              <w:ind w:left="40"/>
              <w:spacing w:after="0"/>
              <w:rPr>
                <w:sz w:val="20"/>
                <w:szCs w:val="20"/>
                <w:color w:val="auto"/>
              </w:rPr>
            </w:pPr>
            <w:r>
              <w:rPr>
                <w:rFonts w:ascii="Arial" w:cs="Arial" w:eastAsia="Arial" w:hAnsi="Arial"/>
                <w:sz w:val="14"/>
                <w:szCs w:val="14"/>
                <w:color w:val="FFFFFF"/>
              </w:rPr>
              <w:t>(#)</w:t>
            </w:r>
          </w:p>
        </w:tc>
        <w:tc>
          <w:tcPr>
            <w:tcW w:w="1120" w:type="dxa"/>
            <w:vAlign w:val="bottom"/>
            <w:shd w:val="clear" w:color="auto" w:fill="000000"/>
          </w:tcPr>
          <w:p>
            <w:pPr>
              <w:spacing w:after="0"/>
              <w:rPr>
                <w:sz w:val="14"/>
                <w:szCs w:val="14"/>
                <w:color w:val="auto"/>
              </w:rPr>
            </w:pPr>
          </w:p>
        </w:tc>
      </w:tr>
      <w:tr>
        <w:trPr>
          <w:trHeight w:val="84"/>
        </w:trPr>
        <w:tc>
          <w:tcPr>
            <w:tcW w:w="17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2"/>
        </w:trPr>
        <w:tc>
          <w:tcPr>
            <w:tcW w:w="1720" w:type="dxa"/>
            <w:vAlign w:val="bottom"/>
          </w:tcPr>
          <w:p>
            <w:pPr>
              <w:ind w:left="180"/>
              <w:spacing w:after="0"/>
              <w:rPr>
                <w:sz w:val="20"/>
                <w:szCs w:val="20"/>
                <w:color w:val="auto"/>
              </w:rPr>
            </w:pPr>
            <w:r>
              <w:rPr>
                <w:rFonts w:ascii="Arial" w:cs="Arial" w:eastAsia="Arial" w:hAnsi="Arial"/>
                <w:sz w:val="16"/>
                <w:szCs w:val="16"/>
                <w:color w:val="auto"/>
              </w:rPr>
              <w:t>2024 Annual Cash</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7"/>
        </w:trPr>
        <w:tc>
          <w:tcPr>
            <w:tcW w:w="1720" w:type="dxa"/>
            <w:vAlign w:val="bottom"/>
          </w:tcPr>
          <w:p>
            <w:pPr>
              <w:ind w:left="180"/>
              <w:spacing w:after="0"/>
              <w:rPr>
                <w:sz w:val="20"/>
                <w:szCs w:val="20"/>
                <w:color w:val="auto"/>
              </w:rPr>
            </w:pPr>
            <w:r>
              <w:rPr>
                <w:rFonts w:ascii="Arial" w:cs="Arial" w:eastAsia="Arial" w:hAnsi="Arial"/>
                <w:sz w:val="16"/>
                <w:szCs w:val="16"/>
                <w:color w:val="auto"/>
              </w:rPr>
              <w:t>Incentive</w:t>
            </w: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ind w:left="40"/>
              <w:spacing w:after="0"/>
              <w:rPr>
                <w:sz w:val="20"/>
                <w:szCs w:val="20"/>
                <w:color w:val="auto"/>
              </w:rPr>
            </w:pPr>
            <w:r>
              <w:rPr>
                <w:rFonts w:ascii="Arial" w:cs="Arial" w:eastAsia="Arial" w:hAnsi="Arial"/>
                <w:sz w:val="16"/>
                <w:szCs w:val="16"/>
                <w:color w:val="auto"/>
              </w:rPr>
              <w:t>312,500</w:t>
            </w:r>
          </w:p>
        </w:tc>
        <w:tc>
          <w:tcPr>
            <w:tcW w:w="860" w:type="dxa"/>
            <w:vAlign w:val="bottom"/>
          </w:tcPr>
          <w:p>
            <w:pPr>
              <w:ind w:left="140"/>
              <w:spacing w:after="0"/>
              <w:rPr>
                <w:sz w:val="20"/>
                <w:szCs w:val="20"/>
                <w:color w:val="auto"/>
              </w:rPr>
            </w:pPr>
            <w:r>
              <w:rPr>
                <w:rFonts w:ascii="Arial" w:cs="Arial" w:eastAsia="Arial" w:hAnsi="Arial"/>
                <w:sz w:val="16"/>
                <w:szCs w:val="16"/>
                <w:color w:val="auto"/>
              </w:rPr>
              <w:t>625,000</w:t>
            </w:r>
          </w:p>
        </w:tc>
        <w:tc>
          <w:tcPr>
            <w:tcW w:w="840" w:type="dxa"/>
            <w:vAlign w:val="bottom"/>
          </w:tcPr>
          <w:p>
            <w:pPr>
              <w:ind w:left="20"/>
              <w:spacing w:after="0"/>
              <w:rPr>
                <w:sz w:val="20"/>
                <w:szCs w:val="20"/>
                <w:color w:val="auto"/>
              </w:rPr>
            </w:pPr>
            <w:r>
              <w:rPr>
                <w:rFonts w:ascii="Arial" w:cs="Arial" w:eastAsia="Arial" w:hAnsi="Arial"/>
                <w:sz w:val="16"/>
                <w:szCs w:val="16"/>
                <w:color w:val="auto"/>
              </w:rPr>
              <w:t>937,500</w:t>
            </w:r>
          </w:p>
        </w:tc>
        <w:tc>
          <w:tcPr>
            <w:tcW w:w="106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73"/>
        </w:trPr>
        <w:tc>
          <w:tcPr>
            <w:tcW w:w="17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6"/>
        </w:trPr>
        <w:tc>
          <w:tcPr>
            <w:tcW w:w="172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06"/>
        </w:trPr>
        <w:tc>
          <w:tcPr>
            <w:tcW w:w="1720" w:type="dxa"/>
            <w:vAlign w:val="bottom"/>
          </w:tcPr>
          <w:p>
            <w:pPr>
              <w:ind w:left="180"/>
              <w:spacing w:after="0"/>
              <w:rPr>
                <w:sz w:val="20"/>
                <w:szCs w:val="20"/>
                <w:color w:val="auto"/>
              </w:rPr>
            </w:pPr>
            <w:r>
              <w:rPr>
                <w:rFonts w:ascii="Arial" w:cs="Arial" w:eastAsia="Arial" w:hAnsi="Arial"/>
                <w:sz w:val="16"/>
                <w:szCs w:val="16"/>
                <w:color w:val="auto"/>
              </w:rPr>
              <w:t>2024 Annual Cash</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7"/>
        </w:trPr>
        <w:tc>
          <w:tcPr>
            <w:tcW w:w="1720" w:type="dxa"/>
            <w:vAlign w:val="bottom"/>
          </w:tcPr>
          <w:p>
            <w:pPr>
              <w:ind w:left="180"/>
              <w:spacing w:after="0"/>
              <w:rPr>
                <w:sz w:val="20"/>
                <w:szCs w:val="20"/>
                <w:color w:val="auto"/>
              </w:rPr>
            </w:pPr>
            <w:r>
              <w:rPr>
                <w:rFonts w:ascii="Arial" w:cs="Arial" w:eastAsia="Arial" w:hAnsi="Arial"/>
                <w:sz w:val="16"/>
                <w:szCs w:val="16"/>
                <w:color w:val="auto"/>
              </w:rPr>
              <w:t>Incentive</w:t>
            </w:r>
            <w:r>
              <w:rPr>
                <w:rFonts w:ascii="Arial" w:cs="Arial" w:eastAsia="Arial" w:hAnsi="Arial"/>
                <w:sz w:val="19"/>
                <w:szCs w:val="19"/>
                <w:color w:val="auto"/>
                <w:vertAlign w:val="superscript"/>
              </w:rPr>
              <w:t>(1)</w:t>
            </w: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ind w:left="40"/>
              <w:spacing w:after="0"/>
              <w:rPr>
                <w:sz w:val="20"/>
                <w:szCs w:val="20"/>
                <w:color w:val="auto"/>
              </w:rPr>
            </w:pPr>
            <w:r>
              <w:rPr>
                <w:rFonts w:ascii="Arial" w:cs="Arial" w:eastAsia="Arial" w:hAnsi="Arial"/>
                <w:sz w:val="16"/>
                <w:szCs w:val="16"/>
                <w:color w:val="auto"/>
              </w:rPr>
              <w:t>100,000</w:t>
            </w:r>
          </w:p>
        </w:tc>
        <w:tc>
          <w:tcPr>
            <w:tcW w:w="860" w:type="dxa"/>
            <w:vAlign w:val="bottom"/>
          </w:tcPr>
          <w:p>
            <w:pPr>
              <w:ind w:left="140"/>
              <w:spacing w:after="0"/>
              <w:rPr>
                <w:sz w:val="20"/>
                <w:szCs w:val="20"/>
                <w:color w:val="auto"/>
              </w:rPr>
            </w:pPr>
            <w:r>
              <w:rPr>
                <w:rFonts w:ascii="Arial" w:cs="Arial" w:eastAsia="Arial" w:hAnsi="Arial"/>
                <w:sz w:val="16"/>
                <w:szCs w:val="16"/>
                <w:color w:val="auto"/>
              </w:rPr>
              <w:t>200,000</w:t>
            </w:r>
          </w:p>
        </w:tc>
        <w:tc>
          <w:tcPr>
            <w:tcW w:w="840" w:type="dxa"/>
            <w:vAlign w:val="bottom"/>
          </w:tcPr>
          <w:p>
            <w:pPr>
              <w:ind w:left="20"/>
              <w:spacing w:after="0"/>
              <w:rPr>
                <w:sz w:val="20"/>
                <w:szCs w:val="20"/>
                <w:color w:val="auto"/>
              </w:rPr>
            </w:pPr>
            <w:r>
              <w:rPr>
                <w:rFonts w:ascii="Arial" w:cs="Arial" w:eastAsia="Arial" w:hAnsi="Arial"/>
                <w:sz w:val="16"/>
                <w:szCs w:val="16"/>
                <w:color w:val="auto"/>
              </w:rPr>
              <w:t>300,000</w:t>
            </w:r>
          </w:p>
        </w:tc>
        <w:tc>
          <w:tcPr>
            <w:tcW w:w="106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65"/>
        </w:trPr>
        <w:tc>
          <w:tcPr>
            <w:tcW w:w="1720" w:type="dxa"/>
            <w:vAlign w:val="bottom"/>
          </w:tcPr>
          <w:p>
            <w:pPr>
              <w:ind w:left="180"/>
              <w:spacing w:after="0"/>
              <w:rPr>
                <w:sz w:val="20"/>
                <w:szCs w:val="20"/>
                <w:color w:val="auto"/>
              </w:rPr>
            </w:pPr>
            <w:r>
              <w:rPr>
                <w:rFonts w:ascii="Arial" w:cs="Arial" w:eastAsia="Arial" w:hAnsi="Arial"/>
                <w:sz w:val="16"/>
                <w:szCs w:val="16"/>
                <w:color w:val="auto"/>
              </w:rPr>
              <w:t>RSU</w:t>
            </w:r>
          </w:p>
        </w:tc>
        <w:tc>
          <w:tcPr>
            <w:tcW w:w="1000" w:type="dxa"/>
            <w:vAlign w:val="bottom"/>
          </w:tcPr>
          <w:p>
            <w:pPr>
              <w:ind w:left="120"/>
              <w:spacing w:after="0"/>
              <w:rPr>
                <w:sz w:val="20"/>
                <w:szCs w:val="20"/>
                <w:color w:val="auto"/>
              </w:rPr>
            </w:pPr>
            <w:r>
              <w:rPr>
                <w:rFonts w:ascii="Arial" w:cs="Arial" w:eastAsia="Arial" w:hAnsi="Arial"/>
                <w:sz w:val="16"/>
                <w:szCs w:val="16"/>
                <w:color w:val="auto"/>
              </w:rPr>
              <w:t>9/15/2024</w:t>
            </w:r>
          </w:p>
        </w:tc>
        <w:tc>
          <w:tcPr>
            <w:tcW w:w="8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ind w:left="40"/>
              <w:spacing w:after="0"/>
              <w:rPr>
                <w:sz w:val="20"/>
                <w:szCs w:val="20"/>
                <w:color w:val="auto"/>
              </w:rPr>
            </w:pPr>
            <w:r>
              <w:rPr>
                <w:rFonts w:ascii="Arial" w:cs="Arial" w:eastAsia="Arial" w:hAnsi="Arial"/>
                <w:sz w:val="16"/>
                <w:szCs w:val="16"/>
                <w:color w:val="auto"/>
              </w:rPr>
              <w:t>417,153</w:t>
            </w:r>
          </w:p>
        </w:tc>
        <w:tc>
          <w:tcPr>
            <w:tcW w:w="1120" w:type="dxa"/>
            <w:vAlign w:val="bottom"/>
          </w:tcPr>
          <w:p>
            <w:pPr>
              <w:ind w:left="40"/>
              <w:spacing w:after="0"/>
              <w:rPr>
                <w:sz w:val="20"/>
                <w:szCs w:val="20"/>
                <w:color w:val="auto"/>
              </w:rPr>
            </w:pPr>
            <w:r>
              <w:rPr>
                <w:rFonts w:ascii="Arial" w:cs="Arial" w:eastAsia="Arial" w:hAnsi="Arial"/>
                <w:sz w:val="16"/>
                <w:szCs w:val="16"/>
                <w:color w:val="auto"/>
              </w:rPr>
              <w:t>1,643,583</w:t>
            </w:r>
          </w:p>
        </w:tc>
      </w:tr>
      <w:tr>
        <w:trPr>
          <w:trHeight w:val="329"/>
        </w:trPr>
        <w:tc>
          <w:tcPr>
            <w:tcW w:w="1720" w:type="dxa"/>
            <w:vAlign w:val="bottom"/>
          </w:tcPr>
          <w:p>
            <w:pPr>
              <w:ind w:left="180"/>
              <w:spacing w:after="0"/>
              <w:rPr>
                <w:sz w:val="20"/>
                <w:szCs w:val="20"/>
                <w:color w:val="auto"/>
              </w:rPr>
            </w:pPr>
            <w:r>
              <w:rPr>
                <w:rFonts w:ascii="Arial" w:cs="Arial" w:eastAsia="Arial" w:hAnsi="Arial"/>
                <w:sz w:val="16"/>
                <w:szCs w:val="16"/>
                <w:color w:val="auto"/>
              </w:rPr>
              <w:t>PSU</w:t>
            </w:r>
          </w:p>
        </w:tc>
        <w:tc>
          <w:tcPr>
            <w:tcW w:w="1880" w:type="dxa"/>
            <w:vAlign w:val="bottom"/>
            <w:gridSpan w:val="2"/>
          </w:tcPr>
          <w:p>
            <w:pPr>
              <w:ind w:left="120"/>
              <w:spacing w:after="0"/>
              <w:rPr>
                <w:sz w:val="20"/>
                <w:szCs w:val="20"/>
                <w:color w:val="auto"/>
              </w:rPr>
            </w:pPr>
            <w:r>
              <w:rPr>
                <w:rFonts w:ascii="Arial" w:cs="Arial" w:eastAsia="Arial" w:hAnsi="Arial"/>
                <w:sz w:val="16"/>
                <w:szCs w:val="16"/>
                <w:color w:val="auto"/>
              </w:rPr>
              <w:t>9/15/2024 —</w:t>
            </w:r>
          </w:p>
        </w:tc>
        <w:tc>
          <w:tcPr>
            <w:tcW w:w="86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ind w:left="140"/>
              <w:spacing w:after="0"/>
              <w:rPr>
                <w:sz w:val="20"/>
                <w:szCs w:val="20"/>
                <w:color w:val="auto"/>
              </w:rPr>
            </w:pPr>
            <w:r>
              <w:rPr>
                <w:rFonts w:ascii="Arial" w:cs="Arial" w:eastAsia="Arial" w:hAnsi="Arial"/>
                <w:sz w:val="16"/>
                <w:szCs w:val="16"/>
                <w:color w:val="auto"/>
              </w:rPr>
              <w:t>208,577</w:t>
            </w:r>
          </w:p>
        </w:tc>
        <w:tc>
          <w:tcPr>
            <w:tcW w:w="940" w:type="dxa"/>
            <w:vAlign w:val="bottom"/>
          </w:tcPr>
          <w:p>
            <w:pPr>
              <w:ind w:left="100"/>
              <w:spacing w:after="0"/>
              <w:rPr>
                <w:sz w:val="20"/>
                <w:szCs w:val="20"/>
                <w:color w:val="auto"/>
              </w:rPr>
            </w:pPr>
            <w:r>
              <w:rPr>
                <w:rFonts w:ascii="Arial" w:cs="Arial" w:eastAsia="Arial" w:hAnsi="Arial"/>
                <w:sz w:val="16"/>
                <w:szCs w:val="16"/>
                <w:color w:val="auto"/>
              </w:rPr>
              <w:t>417,153</w:t>
            </w:r>
          </w:p>
        </w:tc>
        <w:tc>
          <w:tcPr>
            <w:tcW w:w="980" w:type="dxa"/>
            <w:vAlign w:val="bottom"/>
          </w:tcPr>
          <w:p>
            <w:pPr>
              <w:ind w:left="40"/>
              <w:spacing w:after="0"/>
              <w:rPr>
                <w:sz w:val="20"/>
                <w:szCs w:val="20"/>
                <w:color w:val="auto"/>
              </w:rPr>
            </w:pPr>
            <w:r>
              <w:rPr>
                <w:rFonts w:ascii="Arial" w:cs="Arial" w:eastAsia="Arial" w:hAnsi="Arial"/>
                <w:sz w:val="16"/>
                <w:szCs w:val="16"/>
                <w:color w:val="auto"/>
              </w:rPr>
              <w:t>625,730</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1,643,583</w:t>
            </w:r>
          </w:p>
        </w:tc>
      </w:tr>
      <w:tr>
        <w:trPr>
          <w:trHeight w:val="73"/>
        </w:trPr>
        <w:tc>
          <w:tcPr>
            <w:tcW w:w="17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6"/>
        </w:trPr>
        <w:tc>
          <w:tcPr>
            <w:tcW w:w="172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12"/>
        </w:trPr>
        <w:tc>
          <w:tcPr>
            <w:tcW w:w="1720" w:type="dxa"/>
            <w:vAlign w:val="bottom"/>
          </w:tcPr>
          <w:p>
            <w:pPr>
              <w:ind w:left="180"/>
              <w:spacing w:after="0"/>
              <w:rPr>
                <w:sz w:val="20"/>
                <w:szCs w:val="20"/>
                <w:color w:val="auto"/>
              </w:rPr>
            </w:pPr>
            <w:r>
              <w:rPr>
                <w:rFonts w:ascii="Arial" w:cs="Arial" w:eastAsia="Arial" w:hAnsi="Arial"/>
                <w:sz w:val="16"/>
                <w:szCs w:val="16"/>
                <w:color w:val="auto"/>
              </w:rPr>
              <w:t>2024 Annual Cash</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7"/>
        </w:trPr>
        <w:tc>
          <w:tcPr>
            <w:tcW w:w="1720" w:type="dxa"/>
            <w:vAlign w:val="bottom"/>
          </w:tcPr>
          <w:p>
            <w:pPr>
              <w:ind w:left="180"/>
              <w:spacing w:after="0"/>
              <w:rPr>
                <w:sz w:val="20"/>
                <w:szCs w:val="20"/>
                <w:color w:val="auto"/>
              </w:rPr>
            </w:pPr>
            <w:r>
              <w:rPr>
                <w:rFonts w:ascii="Arial" w:cs="Arial" w:eastAsia="Arial" w:hAnsi="Arial"/>
                <w:sz w:val="16"/>
                <w:szCs w:val="16"/>
                <w:color w:val="auto"/>
              </w:rPr>
              <w:t>Incentive</w:t>
            </w:r>
          </w:p>
        </w:tc>
        <w:tc>
          <w:tcPr>
            <w:tcW w:w="1000" w:type="dxa"/>
            <w:vAlign w:val="bottom"/>
          </w:tcPr>
          <w:p>
            <w:pPr>
              <w:spacing w:after="0"/>
              <w:rPr>
                <w:sz w:val="17"/>
                <w:szCs w:val="17"/>
                <w:color w:val="auto"/>
              </w:rPr>
            </w:pPr>
          </w:p>
        </w:tc>
        <w:tc>
          <w:tcPr>
            <w:tcW w:w="880" w:type="dxa"/>
            <w:vAlign w:val="bottom"/>
          </w:tcPr>
          <w:p>
            <w:pPr>
              <w:ind w:left="40"/>
              <w:spacing w:after="0"/>
              <w:rPr>
                <w:sz w:val="20"/>
                <w:szCs w:val="20"/>
                <w:color w:val="auto"/>
              </w:rPr>
            </w:pPr>
            <w:r>
              <w:rPr>
                <w:rFonts w:ascii="Arial" w:cs="Arial" w:eastAsia="Arial" w:hAnsi="Arial"/>
                <w:sz w:val="16"/>
                <w:szCs w:val="16"/>
                <w:color w:val="auto"/>
              </w:rPr>
              <w:t>267,750</w:t>
            </w:r>
          </w:p>
        </w:tc>
        <w:tc>
          <w:tcPr>
            <w:tcW w:w="860" w:type="dxa"/>
            <w:vAlign w:val="bottom"/>
          </w:tcPr>
          <w:p>
            <w:pPr>
              <w:ind w:left="140"/>
              <w:spacing w:after="0"/>
              <w:rPr>
                <w:sz w:val="20"/>
                <w:szCs w:val="20"/>
                <w:color w:val="auto"/>
              </w:rPr>
            </w:pPr>
            <w:r>
              <w:rPr>
                <w:rFonts w:ascii="Arial" w:cs="Arial" w:eastAsia="Arial" w:hAnsi="Arial"/>
                <w:sz w:val="16"/>
                <w:szCs w:val="16"/>
                <w:color w:val="auto"/>
              </w:rPr>
              <w:t>535,500</w:t>
            </w:r>
          </w:p>
        </w:tc>
        <w:tc>
          <w:tcPr>
            <w:tcW w:w="840" w:type="dxa"/>
            <w:vAlign w:val="bottom"/>
          </w:tcPr>
          <w:p>
            <w:pPr>
              <w:ind w:left="20"/>
              <w:spacing w:after="0"/>
              <w:rPr>
                <w:sz w:val="20"/>
                <w:szCs w:val="20"/>
                <w:color w:val="auto"/>
              </w:rPr>
            </w:pPr>
            <w:r>
              <w:rPr>
                <w:rFonts w:ascii="Arial" w:cs="Arial" w:eastAsia="Arial" w:hAnsi="Arial"/>
                <w:sz w:val="16"/>
                <w:szCs w:val="16"/>
                <w:color w:val="auto"/>
              </w:rPr>
              <w:t>803,250</w:t>
            </w:r>
          </w:p>
        </w:tc>
        <w:tc>
          <w:tcPr>
            <w:tcW w:w="106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398"/>
        </w:trPr>
        <w:tc>
          <w:tcPr>
            <w:tcW w:w="1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PSU</w:t>
            </w:r>
            <w:r>
              <w:rPr>
                <w:rFonts w:ascii="Arial" w:cs="Arial" w:eastAsia="Arial" w:hAnsi="Arial"/>
                <w:sz w:val="19"/>
                <w:szCs w:val="19"/>
                <w:color w:val="auto"/>
                <w:vertAlign w:val="superscript"/>
              </w:rPr>
              <w:t>(2)</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6/21/2024</w:t>
            </w: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1,068,338</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2,136,676</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3,205,014</w:t>
            </w: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5,320,323</w:t>
            </w:r>
          </w:p>
        </w:tc>
      </w:tr>
      <w:tr>
        <w:trPr>
          <w:trHeight w:val="251"/>
        </w:trPr>
        <w:tc>
          <w:tcPr>
            <w:tcW w:w="172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05"/>
        </w:trPr>
        <w:tc>
          <w:tcPr>
            <w:tcW w:w="1720" w:type="dxa"/>
            <w:vAlign w:val="bottom"/>
          </w:tcPr>
          <w:p>
            <w:pPr>
              <w:ind w:left="180"/>
              <w:spacing w:after="0"/>
              <w:rPr>
                <w:sz w:val="20"/>
                <w:szCs w:val="20"/>
                <w:color w:val="auto"/>
              </w:rPr>
            </w:pPr>
            <w:r>
              <w:rPr>
                <w:rFonts w:ascii="Arial" w:cs="Arial" w:eastAsia="Arial" w:hAnsi="Arial"/>
                <w:sz w:val="16"/>
                <w:szCs w:val="16"/>
                <w:color w:val="auto"/>
              </w:rPr>
              <w:t>2024 Annual Cash</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7"/>
        </w:trPr>
        <w:tc>
          <w:tcPr>
            <w:tcW w:w="1720" w:type="dxa"/>
            <w:vAlign w:val="bottom"/>
          </w:tcPr>
          <w:p>
            <w:pPr>
              <w:ind w:left="180"/>
              <w:spacing w:after="0"/>
              <w:rPr>
                <w:sz w:val="20"/>
                <w:szCs w:val="20"/>
                <w:color w:val="auto"/>
              </w:rPr>
            </w:pPr>
            <w:r>
              <w:rPr>
                <w:rFonts w:ascii="Arial" w:cs="Arial" w:eastAsia="Arial" w:hAnsi="Arial"/>
                <w:sz w:val="16"/>
                <w:szCs w:val="16"/>
                <w:color w:val="auto"/>
              </w:rPr>
              <w:t>Incentive</w:t>
            </w:r>
            <w:r>
              <w:rPr>
                <w:rFonts w:ascii="Arial" w:cs="Arial" w:eastAsia="Arial" w:hAnsi="Arial"/>
                <w:sz w:val="19"/>
                <w:szCs w:val="19"/>
                <w:color w:val="auto"/>
                <w:vertAlign w:val="superscript"/>
              </w:rPr>
              <w:t>(1)</w:t>
            </w: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ind w:left="40"/>
              <w:spacing w:after="0"/>
              <w:rPr>
                <w:sz w:val="20"/>
                <w:szCs w:val="20"/>
                <w:color w:val="auto"/>
              </w:rPr>
            </w:pPr>
            <w:r>
              <w:rPr>
                <w:rFonts w:ascii="Arial" w:cs="Arial" w:eastAsia="Arial" w:hAnsi="Arial"/>
                <w:sz w:val="16"/>
                <w:szCs w:val="16"/>
                <w:color w:val="auto"/>
              </w:rPr>
              <w:t>226,875</w:t>
            </w:r>
          </w:p>
        </w:tc>
        <w:tc>
          <w:tcPr>
            <w:tcW w:w="860" w:type="dxa"/>
            <w:vAlign w:val="bottom"/>
          </w:tcPr>
          <w:p>
            <w:pPr>
              <w:ind w:left="140"/>
              <w:spacing w:after="0"/>
              <w:rPr>
                <w:sz w:val="20"/>
                <w:szCs w:val="20"/>
                <w:color w:val="auto"/>
              </w:rPr>
            </w:pPr>
            <w:r>
              <w:rPr>
                <w:rFonts w:ascii="Arial" w:cs="Arial" w:eastAsia="Arial" w:hAnsi="Arial"/>
                <w:sz w:val="16"/>
                <w:szCs w:val="16"/>
                <w:color w:val="auto"/>
              </w:rPr>
              <w:t>453,750</w:t>
            </w:r>
          </w:p>
        </w:tc>
        <w:tc>
          <w:tcPr>
            <w:tcW w:w="840" w:type="dxa"/>
            <w:vAlign w:val="bottom"/>
          </w:tcPr>
          <w:p>
            <w:pPr>
              <w:ind w:left="20"/>
              <w:spacing w:after="0"/>
              <w:rPr>
                <w:sz w:val="20"/>
                <w:szCs w:val="20"/>
                <w:color w:val="auto"/>
              </w:rPr>
            </w:pPr>
            <w:r>
              <w:rPr>
                <w:rFonts w:ascii="Arial" w:cs="Arial" w:eastAsia="Arial" w:hAnsi="Arial"/>
                <w:sz w:val="16"/>
                <w:szCs w:val="16"/>
                <w:color w:val="auto"/>
              </w:rPr>
              <w:t>680,625</w:t>
            </w:r>
          </w:p>
        </w:tc>
        <w:tc>
          <w:tcPr>
            <w:tcW w:w="106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65"/>
        </w:trPr>
        <w:tc>
          <w:tcPr>
            <w:tcW w:w="1720" w:type="dxa"/>
            <w:vAlign w:val="bottom"/>
          </w:tcPr>
          <w:p>
            <w:pPr>
              <w:ind w:left="180"/>
              <w:spacing w:after="0"/>
              <w:rPr>
                <w:sz w:val="20"/>
                <w:szCs w:val="20"/>
                <w:color w:val="auto"/>
              </w:rPr>
            </w:pPr>
            <w:r>
              <w:rPr>
                <w:rFonts w:ascii="Arial" w:cs="Arial" w:eastAsia="Arial" w:hAnsi="Arial"/>
                <w:sz w:val="16"/>
                <w:szCs w:val="16"/>
                <w:color w:val="auto"/>
              </w:rPr>
              <w:t>RSU</w:t>
            </w:r>
          </w:p>
        </w:tc>
        <w:tc>
          <w:tcPr>
            <w:tcW w:w="1000" w:type="dxa"/>
            <w:vAlign w:val="bottom"/>
          </w:tcPr>
          <w:p>
            <w:pPr>
              <w:ind w:left="120"/>
              <w:spacing w:after="0"/>
              <w:rPr>
                <w:sz w:val="20"/>
                <w:szCs w:val="20"/>
                <w:color w:val="auto"/>
              </w:rPr>
            </w:pPr>
            <w:r>
              <w:rPr>
                <w:rFonts w:ascii="Arial" w:cs="Arial" w:eastAsia="Arial" w:hAnsi="Arial"/>
                <w:sz w:val="16"/>
                <w:szCs w:val="16"/>
                <w:color w:val="auto"/>
              </w:rPr>
              <w:t>9/15/2024</w:t>
            </w:r>
          </w:p>
        </w:tc>
        <w:tc>
          <w:tcPr>
            <w:tcW w:w="8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ind w:left="40"/>
              <w:spacing w:after="0"/>
              <w:rPr>
                <w:sz w:val="20"/>
                <w:szCs w:val="20"/>
                <w:color w:val="auto"/>
              </w:rPr>
            </w:pPr>
            <w:r>
              <w:rPr>
                <w:rFonts w:ascii="Arial" w:cs="Arial" w:eastAsia="Arial" w:hAnsi="Arial"/>
                <w:sz w:val="16"/>
                <w:szCs w:val="16"/>
                <w:color w:val="auto"/>
              </w:rPr>
              <w:t>1,001,168</w:t>
            </w:r>
          </w:p>
        </w:tc>
        <w:tc>
          <w:tcPr>
            <w:tcW w:w="1120" w:type="dxa"/>
            <w:vAlign w:val="bottom"/>
          </w:tcPr>
          <w:p>
            <w:pPr>
              <w:ind w:left="40"/>
              <w:spacing w:after="0"/>
              <w:rPr>
                <w:sz w:val="20"/>
                <w:szCs w:val="20"/>
                <w:color w:val="auto"/>
              </w:rPr>
            </w:pPr>
            <w:r>
              <w:rPr>
                <w:rFonts w:ascii="Arial" w:cs="Arial" w:eastAsia="Arial" w:hAnsi="Arial"/>
                <w:sz w:val="16"/>
                <w:szCs w:val="16"/>
                <w:color w:val="auto"/>
              </w:rPr>
              <w:t>3,944,602</w:t>
            </w:r>
          </w:p>
        </w:tc>
      </w:tr>
      <w:tr>
        <w:trPr>
          <w:trHeight w:val="329"/>
        </w:trPr>
        <w:tc>
          <w:tcPr>
            <w:tcW w:w="1720" w:type="dxa"/>
            <w:vAlign w:val="bottom"/>
          </w:tcPr>
          <w:p>
            <w:pPr>
              <w:ind w:left="180"/>
              <w:spacing w:after="0"/>
              <w:rPr>
                <w:sz w:val="20"/>
                <w:szCs w:val="20"/>
                <w:color w:val="auto"/>
              </w:rPr>
            </w:pPr>
            <w:r>
              <w:rPr>
                <w:rFonts w:ascii="Arial" w:cs="Arial" w:eastAsia="Arial" w:hAnsi="Arial"/>
                <w:sz w:val="16"/>
                <w:szCs w:val="16"/>
                <w:color w:val="auto"/>
              </w:rPr>
              <w:t>PSU</w:t>
            </w:r>
          </w:p>
        </w:tc>
        <w:tc>
          <w:tcPr>
            <w:tcW w:w="1880" w:type="dxa"/>
            <w:vAlign w:val="bottom"/>
            <w:gridSpan w:val="2"/>
          </w:tcPr>
          <w:p>
            <w:pPr>
              <w:ind w:left="120"/>
              <w:spacing w:after="0"/>
              <w:rPr>
                <w:sz w:val="20"/>
                <w:szCs w:val="20"/>
                <w:color w:val="auto"/>
              </w:rPr>
            </w:pPr>
            <w:r>
              <w:rPr>
                <w:rFonts w:ascii="Arial" w:cs="Arial" w:eastAsia="Arial" w:hAnsi="Arial"/>
                <w:sz w:val="16"/>
                <w:szCs w:val="16"/>
                <w:color w:val="auto"/>
              </w:rPr>
              <w:t>9/15/2024 —</w:t>
            </w:r>
          </w:p>
        </w:tc>
        <w:tc>
          <w:tcPr>
            <w:tcW w:w="86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ind w:left="140"/>
              <w:spacing w:after="0"/>
              <w:rPr>
                <w:sz w:val="20"/>
                <w:szCs w:val="20"/>
                <w:color w:val="auto"/>
              </w:rPr>
            </w:pPr>
            <w:r>
              <w:rPr>
                <w:rFonts w:ascii="Arial" w:cs="Arial" w:eastAsia="Arial" w:hAnsi="Arial"/>
                <w:sz w:val="16"/>
                <w:szCs w:val="16"/>
                <w:color w:val="auto"/>
              </w:rPr>
              <w:t>750,876</w:t>
            </w:r>
          </w:p>
        </w:tc>
        <w:tc>
          <w:tcPr>
            <w:tcW w:w="940" w:type="dxa"/>
            <w:vAlign w:val="bottom"/>
          </w:tcPr>
          <w:p>
            <w:pPr>
              <w:ind w:left="100"/>
              <w:spacing w:after="0"/>
              <w:rPr>
                <w:sz w:val="20"/>
                <w:szCs w:val="20"/>
                <w:color w:val="auto"/>
              </w:rPr>
            </w:pPr>
            <w:r>
              <w:rPr>
                <w:rFonts w:ascii="Arial" w:cs="Arial" w:eastAsia="Arial" w:hAnsi="Arial"/>
                <w:sz w:val="16"/>
                <w:szCs w:val="16"/>
                <w:color w:val="auto"/>
              </w:rPr>
              <w:t>1,501,752</w:t>
            </w:r>
          </w:p>
        </w:tc>
        <w:tc>
          <w:tcPr>
            <w:tcW w:w="980" w:type="dxa"/>
            <w:vAlign w:val="bottom"/>
          </w:tcPr>
          <w:p>
            <w:pPr>
              <w:ind w:left="40"/>
              <w:spacing w:after="0"/>
              <w:rPr>
                <w:sz w:val="20"/>
                <w:szCs w:val="20"/>
                <w:color w:val="auto"/>
              </w:rPr>
            </w:pPr>
            <w:r>
              <w:rPr>
                <w:rFonts w:ascii="Arial" w:cs="Arial" w:eastAsia="Arial" w:hAnsi="Arial"/>
                <w:sz w:val="16"/>
                <w:szCs w:val="16"/>
                <w:color w:val="auto"/>
              </w:rPr>
              <w:t>2,252,628</w:t>
            </w:r>
          </w:p>
        </w:tc>
        <w:tc>
          <w:tcPr>
            <w:tcW w:w="102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0"/>
              <w:spacing w:after="0"/>
              <w:rPr>
                <w:sz w:val="20"/>
                <w:szCs w:val="20"/>
                <w:color w:val="auto"/>
              </w:rPr>
            </w:pPr>
            <w:r>
              <w:rPr>
                <w:rFonts w:ascii="Arial" w:cs="Arial" w:eastAsia="Arial" w:hAnsi="Arial"/>
                <w:sz w:val="16"/>
                <w:szCs w:val="16"/>
                <w:color w:val="auto"/>
              </w:rPr>
              <w:t>5,916,903</w:t>
            </w:r>
          </w:p>
        </w:tc>
      </w:tr>
      <w:tr>
        <w:trPr>
          <w:trHeight w:val="73"/>
        </w:trPr>
        <w:tc>
          <w:tcPr>
            <w:tcW w:w="17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311"/>
        </w:trPr>
        <w:tc>
          <w:tcPr>
            <w:tcW w:w="172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(4)</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3"/>
        </w:trPr>
        <w:tc>
          <w:tcPr>
            <w:tcW w:w="17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1748790</wp:posOffset>
                </wp:positionH>
                <wp:positionV relativeFrom="paragraph">
                  <wp:posOffset>-3966210</wp:posOffset>
                </wp:positionV>
                <wp:extent cx="165925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925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7pt,-312.2999pt" to="268.35pt,-312.29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3458845</wp:posOffset>
                </wp:positionH>
                <wp:positionV relativeFrom="paragraph">
                  <wp:posOffset>-3966210</wp:posOffset>
                </wp:positionV>
                <wp:extent cx="177228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228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35pt,-312.2999pt" to="411.9pt,-312.2999pt" o:allowincell="f" strokecolor="#FFFFFF" strokeweight="0.499pt"/>
            </w:pict>
          </mc:Fallback>
        </mc:AlternateContent>
      </w:r>
    </w:p>
    <w:p>
      <w:pPr>
        <w:spacing w:after="0" w:line="244" w:lineRule="exact"/>
        <w:rPr>
          <w:sz w:val="20"/>
          <w:szCs w:val="20"/>
          <w:color w:val="auto"/>
        </w:rPr>
      </w:pPr>
    </w:p>
    <w:p>
      <w:pPr>
        <w:ind w:left="142" w:hanging="142"/>
        <w:spacing w:after="0"/>
        <w:tabs>
          <w:tab w:leader="none" w:pos="142"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For Messrs. Dhingra and Bach, the 2024 AIP amounts are adjusted to reflect base salary increases during 2024.</w:t>
      </w:r>
    </w:p>
    <w:p>
      <w:pPr>
        <w:spacing w:after="0" w:line="103" w:lineRule="exact"/>
        <w:rPr>
          <w:rFonts w:ascii="Arial" w:cs="Arial" w:eastAsia="Arial" w:hAnsi="Arial"/>
          <w:sz w:val="17"/>
          <w:szCs w:val="17"/>
          <w:color w:val="auto"/>
          <w:vertAlign w:val="superscript"/>
        </w:rPr>
      </w:pPr>
    </w:p>
    <w:p>
      <w:pPr>
        <w:ind w:left="142" w:right="120" w:hanging="142"/>
        <w:spacing w:after="0" w:line="212" w:lineRule="auto"/>
        <w:tabs>
          <w:tab w:leader="none" w:pos="141"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Pursuant to the terms of the offer letter in connection with Mr. Winterhoff’s employment with the Company on December 4, 2023, Mr. Winterhoff was granted a PSU award with a target value of $6,000,000 in 2024.</w:t>
      </w:r>
    </w:p>
    <w:p>
      <w:pPr>
        <w:spacing w:after="0" w:line="104" w:lineRule="exact"/>
        <w:rPr>
          <w:rFonts w:ascii="Arial" w:cs="Arial" w:eastAsia="Arial" w:hAnsi="Arial"/>
          <w:sz w:val="17"/>
          <w:szCs w:val="17"/>
          <w:color w:val="auto"/>
          <w:vertAlign w:val="superscript"/>
        </w:rPr>
      </w:pPr>
    </w:p>
    <w:p>
      <w:pPr>
        <w:ind w:left="142" w:right="100" w:hanging="142"/>
        <w:spacing w:after="0"/>
        <w:tabs>
          <w:tab w:leader="none" w:pos="142"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Represents the grant date fair value of RSUs and PSUs granted during 2024, calculated in accordance with FASB ASC Topic 718. PSU values in this column the Stock Awards column of the 2024 Summary Compensation Table are based on performance achieved at target levels for the PSUs, which was the probable outcome of performance conditions as of the grant date for the PSUs.</w:t>
      </w:r>
    </w:p>
    <w:p>
      <w:pPr>
        <w:spacing w:after="0" w:line="157"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46"/>
        </w:numPr>
        <w:rPr>
          <w:rFonts w:ascii="Arial" w:cs="Arial" w:eastAsia="Arial" w:hAnsi="Arial"/>
          <w:sz w:val="17"/>
          <w:szCs w:val="17"/>
          <w:color w:val="auto"/>
          <w:vertAlign w:val="superscript"/>
        </w:rPr>
      </w:pPr>
      <w:r>
        <w:rPr>
          <w:rFonts w:ascii="Arial" w:cs="Arial" w:eastAsia="Arial" w:hAnsi="Arial"/>
          <w:sz w:val="11"/>
          <w:szCs w:val="11"/>
          <w:color w:val="auto"/>
        </w:rPr>
        <w:t>Mr. Bell was not granted any annual cash incentive or equity awards in 2024, prior to his separation in May 2024.</w:t>
      </w:r>
    </w:p>
    <w:p>
      <w:pPr>
        <w:sectPr>
          <w:pgSz w:w="11880" w:h="15480" w:orient="portrait"/>
          <w:cols w:equalWidth="0" w:num="1">
            <w:col w:w="10422"/>
          </w:cols>
          <w:pgMar w:left="718"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876" w:right="740" w:bottom="0" w:gutter="0" w:footer="0" w:header="0"/>
          <w:type w:val="continuous"/>
        </w:sectPr>
      </w:pPr>
    </w:p>
    <w:bookmarkStart w:id="70" w:name="page71"/>
    <w:bookmarkEnd w:id="70"/>
    <w:p>
      <w:pPr>
        <w:ind w:left="2"/>
        <w:spacing w:after="0"/>
        <w:rPr>
          <w:sz w:val="20"/>
          <w:szCs w:val="20"/>
          <w:color w:val="auto"/>
        </w:rPr>
      </w:pPr>
      <w:r>
        <w:rPr>
          <w:rFonts w:ascii="Times New Roman" w:cs="Times New Roman" w:eastAsia="Times New Roman" w:hAnsi="Times New Roman"/>
          <w:sz w:val="40"/>
          <w:szCs w:val="40"/>
          <w:color w:val="auto"/>
        </w:rPr>
        <w:t>Outstanding Equity Awards at Fiscal Year-End</w:t>
      </w:r>
    </w:p>
    <w:p>
      <w:pPr>
        <w:spacing w:after="0" w:line="200" w:lineRule="exact"/>
        <w:rPr>
          <w:sz w:val="20"/>
          <w:szCs w:val="20"/>
          <w:color w:val="auto"/>
        </w:rPr>
      </w:pPr>
    </w:p>
    <w:p>
      <w:pPr>
        <w:spacing w:after="0" w:line="300"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1140" w:type="dxa"/>
            <w:vAlign w:val="bottom"/>
            <w:shd w:val="clear" w:color="auto" w:fill="000000"/>
          </w:tcPr>
          <w:p>
            <w:pPr>
              <w:spacing w:after="0"/>
              <w:rPr>
                <w:sz w:val="24"/>
                <w:szCs w:val="24"/>
                <w:color w:val="auto"/>
              </w:rPr>
            </w:pPr>
          </w:p>
        </w:tc>
        <w:tc>
          <w:tcPr>
            <w:tcW w:w="1200" w:type="dxa"/>
            <w:vAlign w:val="bottom"/>
            <w:shd w:val="clear" w:color="auto" w:fill="000000"/>
          </w:tcPr>
          <w:p>
            <w:pPr>
              <w:ind w:left="160"/>
              <w:spacing w:after="0"/>
              <w:rPr>
                <w:sz w:val="20"/>
                <w:szCs w:val="20"/>
                <w:color w:val="auto"/>
              </w:rPr>
            </w:pPr>
            <w:r>
              <w:rPr>
                <w:rFonts w:ascii="Arial" w:cs="Arial" w:eastAsia="Arial" w:hAnsi="Arial"/>
                <w:sz w:val="14"/>
                <w:szCs w:val="14"/>
                <w:color w:val="FFFFFF"/>
              </w:rPr>
              <w:t>Option Awards</w:t>
            </w:r>
          </w:p>
        </w:tc>
        <w:tc>
          <w:tcPr>
            <w:tcW w:w="1140" w:type="dxa"/>
            <w:vAlign w:val="bottom"/>
            <w:shd w:val="clear" w:color="auto" w:fill="000000"/>
          </w:tcPr>
          <w:p>
            <w:pPr>
              <w:spacing w:after="0"/>
              <w:rPr>
                <w:sz w:val="24"/>
                <w:szCs w:val="24"/>
                <w:color w:val="auto"/>
              </w:rPr>
            </w:pPr>
          </w:p>
        </w:tc>
        <w:tc>
          <w:tcPr>
            <w:tcW w:w="82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Stock Awards</w:t>
            </w:r>
          </w:p>
        </w:tc>
        <w:tc>
          <w:tcPr>
            <w:tcW w:w="1140" w:type="dxa"/>
            <w:vAlign w:val="bottom"/>
            <w:shd w:val="clear" w:color="auto" w:fill="000000"/>
          </w:tcPr>
          <w:p>
            <w:pPr>
              <w:spacing w:after="0"/>
              <w:rPr>
                <w:sz w:val="24"/>
                <w:szCs w:val="24"/>
                <w:color w:val="auto"/>
              </w:rPr>
            </w:pPr>
          </w:p>
        </w:tc>
        <w:tc>
          <w:tcPr>
            <w:tcW w:w="1300" w:type="dxa"/>
            <w:vAlign w:val="bottom"/>
            <w:shd w:val="clear" w:color="auto" w:fill="000000"/>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40" w:type="dxa"/>
            <w:vAlign w:val="bottom"/>
            <w:shd w:val="clear" w:color="auto" w:fill="000000"/>
          </w:tcPr>
          <w:p>
            <w:pPr>
              <w:spacing w:after="0"/>
              <w:rPr>
                <w:sz w:val="8"/>
                <w:szCs w:val="8"/>
                <w:color w:val="auto"/>
              </w:rPr>
            </w:pPr>
          </w:p>
        </w:tc>
        <w:tc>
          <w:tcPr>
            <w:tcW w:w="120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820" w:type="dxa"/>
            <w:vAlign w:val="bottom"/>
            <w:shd w:val="clear" w:color="auto" w:fill="000000"/>
          </w:tcPr>
          <w:p>
            <w:pPr>
              <w:spacing w:after="0"/>
              <w:rPr>
                <w:sz w:val="8"/>
                <w:szCs w:val="8"/>
                <w:color w:val="auto"/>
              </w:rPr>
            </w:pPr>
          </w:p>
        </w:tc>
        <w:tc>
          <w:tcPr>
            <w:tcW w:w="1180" w:type="dxa"/>
            <w:vAlign w:val="bottom"/>
            <w:shd w:val="clear" w:color="auto" w:fill="000000"/>
          </w:tcPr>
          <w:p>
            <w:pPr>
              <w:spacing w:after="0"/>
              <w:rPr>
                <w:sz w:val="8"/>
                <w:szCs w:val="8"/>
                <w:color w:val="auto"/>
              </w:rPr>
            </w:pPr>
          </w:p>
        </w:tc>
        <w:tc>
          <w:tcPr>
            <w:tcW w:w="128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1300" w:type="dxa"/>
            <w:vAlign w:val="bottom"/>
            <w:shd w:val="clear" w:color="auto" w:fill="000000"/>
          </w:tcPr>
          <w:p>
            <w:pPr>
              <w:spacing w:after="0"/>
              <w:rPr>
                <w:sz w:val="8"/>
                <w:szCs w:val="8"/>
                <w:color w:val="auto"/>
              </w:rPr>
            </w:pPr>
          </w:p>
        </w:tc>
        <w:tc>
          <w:tcPr>
            <w:tcW w:w="12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1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1200" w:type="dxa"/>
            <w:vAlign w:val="bottom"/>
            <w:shd w:val="clear" w:color="auto" w:fill="000000"/>
          </w:tcPr>
          <w:p>
            <w:pPr>
              <w:ind w:left="160"/>
              <w:spacing w:after="0"/>
              <w:rPr>
                <w:sz w:val="20"/>
                <w:szCs w:val="20"/>
                <w:color w:val="auto"/>
              </w:rPr>
            </w:pPr>
            <w:r>
              <w:rPr>
                <w:rFonts w:ascii="Arial" w:cs="Arial" w:eastAsia="Arial" w:hAnsi="Arial"/>
                <w:sz w:val="14"/>
                <w:szCs w:val="14"/>
                <w:color w:val="FFFFFF"/>
              </w:rPr>
              <w:t>Number of</w:t>
            </w:r>
          </w:p>
        </w:tc>
        <w:tc>
          <w:tcPr>
            <w:tcW w:w="1140" w:type="dxa"/>
            <w:vAlign w:val="bottom"/>
            <w:shd w:val="clear" w:color="auto" w:fill="000000"/>
          </w:tcPr>
          <w:p>
            <w:pPr>
              <w:ind w:left="60"/>
              <w:spacing w:after="0"/>
              <w:rPr>
                <w:sz w:val="20"/>
                <w:szCs w:val="20"/>
                <w:color w:val="auto"/>
              </w:rPr>
            </w:pPr>
            <w:r>
              <w:rPr>
                <w:rFonts w:ascii="Arial" w:cs="Arial" w:eastAsia="Arial" w:hAnsi="Arial"/>
                <w:sz w:val="14"/>
                <w:szCs w:val="14"/>
                <w:color w:val="FFFFFF"/>
              </w:rPr>
              <w:t>Number of</w:t>
            </w:r>
          </w:p>
        </w:tc>
        <w:tc>
          <w:tcPr>
            <w:tcW w:w="8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Option</w:t>
            </w:r>
          </w:p>
        </w:tc>
        <w:tc>
          <w:tcPr>
            <w:tcW w:w="11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Option</w:t>
            </w: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w:t>
            </w:r>
          </w:p>
        </w:tc>
        <w:tc>
          <w:tcPr>
            <w:tcW w:w="11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Market Value</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Equity</w:t>
            </w:r>
          </w:p>
        </w:tc>
        <w:tc>
          <w:tcPr>
            <w:tcW w:w="12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Equity</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ind w:left="160"/>
              <w:spacing w:after="0" w:line="160" w:lineRule="exact"/>
              <w:rPr>
                <w:sz w:val="20"/>
                <w:szCs w:val="20"/>
                <w:color w:val="auto"/>
              </w:rPr>
            </w:pPr>
            <w:r>
              <w:rPr>
                <w:rFonts w:ascii="Arial" w:cs="Arial" w:eastAsia="Arial" w:hAnsi="Arial"/>
                <w:sz w:val="14"/>
                <w:szCs w:val="14"/>
                <w:color w:val="FFFFFF"/>
              </w:rPr>
              <w:t>Securities</w:t>
            </w:r>
          </w:p>
        </w:tc>
        <w:tc>
          <w:tcPr>
            <w:tcW w:w="1140" w:type="dxa"/>
            <w:vAlign w:val="bottom"/>
            <w:shd w:val="clear" w:color="auto" w:fill="000000"/>
          </w:tcPr>
          <w:p>
            <w:pPr>
              <w:ind w:left="60"/>
              <w:spacing w:after="0" w:line="160" w:lineRule="exact"/>
              <w:rPr>
                <w:sz w:val="20"/>
                <w:szCs w:val="20"/>
                <w:color w:val="auto"/>
              </w:rPr>
            </w:pPr>
            <w:r>
              <w:rPr>
                <w:rFonts w:ascii="Arial" w:cs="Arial" w:eastAsia="Arial" w:hAnsi="Arial"/>
                <w:sz w:val="14"/>
                <w:szCs w:val="14"/>
                <w:color w:val="FFFFFF"/>
              </w:rPr>
              <w:t>Securities</w:t>
            </w:r>
          </w:p>
        </w:tc>
        <w:tc>
          <w:tcPr>
            <w:tcW w:w="8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Exercise</w:t>
            </w:r>
          </w:p>
        </w:tc>
        <w:tc>
          <w:tcPr>
            <w:tcW w:w="11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Expiration</w:t>
            </w:r>
          </w:p>
        </w:tc>
        <w:tc>
          <w:tcPr>
            <w:tcW w:w="12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 or</w:t>
            </w:r>
          </w:p>
        </w:tc>
        <w:tc>
          <w:tcPr>
            <w:tcW w:w="11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of Shares</w:t>
            </w: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Incentive</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Incentive</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ind w:left="160"/>
              <w:spacing w:after="0" w:line="160" w:lineRule="exact"/>
              <w:rPr>
                <w:sz w:val="20"/>
                <w:szCs w:val="20"/>
                <w:color w:val="auto"/>
              </w:rPr>
            </w:pPr>
            <w:r>
              <w:rPr>
                <w:rFonts w:ascii="Arial" w:cs="Arial" w:eastAsia="Arial" w:hAnsi="Arial"/>
                <w:sz w:val="14"/>
                <w:szCs w:val="14"/>
                <w:color w:val="FFFFFF"/>
              </w:rPr>
              <w:t>Underlying</w:t>
            </w:r>
          </w:p>
        </w:tc>
        <w:tc>
          <w:tcPr>
            <w:tcW w:w="1140" w:type="dxa"/>
            <w:vAlign w:val="bottom"/>
            <w:shd w:val="clear" w:color="auto" w:fill="000000"/>
          </w:tcPr>
          <w:p>
            <w:pPr>
              <w:ind w:left="60"/>
              <w:spacing w:after="0" w:line="160" w:lineRule="exact"/>
              <w:rPr>
                <w:sz w:val="20"/>
                <w:szCs w:val="20"/>
                <w:color w:val="auto"/>
              </w:rPr>
            </w:pPr>
            <w:r>
              <w:rPr>
                <w:rFonts w:ascii="Arial" w:cs="Arial" w:eastAsia="Arial" w:hAnsi="Arial"/>
                <w:sz w:val="14"/>
                <w:szCs w:val="14"/>
                <w:color w:val="FFFFFF"/>
              </w:rPr>
              <w:t>Underlying</w:t>
            </w:r>
          </w:p>
        </w:tc>
        <w:tc>
          <w:tcPr>
            <w:tcW w:w="8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Price</w:t>
            </w:r>
          </w:p>
        </w:tc>
        <w:tc>
          <w:tcPr>
            <w:tcW w:w="11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Date</w:t>
            </w:r>
          </w:p>
        </w:tc>
        <w:tc>
          <w:tcPr>
            <w:tcW w:w="12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Units of</w:t>
            </w:r>
          </w:p>
        </w:tc>
        <w:tc>
          <w:tcPr>
            <w:tcW w:w="11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or Units</w:t>
            </w: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Plan</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Plan</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ind w:left="160"/>
              <w:spacing w:after="0" w:line="160" w:lineRule="exact"/>
              <w:rPr>
                <w:sz w:val="20"/>
                <w:szCs w:val="20"/>
                <w:color w:val="auto"/>
              </w:rPr>
            </w:pPr>
            <w:r>
              <w:rPr>
                <w:rFonts w:ascii="Arial" w:cs="Arial" w:eastAsia="Arial" w:hAnsi="Arial"/>
                <w:sz w:val="14"/>
                <w:szCs w:val="14"/>
                <w:color w:val="FFFFFF"/>
              </w:rPr>
              <w:t>Unexercised</w:t>
            </w:r>
          </w:p>
        </w:tc>
        <w:tc>
          <w:tcPr>
            <w:tcW w:w="1140" w:type="dxa"/>
            <w:vAlign w:val="bottom"/>
            <w:shd w:val="clear" w:color="auto" w:fill="000000"/>
          </w:tcPr>
          <w:p>
            <w:pPr>
              <w:ind w:left="60"/>
              <w:spacing w:after="0" w:line="160" w:lineRule="exact"/>
              <w:rPr>
                <w:sz w:val="20"/>
                <w:szCs w:val="20"/>
                <w:color w:val="auto"/>
              </w:rPr>
            </w:pPr>
            <w:r>
              <w:rPr>
                <w:rFonts w:ascii="Arial" w:cs="Arial" w:eastAsia="Arial" w:hAnsi="Arial"/>
                <w:sz w:val="14"/>
                <w:szCs w:val="14"/>
                <w:color w:val="FFFFFF"/>
              </w:rPr>
              <w:t>Unexercised</w:t>
            </w:r>
          </w:p>
        </w:tc>
        <w:tc>
          <w:tcPr>
            <w:tcW w:w="8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w:t>
            </w: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Stock</w:t>
            </w:r>
          </w:p>
        </w:tc>
        <w:tc>
          <w:tcPr>
            <w:tcW w:w="11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of Stock That</w:t>
            </w: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Awards:</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Awards:</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ind w:left="160"/>
              <w:spacing w:after="0" w:line="160" w:lineRule="exact"/>
              <w:rPr>
                <w:sz w:val="20"/>
                <w:szCs w:val="20"/>
                <w:color w:val="auto"/>
              </w:rPr>
            </w:pPr>
            <w:r>
              <w:rPr>
                <w:rFonts w:ascii="Arial" w:cs="Arial" w:eastAsia="Arial" w:hAnsi="Arial"/>
                <w:sz w:val="14"/>
                <w:szCs w:val="14"/>
                <w:color w:val="FFFFFF"/>
              </w:rPr>
              <w:t>Options (#)</w:t>
            </w:r>
          </w:p>
        </w:tc>
        <w:tc>
          <w:tcPr>
            <w:tcW w:w="1140" w:type="dxa"/>
            <w:vAlign w:val="bottom"/>
            <w:shd w:val="clear" w:color="auto" w:fill="000000"/>
          </w:tcPr>
          <w:p>
            <w:pPr>
              <w:ind w:left="60"/>
              <w:spacing w:after="0" w:line="160" w:lineRule="exact"/>
              <w:rPr>
                <w:sz w:val="20"/>
                <w:szCs w:val="20"/>
                <w:color w:val="auto"/>
              </w:rPr>
            </w:pPr>
            <w:r>
              <w:rPr>
                <w:rFonts w:ascii="Arial" w:cs="Arial" w:eastAsia="Arial" w:hAnsi="Arial"/>
                <w:sz w:val="14"/>
                <w:szCs w:val="14"/>
                <w:color w:val="FFFFFF"/>
              </w:rPr>
              <w:t>Options (#)</w:t>
            </w: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That Have</w:t>
            </w:r>
          </w:p>
        </w:tc>
        <w:tc>
          <w:tcPr>
            <w:tcW w:w="114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Have Not</w:t>
            </w: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Number of</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Market or</w:t>
            </w:r>
          </w:p>
        </w:tc>
        <w:tc>
          <w:tcPr>
            <w:tcW w:w="0" w:type="dxa"/>
            <w:vAlign w:val="bottom"/>
          </w:tcPr>
          <w:p>
            <w:pPr>
              <w:spacing w:after="0"/>
              <w:rPr>
                <w:sz w:val="1"/>
                <w:szCs w:val="1"/>
                <w:color w:val="auto"/>
              </w:rPr>
            </w:pPr>
          </w:p>
        </w:tc>
      </w:tr>
      <w:tr>
        <w:trPr>
          <w:trHeight w:val="153"/>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ind w:left="160"/>
              <w:spacing w:after="0" w:line="153" w:lineRule="exact"/>
              <w:rPr>
                <w:sz w:val="20"/>
                <w:szCs w:val="20"/>
                <w:color w:val="auto"/>
              </w:rPr>
            </w:pPr>
            <w:r>
              <w:rPr>
                <w:rFonts w:ascii="Arial" w:cs="Arial" w:eastAsia="Arial" w:hAnsi="Arial"/>
                <w:sz w:val="14"/>
                <w:szCs w:val="14"/>
                <w:color w:val="FFFFFF"/>
              </w:rPr>
              <w:t>Exercisable</w:t>
            </w:r>
          </w:p>
        </w:tc>
        <w:tc>
          <w:tcPr>
            <w:tcW w:w="1140" w:type="dxa"/>
            <w:vAlign w:val="bottom"/>
            <w:shd w:val="clear" w:color="auto" w:fill="000000"/>
          </w:tcPr>
          <w:p>
            <w:pPr>
              <w:ind w:left="60"/>
              <w:spacing w:after="0" w:line="153" w:lineRule="exact"/>
              <w:rPr>
                <w:sz w:val="20"/>
                <w:szCs w:val="20"/>
                <w:color w:val="auto"/>
              </w:rPr>
            </w:pPr>
            <w:r>
              <w:rPr>
                <w:rFonts w:ascii="Arial" w:cs="Arial" w:eastAsia="Arial" w:hAnsi="Arial"/>
                <w:sz w:val="14"/>
                <w:szCs w:val="14"/>
                <w:color w:val="FFFFFF"/>
              </w:rPr>
              <w:t>Unexercisable</w:t>
            </w: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ind w:left="120"/>
              <w:spacing w:after="0" w:line="153" w:lineRule="exact"/>
              <w:rPr>
                <w:sz w:val="20"/>
                <w:szCs w:val="20"/>
                <w:color w:val="auto"/>
              </w:rPr>
            </w:pPr>
            <w:r>
              <w:rPr>
                <w:rFonts w:ascii="Arial" w:cs="Arial" w:eastAsia="Arial" w:hAnsi="Arial"/>
                <w:sz w:val="14"/>
                <w:szCs w:val="14"/>
                <w:color w:val="FFFFFF"/>
              </w:rPr>
              <w:t>Not Vested</w:t>
            </w:r>
          </w:p>
        </w:tc>
        <w:tc>
          <w:tcPr>
            <w:tcW w:w="1140" w:type="dxa"/>
            <w:vAlign w:val="bottom"/>
            <w:shd w:val="clear" w:color="auto" w:fill="000000"/>
          </w:tcPr>
          <w:p>
            <w:pPr>
              <w:ind w:left="120"/>
              <w:spacing w:after="0" w:line="153" w:lineRule="exact"/>
              <w:rPr>
                <w:sz w:val="20"/>
                <w:szCs w:val="20"/>
                <w:color w:val="auto"/>
              </w:rPr>
            </w:pPr>
            <w:r>
              <w:rPr>
                <w:rFonts w:ascii="Arial" w:cs="Arial" w:eastAsia="Arial" w:hAnsi="Arial"/>
                <w:sz w:val="14"/>
                <w:szCs w:val="14"/>
                <w:color w:val="FFFFFF"/>
              </w:rPr>
              <w:t>Vested</w:t>
            </w:r>
          </w:p>
        </w:tc>
        <w:tc>
          <w:tcPr>
            <w:tcW w:w="1300" w:type="dxa"/>
            <w:vAlign w:val="bottom"/>
            <w:shd w:val="clear" w:color="auto" w:fill="000000"/>
          </w:tcPr>
          <w:p>
            <w:pPr>
              <w:ind w:left="120"/>
              <w:spacing w:after="0" w:line="153" w:lineRule="exact"/>
              <w:rPr>
                <w:sz w:val="20"/>
                <w:szCs w:val="20"/>
                <w:color w:val="auto"/>
              </w:rPr>
            </w:pPr>
            <w:r>
              <w:rPr>
                <w:rFonts w:ascii="Arial" w:cs="Arial" w:eastAsia="Arial" w:hAnsi="Arial"/>
                <w:sz w:val="14"/>
                <w:szCs w:val="14"/>
                <w:color w:val="FFFFFF"/>
              </w:rPr>
              <w:t>Unearned</w:t>
            </w:r>
          </w:p>
        </w:tc>
        <w:tc>
          <w:tcPr>
            <w:tcW w:w="1220" w:type="dxa"/>
            <w:vAlign w:val="bottom"/>
            <w:shd w:val="clear" w:color="auto" w:fill="000000"/>
          </w:tcPr>
          <w:p>
            <w:pPr>
              <w:ind w:left="120"/>
              <w:spacing w:after="0" w:line="153" w:lineRule="exact"/>
              <w:rPr>
                <w:sz w:val="20"/>
                <w:szCs w:val="20"/>
                <w:color w:val="auto"/>
              </w:rPr>
            </w:pPr>
            <w:r>
              <w:rPr>
                <w:rFonts w:ascii="Arial" w:cs="Arial" w:eastAsia="Arial" w:hAnsi="Arial"/>
                <w:sz w:val="14"/>
                <w:szCs w:val="14"/>
                <w:color w:val="FFFFFF"/>
              </w:rPr>
              <w:t>Payout</w:t>
            </w:r>
          </w:p>
        </w:tc>
        <w:tc>
          <w:tcPr>
            <w:tcW w:w="0" w:type="dxa"/>
            <w:vAlign w:val="bottom"/>
          </w:tcPr>
          <w:p>
            <w:pPr>
              <w:spacing w:after="0"/>
              <w:rPr>
                <w:sz w:val="1"/>
                <w:szCs w:val="1"/>
                <w:color w:val="auto"/>
              </w:rPr>
            </w:pPr>
          </w:p>
        </w:tc>
      </w:tr>
      <w:tr>
        <w:trPr>
          <w:trHeight w:val="166"/>
        </w:trPr>
        <w:tc>
          <w:tcPr>
            <w:tcW w:w="1140" w:type="dxa"/>
            <w:vAlign w:val="bottom"/>
            <w:shd w:val="clear" w:color="auto" w:fill="000000"/>
          </w:tcPr>
          <w:p>
            <w:pPr>
              <w:spacing w:after="0"/>
              <w:rPr>
                <w:sz w:val="14"/>
                <w:szCs w:val="14"/>
                <w:color w:val="auto"/>
              </w:rPr>
            </w:pPr>
          </w:p>
        </w:tc>
        <w:tc>
          <w:tcPr>
            <w:tcW w:w="1200" w:type="dxa"/>
            <w:vAlign w:val="bottom"/>
            <w:shd w:val="clear" w:color="auto" w:fill="000000"/>
          </w:tcPr>
          <w:p>
            <w:pPr>
              <w:ind w:left="160"/>
              <w:spacing w:after="0"/>
              <w:rPr>
                <w:sz w:val="20"/>
                <w:szCs w:val="20"/>
                <w:color w:val="auto"/>
              </w:rPr>
            </w:pPr>
            <w:r>
              <w:rPr>
                <w:rFonts w:ascii="Arial" w:cs="Arial" w:eastAsia="Arial" w:hAnsi="Arial"/>
                <w:sz w:val="14"/>
                <w:szCs w:val="14"/>
                <w:color w:val="FFFFFF"/>
              </w:rPr>
              <w:t>(#)</w:t>
            </w:r>
          </w:p>
        </w:tc>
        <w:tc>
          <w:tcPr>
            <w:tcW w:w="1140" w:type="dxa"/>
            <w:vAlign w:val="bottom"/>
            <w:shd w:val="clear" w:color="auto" w:fill="000000"/>
          </w:tcPr>
          <w:p>
            <w:pPr>
              <w:ind w:left="60"/>
              <w:spacing w:after="0"/>
              <w:rPr>
                <w:sz w:val="20"/>
                <w:szCs w:val="20"/>
                <w:color w:val="auto"/>
              </w:rPr>
            </w:pPr>
            <w:r>
              <w:rPr>
                <w:rFonts w:ascii="Arial" w:cs="Arial" w:eastAsia="Arial" w:hAnsi="Arial"/>
                <w:sz w:val="14"/>
                <w:szCs w:val="14"/>
                <w:color w:val="FFFFFF"/>
              </w:rPr>
              <w:t>(#)</w:t>
            </w:r>
          </w:p>
        </w:tc>
        <w:tc>
          <w:tcPr>
            <w:tcW w:w="8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c>
          <w:tcPr>
            <w:tcW w:w="1140" w:type="dxa"/>
            <w:vAlign w:val="bottom"/>
            <w:shd w:val="clear" w:color="auto" w:fill="000000"/>
          </w:tcPr>
          <w:p>
            <w:pPr>
              <w:ind w:left="120"/>
              <w:spacing w:after="0" w:line="166" w:lineRule="exact"/>
              <w:rPr>
                <w:sz w:val="20"/>
                <w:szCs w:val="20"/>
                <w:color w:val="auto"/>
              </w:rPr>
            </w:pPr>
            <w:r>
              <w:rPr>
                <w:rFonts w:ascii="Arial" w:cs="Arial" w:eastAsia="Arial" w:hAnsi="Arial"/>
                <w:sz w:val="19"/>
                <w:szCs w:val="19"/>
                <w:color w:val="FFFFFF"/>
                <w:vertAlign w:val="subscript"/>
              </w:rPr>
              <w:t>($)</w:t>
            </w:r>
            <w:r>
              <w:rPr>
                <w:rFonts w:ascii="Arial" w:cs="Arial" w:eastAsia="Arial" w:hAnsi="Arial"/>
                <w:sz w:val="8"/>
                <w:szCs w:val="8"/>
                <w:color w:val="FFFFFF"/>
              </w:rPr>
              <w:t>(15)</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Shares,</w:t>
            </w:r>
          </w:p>
        </w:tc>
        <w:tc>
          <w:tcPr>
            <w:tcW w:w="12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Value of</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Units or</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Unearned</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Other Rights</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That Have</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Units or</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Not Vested</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Other Rights</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That</w:t>
            </w:r>
          </w:p>
        </w:tc>
        <w:tc>
          <w:tcPr>
            <w:tcW w:w="0" w:type="dxa"/>
            <w:vAlign w:val="bottom"/>
          </w:tcPr>
          <w:p>
            <w:pPr>
              <w:spacing w:after="0"/>
              <w:rPr>
                <w:sz w:val="1"/>
                <w:szCs w:val="1"/>
                <w:color w:val="auto"/>
              </w:rPr>
            </w:pPr>
          </w:p>
        </w:tc>
      </w:tr>
      <w:tr>
        <w:trPr>
          <w:trHeight w:val="160"/>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spacing w:after="0"/>
              <w:rPr>
                <w:sz w:val="13"/>
                <w:szCs w:val="13"/>
                <w:color w:val="auto"/>
              </w:rPr>
            </w:pP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Have Not</w:t>
            </w:r>
          </w:p>
        </w:tc>
        <w:tc>
          <w:tcPr>
            <w:tcW w:w="0" w:type="dxa"/>
            <w:vAlign w:val="bottom"/>
          </w:tcPr>
          <w:p>
            <w:pPr>
              <w:spacing w:after="0"/>
              <w:rPr>
                <w:sz w:val="1"/>
                <w:szCs w:val="1"/>
                <w:color w:val="auto"/>
              </w:rPr>
            </w:pPr>
          </w:p>
        </w:tc>
      </w:tr>
      <w:tr>
        <w:trPr>
          <w:trHeight w:val="153"/>
        </w:trPr>
        <w:tc>
          <w:tcPr>
            <w:tcW w:w="114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128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300" w:type="dxa"/>
            <w:vAlign w:val="bottom"/>
            <w:shd w:val="clear" w:color="auto" w:fill="000000"/>
          </w:tcPr>
          <w:p>
            <w:pPr>
              <w:spacing w:after="0"/>
              <w:rPr>
                <w:sz w:val="13"/>
                <w:szCs w:val="13"/>
                <w:color w:val="auto"/>
              </w:rPr>
            </w:pPr>
          </w:p>
        </w:tc>
        <w:tc>
          <w:tcPr>
            <w:tcW w:w="1220" w:type="dxa"/>
            <w:vAlign w:val="bottom"/>
            <w:shd w:val="clear" w:color="auto" w:fill="000000"/>
          </w:tcPr>
          <w:p>
            <w:pPr>
              <w:ind w:left="120"/>
              <w:spacing w:after="0" w:line="153" w:lineRule="exact"/>
              <w:rPr>
                <w:sz w:val="20"/>
                <w:szCs w:val="20"/>
                <w:color w:val="auto"/>
              </w:rPr>
            </w:pPr>
            <w:r>
              <w:rPr>
                <w:rFonts w:ascii="Arial" w:cs="Arial" w:eastAsia="Arial" w:hAnsi="Arial"/>
                <w:sz w:val="14"/>
                <w:szCs w:val="14"/>
                <w:color w:val="FFFFFF"/>
              </w:rPr>
              <w:t>Vested</w:t>
            </w:r>
          </w:p>
        </w:tc>
        <w:tc>
          <w:tcPr>
            <w:tcW w:w="0" w:type="dxa"/>
            <w:vAlign w:val="bottom"/>
          </w:tcPr>
          <w:p>
            <w:pPr>
              <w:spacing w:after="0"/>
              <w:rPr>
                <w:sz w:val="1"/>
                <w:szCs w:val="1"/>
                <w:color w:val="auto"/>
              </w:rPr>
            </w:pPr>
          </w:p>
        </w:tc>
      </w:tr>
      <w:tr>
        <w:trPr>
          <w:trHeight w:val="277"/>
        </w:trPr>
        <w:tc>
          <w:tcPr>
            <w:tcW w:w="1140" w:type="dxa"/>
            <w:vAlign w:val="bottom"/>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82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1280" w:type="dxa"/>
            <w:vAlign w:val="bottom"/>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1300" w:type="dxa"/>
            <w:vAlign w:val="bottom"/>
            <w:shd w:val="clear" w:color="auto" w:fill="000000"/>
          </w:tcPr>
          <w:p>
            <w:pPr>
              <w:spacing w:after="0"/>
              <w:rPr>
                <w:sz w:val="24"/>
                <w:szCs w:val="24"/>
                <w:color w:val="auto"/>
              </w:rPr>
            </w:pPr>
          </w:p>
        </w:tc>
        <w:tc>
          <w:tcPr>
            <w:tcW w:w="1220" w:type="dxa"/>
            <w:vAlign w:val="bottom"/>
            <w:shd w:val="clear" w:color="auto" w:fill="000000"/>
          </w:tcPr>
          <w:p>
            <w:pPr>
              <w:ind w:left="120"/>
              <w:spacing w:after="0" w:line="277" w:lineRule="exact"/>
              <w:rPr>
                <w:sz w:val="20"/>
                <w:szCs w:val="20"/>
                <w:color w:val="auto"/>
              </w:rPr>
            </w:pPr>
            <w:r>
              <w:rPr>
                <w:rFonts w:ascii="Arial" w:cs="Arial" w:eastAsia="Arial" w:hAnsi="Arial"/>
                <w:sz w:val="27"/>
                <w:szCs w:val="27"/>
                <w:color w:val="FFFFFF"/>
                <w:vertAlign w:val="subscript"/>
              </w:rPr>
              <w:t>($)</w:t>
            </w:r>
            <w:r>
              <w:rPr>
                <w:rFonts w:ascii="Arial" w:cs="Arial" w:eastAsia="Arial" w:hAnsi="Arial"/>
                <w:sz w:val="9"/>
                <w:szCs w:val="9"/>
                <w:color w:val="FFFFFF"/>
              </w:rPr>
              <w:t>(15)</w:t>
            </w:r>
          </w:p>
        </w:tc>
        <w:tc>
          <w:tcPr>
            <w:tcW w:w="0" w:type="dxa"/>
            <w:vAlign w:val="bottom"/>
          </w:tcPr>
          <w:p>
            <w:pPr>
              <w:spacing w:after="0"/>
              <w:rPr>
                <w:sz w:val="1"/>
                <w:szCs w:val="1"/>
                <w:color w:val="auto"/>
              </w:rPr>
            </w:pPr>
          </w:p>
        </w:tc>
      </w:tr>
      <w:tr>
        <w:trPr>
          <w:trHeight w:val="260"/>
        </w:trPr>
        <w:tc>
          <w:tcPr>
            <w:tcW w:w="1140" w:type="dxa"/>
            <w:vAlign w:val="bottom"/>
          </w:tcPr>
          <w:p>
            <w:pPr>
              <w:ind w:left="180"/>
              <w:spacing w:after="0"/>
              <w:rPr>
                <w:sz w:val="20"/>
                <w:szCs w:val="20"/>
                <w:color w:val="auto"/>
              </w:rPr>
            </w:pPr>
            <w:r>
              <w:rPr>
                <w:rFonts w:ascii="Arial" w:cs="Arial" w:eastAsia="Arial" w:hAnsi="Arial"/>
                <w:sz w:val="16"/>
                <w:szCs w:val="16"/>
                <w:color w:val="auto"/>
              </w:rPr>
              <w:t>Peter</w:t>
            </w:r>
          </w:p>
        </w:tc>
        <w:tc>
          <w:tcPr>
            <w:tcW w:w="1200" w:type="dxa"/>
            <w:vAlign w:val="bottom"/>
          </w:tcPr>
          <w:p>
            <w:pPr>
              <w:ind w:left="160"/>
              <w:spacing w:after="0"/>
              <w:rPr>
                <w:sz w:val="20"/>
                <w:szCs w:val="20"/>
                <w:color w:val="auto"/>
              </w:rPr>
            </w:pPr>
            <w:r>
              <w:rPr>
                <w:rFonts w:ascii="Arial" w:cs="Arial" w:eastAsia="Arial" w:hAnsi="Arial"/>
                <w:sz w:val="16"/>
                <w:szCs w:val="16"/>
                <w:color w:val="auto"/>
              </w:rPr>
              <w:t>3,379,846</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0.37</w:t>
            </w:r>
          </w:p>
        </w:tc>
        <w:tc>
          <w:tcPr>
            <w:tcW w:w="1180" w:type="dxa"/>
            <w:vAlign w:val="bottom"/>
          </w:tcPr>
          <w:p>
            <w:pPr>
              <w:ind w:left="120"/>
              <w:spacing w:after="0"/>
              <w:rPr>
                <w:sz w:val="20"/>
                <w:szCs w:val="20"/>
                <w:color w:val="auto"/>
              </w:rPr>
            </w:pPr>
            <w:r>
              <w:rPr>
                <w:rFonts w:ascii="Arial" w:cs="Arial" w:eastAsia="Arial" w:hAnsi="Arial"/>
                <w:sz w:val="16"/>
                <w:szCs w:val="16"/>
                <w:color w:val="auto"/>
              </w:rPr>
              <w:t>04/16/2025</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140" w:type="dxa"/>
            <w:vAlign w:val="bottom"/>
          </w:tcPr>
          <w:p>
            <w:pPr>
              <w:ind w:left="180"/>
              <w:spacing w:after="0"/>
              <w:rPr>
                <w:sz w:val="20"/>
                <w:szCs w:val="20"/>
                <w:color w:val="auto"/>
              </w:rPr>
            </w:pPr>
            <w:r>
              <w:rPr>
                <w:rFonts w:ascii="Arial" w:cs="Arial" w:eastAsia="Arial" w:hAnsi="Arial"/>
                <w:sz w:val="16"/>
                <w:szCs w:val="16"/>
                <w:color w:val="auto"/>
              </w:rPr>
              <w:t>Rawlinson</w:t>
            </w:r>
          </w:p>
        </w:tc>
        <w:tc>
          <w:tcPr>
            <w:tcW w:w="1200" w:type="dxa"/>
            <w:vAlign w:val="bottom"/>
            <w:vMerge w:val="restart"/>
          </w:tcPr>
          <w:p>
            <w:pPr>
              <w:ind w:left="160"/>
              <w:spacing w:after="0"/>
              <w:rPr>
                <w:sz w:val="20"/>
                <w:szCs w:val="20"/>
                <w:color w:val="auto"/>
              </w:rPr>
            </w:pPr>
            <w:r>
              <w:rPr>
                <w:rFonts w:ascii="Arial" w:cs="Arial" w:eastAsia="Arial" w:hAnsi="Arial"/>
                <w:sz w:val="16"/>
                <w:szCs w:val="16"/>
                <w:color w:val="auto"/>
              </w:rPr>
              <w:t>7,569,809</w:t>
            </w:r>
          </w:p>
        </w:tc>
        <w:tc>
          <w:tcPr>
            <w:tcW w:w="1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ind w:left="120"/>
              <w:spacing w:after="0"/>
              <w:rPr>
                <w:sz w:val="20"/>
                <w:szCs w:val="20"/>
                <w:color w:val="auto"/>
              </w:rPr>
            </w:pPr>
            <w:r>
              <w:rPr>
                <w:rFonts w:ascii="Arial" w:cs="Arial" w:eastAsia="Arial" w:hAnsi="Arial"/>
                <w:sz w:val="16"/>
                <w:szCs w:val="16"/>
                <w:color w:val="auto"/>
              </w:rPr>
              <w:t>0.83</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04/21/2029</w:t>
            </w:r>
          </w:p>
        </w:tc>
        <w:tc>
          <w:tcPr>
            <w:tcW w:w="12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2,594,016</w:t>
            </w:r>
            <w:r>
              <w:rPr>
                <w:rFonts w:ascii="Arial" w:cs="Arial" w:eastAsia="Arial" w:hAnsi="Arial"/>
                <w:sz w:val="19"/>
                <w:szCs w:val="19"/>
                <w:color w:val="auto"/>
                <w:vertAlign w:val="superscript"/>
              </w:rPr>
              <w:t>(1)</w:t>
            </w:r>
          </w:p>
        </w:tc>
        <w:tc>
          <w:tcPr>
            <w:tcW w:w="1140" w:type="dxa"/>
            <w:vAlign w:val="bottom"/>
          </w:tcPr>
          <w:p>
            <w:pPr>
              <w:ind w:left="120"/>
              <w:spacing w:after="0"/>
              <w:rPr>
                <w:sz w:val="20"/>
                <w:szCs w:val="20"/>
                <w:color w:val="auto"/>
              </w:rPr>
            </w:pPr>
            <w:r>
              <w:rPr>
                <w:rFonts w:ascii="Arial" w:cs="Arial" w:eastAsia="Arial" w:hAnsi="Arial"/>
                <w:sz w:val="16"/>
                <w:szCs w:val="16"/>
                <w:color w:val="auto"/>
              </w:rPr>
              <w:t>7,833,928</w:t>
            </w:r>
          </w:p>
        </w:tc>
        <w:tc>
          <w:tcPr>
            <w:tcW w:w="1300" w:type="dxa"/>
            <w:vAlign w:val="bottom"/>
          </w:tcPr>
          <w:p>
            <w:pPr>
              <w:ind w:left="120"/>
              <w:spacing w:after="0"/>
              <w:rPr>
                <w:sz w:val="20"/>
                <w:szCs w:val="20"/>
                <w:color w:val="auto"/>
              </w:rPr>
            </w:pPr>
            <w:r>
              <w:rPr>
                <w:rFonts w:ascii="Arial" w:cs="Arial" w:eastAsia="Arial" w:hAnsi="Arial"/>
                <w:sz w:val="16"/>
                <w:szCs w:val="16"/>
                <w:color w:val="auto"/>
              </w:rPr>
              <w:t>2,090,140</w:t>
            </w:r>
            <w:r>
              <w:rPr>
                <w:rFonts w:ascii="Arial" w:cs="Arial" w:eastAsia="Arial" w:hAnsi="Arial"/>
                <w:sz w:val="19"/>
                <w:szCs w:val="19"/>
                <w:color w:val="auto"/>
                <w:vertAlign w:val="superscript"/>
              </w:rPr>
              <w:t>(2)</w:t>
            </w:r>
          </w:p>
        </w:tc>
        <w:tc>
          <w:tcPr>
            <w:tcW w:w="1220" w:type="dxa"/>
            <w:vAlign w:val="bottom"/>
          </w:tcPr>
          <w:p>
            <w:pPr>
              <w:ind w:left="120"/>
              <w:spacing w:after="0"/>
              <w:rPr>
                <w:sz w:val="20"/>
                <w:szCs w:val="20"/>
                <w:color w:val="auto"/>
              </w:rPr>
            </w:pPr>
            <w:r>
              <w:rPr>
                <w:rFonts w:ascii="Arial" w:cs="Arial" w:eastAsia="Arial" w:hAnsi="Arial"/>
                <w:sz w:val="16"/>
                <w:szCs w:val="16"/>
                <w:color w:val="auto"/>
              </w:rPr>
              <w:t>6,312,223</w:t>
            </w: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180"/>
              <w:spacing w:after="0"/>
              <w:rPr>
                <w:sz w:val="20"/>
                <w:szCs w:val="20"/>
                <w:color w:val="auto"/>
              </w:rPr>
            </w:pPr>
            <w:r>
              <w:rPr>
                <w:rFonts w:ascii="Arial" w:cs="Arial" w:eastAsia="Arial" w:hAnsi="Arial"/>
                <w:sz w:val="16"/>
                <w:szCs w:val="16"/>
                <w:color w:val="auto"/>
              </w:rPr>
              <w:t>Gagan</w:t>
            </w:r>
          </w:p>
        </w:tc>
        <w:tc>
          <w:tcPr>
            <w:tcW w:w="1200" w:type="dxa"/>
            <w:vAlign w:val="bottom"/>
          </w:tcPr>
          <w:p>
            <w:pPr>
              <w:ind w:left="160"/>
              <w:spacing w:after="0"/>
              <w:rPr>
                <w:sz w:val="20"/>
                <w:szCs w:val="20"/>
                <w:color w:val="auto"/>
              </w:rPr>
            </w:pPr>
            <w:r>
              <w:rPr>
                <w:rFonts w:ascii="Arial" w:cs="Arial" w:eastAsia="Arial" w:hAnsi="Arial"/>
                <w:sz w:val="16"/>
                <w:szCs w:val="16"/>
                <w:color w:val="auto"/>
              </w:rPr>
              <w:t>44,933</w:t>
            </w:r>
          </w:p>
        </w:tc>
        <w:tc>
          <w:tcPr>
            <w:tcW w:w="1140" w:type="dxa"/>
            <w:vAlign w:val="bottom"/>
          </w:tcPr>
          <w:p>
            <w:pPr>
              <w:ind w:left="60"/>
              <w:spacing w:after="0"/>
              <w:rPr>
                <w:sz w:val="20"/>
                <w:szCs w:val="20"/>
                <w:color w:val="auto"/>
              </w:rPr>
            </w:pPr>
            <w:r>
              <w:rPr>
                <w:rFonts w:ascii="Arial" w:cs="Arial" w:eastAsia="Arial" w:hAnsi="Arial"/>
                <w:sz w:val="16"/>
                <w:szCs w:val="16"/>
                <w:color w:val="auto"/>
              </w:rPr>
              <w:t>68,584</w:t>
            </w:r>
            <w:r>
              <w:rPr>
                <w:rFonts w:ascii="Arial" w:cs="Arial" w:eastAsia="Arial" w:hAnsi="Arial"/>
                <w:sz w:val="19"/>
                <w:szCs w:val="19"/>
                <w:color w:val="auto"/>
                <w:vertAlign w:val="superscript"/>
              </w:rPr>
              <w:t>(8)</w:t>
            </w:r>
          </w:p>
        </w:tc>
        <w:tc>
          <w:tcPr>
            <w:tcW w:w="820" w:type="dxa"/>
            <w:vAlign w:val="bottom"/>
          </w:tcPr>
          <w:p>
            <w:pPr>
              <w:ind w:left="120"/>
              <w:spacing w:after="0"/>
              <w:rPr>
                <w:sz w:val="20"/>
                <w:szCs w:val="20"/>
                <w:color w:val="auto"/>
              </w:rPr>
            </w:pPr>
            <w:r>
              <w:rPr>
                <w:rFonts w:ascii="Arial" w:cs="Arial" w:eastAsia="Arial" w:hAnsi="Arial"/>
                <w:sz w:val="16"/>
                <w:szCs w:val="16"/>
                <w:color w:val="auto"/>
              </w:rPr>
              <w:t>8.26</w:t>
            </w:r>
          </w:p>
        </w:tc>
        <w:tc>
          <w:tcPr>
            <w:tcW w:w="1180" w:type="dxa"/>
            <w:vAlign w:val="bottom"/>
          </w:tcPr>
          <w:p>
            <w:pPr>
              <w:ind w:left="120"/>
              <w:spacing w:after="0"/>
              <w:rPr>
                <w:sz w:val="20"/>
                <w:szCs w:val="20"/>
                <w:color w:val="auto"/>
              </w:rPr>
            </w:pPr>
            <w:r>
              <w:rPr>
                <w:rFonts w:ascii="Arial" w:cs="Arial" w:eastAsia="Arial" w:hAnsi="Arial"/>
                <w:sz w:val="16"/>
                <w:szCs w:val="16"/>
                <w:color w:val="auto"/>
              </w:rPr>
              <w:t>09/10/2030</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140" w:type="dxa"/>
            <w:vAlign w:val="bottom"/>
          </w:tcPr>
          <w:p>
            <w:pPr>
              <w:ind w:left="180"/>
              <w:spacing w:after="0"/>
              <w:rPr>
                <w:sz w:val="20"/>
                <w:szCs w:val="20"/>
                <w:color w:val="auto"/>
              </w:rPr>
            </w:pPr>
            <w:r>
              <w:rPr>
                <w:rFonts w:ascii="Arial" w:cs="Arial" w:eastAsia="Arial" w:hAnsi="Arial"/>
                <w:sz w:val="16"/>
                <w:szCs w:val="16"/>
                <w:color w:val="auto"/>
              </w:rPr>
              <w:t>Dhingra</w:t>
            </w:r>
          </w:p>
        </w:tc>
        <w:tc>
          <w:tcPr>
            <w:tcW w:w="120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ind w:left="120"/>
              <w:spacing w:after="0"/>
              <w:rPr>
                <w:sz w:val="20"/>
                <w:szCs w:val="20"/>
                <w:color w:val="auto"/>
              </w:rPr>
            </w:pPr>
            <w:r>
              <w:rPr>
                <w:rFonts w:ascii="Arial" w:cs="Arial" w:eastAsia="Arial" w:hAnsi="Arial"/>
                <w:sz w:val="16"/>
                <w:szCs w:val="16"/>
                <w:color w:val="auto"/>
              </w:rPr>
              <w:t>15,031</w:t>
            </w:r>
            <w:r>
              <w:rPr>
                <w:rFonts w:ascii="Arial" w:cs="Arial" w:eastAsia="Arial" w:hAnsi="Arial"/>
                <w:sz w:val="19"/>
                <w:szCs w:val="19"/>
                <w:color w:val="auto"/>
                <w:vertAlign w:val="superscript"/>
              </w:rPr>
              <w:t>(3)</w:t>
            </w:r>
          </w:p>
        </w:tc>
        <w:tc>
          <w:tcPr>
            <w:tcW w:w="1140" w:type="dxa"/>
            <w:vAlign w:val="bottom"/>
            <w:vMerge w:val="restart"/>
          </w:tcPr>
          <w:p>
            <w:pPr>
              <w:ind w:left="120"/>
              <w:spacing w:after="0"/>
              <w:rPr>
                <w:sz w:val="20"/>
                <w:szCs w:val="20"/>
                <w:color w:val="auto"/>
              </w:rPr>
            </w:pPr>
            <w:r>
              <w:rPr>
                <w:rFonts w:ascii="Arial" w:cs="Arial" w:eastAsia="Arial" w:hAnsi="Arial"/>
                <w:sz w:val="16"/>
                <w:szCs w:val="16"/>
                <w:color w:val="auto"/>
              </w:rPr>
              <w:t>45,394</w:t>
            </w:r>
          </w:p>
        </w:tc>
        <w:tc>
          <w:tcPr>
            <w:tcW w:w="1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12,850</w:t>
            </w:r>
            <w:r>
              <w:rPr>
                <w:rFonts w:ascii="Arial" w:cs="Arial" w:eastAsia="Arial" w:hAnsi="Arial"/>
                <w:sz w:val="19"/>
                <w:szCs w:val="19"/>
                <w:color w:val="auto"/>
                <w:vertAlign w:val="superscript"/>
              </w:rPr>
              <w:t>(4)</w:t>
            </w:r>
          </w:p>
        </w:tc>
        <w:tc>
          <w:tcPr>
            <w:tcW w:w="1140" w:type="dxa"/>
            <w:vAlign w:val="bottom"/>
          </w:tcPr>
          <w:p>
            <w:pPr>
              <w:ind w:left="120"/>
              <w:spacing w:after="0"/>
              <w:rPr>
                <w:sz w:val="20"/>
                <w:szCs w:val="20"/>
                <w:color w:val="auto"/>
              </w:rPr>
            </w:pPr>
            <w:r>
              <w:rPr>
                <w:rFonts w:ascii="Arial" w:cs="Arial" w:eastAsia="Arial" w:hAnsi="Arial"/>
                <w:sz w:val="16"/>
                <w:szCs w:val="16"/>
                <w:color w:val="auto"/>
              </w:rPr>
              <w:t>38,807</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63,854</w:t>
            </w:r>
            <w:r>
              <w:rPr>
                <w:rFonts w:ascii="Arial" w:cs="Arial" w:eastAsia="Arial" w:hAnsi="Arial"/>
                <w:sz w:val="19"/>
                <w:szCs w:val="19"/>
                <w:color w:val="auto"/>
                <w:vertAlign w:val="superscript"/>
              </w:rPr>
              <w:t>(5)</w:t>
            </w:r>
          </w:p>
        </w:tc>
        <w:tc>
          <w:tcPr>
            <w:tcW w:w="1140" w:type="dxa"/>
            <w:vAlign w:val="bottom"/>
          </w:tcPr>
          <w:p>
            <w:pPr>
              <w:ind w:left="120"/>
              <w:spacing w:after="0"/>
              <w:rPr>
                <w:sz w:val="20"/>
                <w:szCs w:val="20"/>
                <w:color w:val="auto"/>
              </w:rPr>
            </w:pPr>
            <w:r>
              <w:rPr>
                <w:rFonts w:ascii="Arial" w:cs="Arial" w:eastAsia="Arial" w:hAnsi="Arial"/>
                <w:sz w:val="16"/>
                <w:szCs w:val="16"/>
                <w:color w:val="auto"/>
              </w:rPr>
              <w:t>192,839</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31,794</w:t>
            </w:r>
            <w:r>
              <w:rPr>
                <w:rFonts w:ascii="Arial" w:cs="Arial" w:eastAsia="Arial" w:hAnsi="Arial"/>
                <w:sz w:val="19"/>
                <w:szCs w:val="19"/>
                <w:color w:val="auto"/>
                <w:vertAlign w:val="superscript"/>
              </w:rPr>
              <w:t>(6)</w:t>
            </w:r>
          </w:p>
        </w:tc>
        <w:tc>
          <w:tcPr>
            <w:tcW w:w="1140" w:type="dxa"/>
            <w:vAlign w:val="bottom"/>
          </w:tcPr>
          <w:p>
            <w:pPr>
              <w:ind w:left="120"/>
              <w:spacing w:after="0"/>
              <w:rPr>
                <w:sz w:val="20"/>
                <w:szCs w:val="20"/>
                <w:color w:val="auto"/>
              </w:rPr>
            </w:pPr>
            <w:r>
              <w:rPr>
                <w:rFonts w:ascii="Arial" w:cs="Arial" w:eastAsia="Arial" w:hAnsi="Arial"/>
                <w:sz w:val="16"/>
                <w:szCs w:val="16"/>
                <w:color w:val="auto"/>
              </w:rPr>
              <w:t>96,018</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338,937</w:t>
            </w:r>
            <w:r>
              <w:rPr>
                <w:rFonts w:ascii="Arial" w:cs="Arial" w:eastAsia="Arial" w:hAnsi="Arial"/>
                <w:sz w:val="19"/>
                <w:szCs w:val="19"/>
                <w:color w:val="auto"/>
                <w:vertAlign w:val="superscript"/>
              </w:rPr>
              <w:t>(7)</w:t>
            </w:r>
          </w:p>
        </w:tc>
        <w:tc>
          <w:tcPr>
            <w:tcW w:w="1140" w:type="dxa"/>
            <w:vAlign w:val="bottom"/>
          </w:tcPr>
          <w:p>
            <w:pPr>
              <w:ind w:left="120"/>
              <w:spacing w:after="0"/>
              <w:rPr>
                <w:sz w:val="20"/>
                <w:szCs w:val="20"/>
                <w:color w:val="auto"/>
              </w:rPr>
            </w:pPr>
            <w:r>
              <w:rPr>
                <w:rFonts w:ascii="Arial" w:cs="Arial" w:eastAsia="Arial" w:hAnsi="Arial"/>
                <w:sz w:val="16"/>
                <w:szCs w:val="16"/>
                <w:color w:val="auto"/>
              </w:rPr>
              <w:t>1,023,590</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270,730</w:t>
            </w:r>
            <w:r>
              <w:rPr>
                <w:rFonts w:ascii="Arial" w:cs="Arial" w:eastAsia="Arial" w:hAnsi="Arial"/>
                <w:sz w:val="19"/>
                <w:szCs w:val="19"/>
                <w:color w:val="auto"/>
                <w:vertAlign w:val="superscript"/>
              </w:rPr>
              <w:t>(12)</w:t>
            </w:r>
          </w:p>
        </w:tc>
        <w:tc>
          <w:tcPr>
            <w:tcW w:w="1140" w:type="dxa"/>
            <w:vAlign w:val="bottom"/>
          </w:tcPr>
          <w:p>
            <w:pPr>
              <w:ind w:left="120"/>
              <w:spacing w:after="0"/>
              <w:rPr>
                <w:sz w:val="20"/>
                <w:szCs w:val="20"/>
                <w:color w:val="auto"/>
              </w:rPr>
            </w:pPr>
            <w:r>
              <w:rPr>
                <w:rFonts w:ascii="Arial" w:cs="Arial" w:eastAsia="Arial" w:hAnsi="Arial"/>
                <w:sz w:val="16"/>
                <w:szCs w:val="16"/>
                <w:color w:val="auto"/>
              </w:rPr>
              <w:t>817,605</w:t>
            </w:r>
          </w:p>
        </w:tc>
        <w:tc>
          <w:tcPr>
            <w:tcW w:w="1300" w:type="dxa"/>
            <w:vAlign w:val="bottom"/>
          </w:tcPr>
          <w:p>
            <w:pPr>
              <w:ind w:left="120"/>
              <w:spacing w:after="0"/>
              <w:rPr>
                <w:sz w:val="20"/>
                <w:szCs w:val="20"/>
                <w:color w:val="auto"/>
              </w:rPr>
            </w:pPr>
            <w:r>
              <w:rPr>
                <w:rFonts w:ascii="Arial" w:cs="Arial" w:eastAsia="Arial" w:hAnsi="Arial"/>
                <w:sz w:val="16"/>
                <w:szCs w:val="16"/>
                <w:color w:val="auto"/>
              </w:rPr>
              <w:t>312,865</w:t>
            </w:r>
            <w:r>
              <w:rPr>
                <w:rFonts w:ascii="Arial" w:cs="Arial" w:eastAsia="Arial" w:hAnsi="Arial"/>
                <w:sz w:val="19"/>
                <w:szCs w:val="19"/>
                <w:color w:val="auto"/>
                <w:vertAlign w:val="superscript"/>
              </w:rPr>
              <w:t>(13)</w:t>
            </w:r>
          </w:p>
        </w:tc>
        <w:tc>
          <w:tcPr>
            <w:tcW w:w="1220" w:type="dxa"/>
            <w:vAlign w:val="bottom"/>
          </w:tcPr>
          <w:p>
            <w:pPr>
              <w:ind w:left="120"/>
              <w:spacing w:after="0"/>
              <w:rPr>
                <w:sz w:val="20"/>
                <w:szCs w:val="20"/>
                <w:color w:val="auto"/>
              </w:rPr>
            </w:pPr>
            <w:r>
              <w:rPr>
                <w:rFonts w:ascii="Arial" w:cs="Arial" w:eastAsia="Arial" w:hAnsi="Arial"/>
                <w:sz w:val="16"/>
                <w:szCs w:val="16"/>
                <w:color w:val="auto"/>
              </w:rPr>
              <w:t>944,852</w:t>
            </w: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180"/>
              <w:spacing w:after="0"/>
              <w:rPr>
                <w:sz w:val="20"/>
                <w:szCs w:val="20"/>
                <w:color w:val="auto"/>
              </w:rPr>
            </w:pPr>
            <w:r>
              <w:rPr>
                <w:rFonts w:ascii="Arial" w:cs="Arial" w:eastAsia="Arial" w:hAnsi="Arial"/>
                <w:sz w:val="16"/>
                <w:szCs w:val="16"/>
                <w:color w:val="auto"/>
              </w:rPr>
              <w:t>Marc</w:t>
            </w:r>
          </w:p>
        </w:tc>
        <w:tc>
          <w:tcPr>
            <w:tcW w:w="1200" w:type="dxa"/>
            <w:vAlign w:val="bottom"/>
          </w:tcPr>
          <w:p>
            <w:pPr>
              <w:ind w:left="160"/>
              <w:spacing w:after="0"/>
              <w:rPr>
                <w:sz w:val="20"/>
                <w:szCs w:val="20"/>
                <w:color w:val="auto"/>
              </w:rPr>
            </w:pPr>
            <w:r>
              <w:rPr>
                <w:rFonts w:ascii="Arial" w:cs="Arial" w:eastAsia="Arial" w:hAnsi="Arial"/>
                <w:sz w:val="16"/>
                <w:szCs w:val="16"/>
                <w:color w:val="auto"/>
              </w:rPr>
              <w:t>178,477</w:t>
            </w:r>
          </w:p>
        </w:tc>
        <w:tc>
          <w:tcPr>
            <w:tcW w:w="1140" w:type="dxa"/>
            <w:vAlign w:val="bottom"/>
          </w:tcPr>
          <w:p>
            <w:pPr>
              <w:ind w:left="60"/>
              <w:spacing w:after="0"/>
              <w:rPr>
                <w:sz w:val="20"/>
                <w:szCs w:val="20"/>
                <w:color w:val="auto"/>
              </w:rPr>
            </w:pPr>
            <w:r>
              <w:rPr>
                <w:rFonts w:ascii="Arial" w:cs="Arial" w:eastAsia="Arial" w:hAnsi="Arial"/>
                <w:sz w:val="16"/>
                <w:szCs w:val="16"/>
                <w:color w:val="auto"/>
              </w:rPr>
              <w:t>535,433</w:t>
            </w:r>
            <w:r>
              <w:rPr>
                <w:rFonts w:ascii="Arial" w:cs="Arial" w:eastAsia="Arial" w:hAnsi="Arial"/>
                <w:sz w:val="19"/>
                <w:szCs w:val="19"/>
                <w:color w:val="auto"/>
                <w:vertAlign w:val="superscript"/>
              </w:rPr>
              <w:t>(9)</w:t>
            </w:r>
          </w:p>
        </w:tc>
        <w:tc>
          <w:tcPr>
            <w:tcW w:w="820" w:type="dxa"/>
            <w:vAlign w:val="bottom"/>
          </w:tcPr>
          <w:p>
            <w:pPr>
              <w:ind w:left="120"/>
              <w:spacing w:after="0"/>
              <w:rPr>
                <w:sz w:val="20"/>
                <w:szCs w:val="20"/>
                <w:color w:val="auto"/>
              </w:rPr>
            </w:pPr>
            <w:r>
              <w:rPr>
                <w:rFonts w:ascii="Arial" w:cs="Arial" w:eastAsia="Arial" w:hAnsi="Arial"/>
                <w:sz w:val="16"/>
                <w:szCs w:val="16"/>
                <w:color w:val="auto"/>
              </w:rPr>
              <w:t>5.25</w:t>
            </w:r>
          </w:p>
        </w:tc>
        <w:tc>
          <w:tcPr>
            <w:tcW w:w="1180" w:type="dxa"/>
            <w:vAlign w:val="bottom"/>
          </w:tcPr>
          <w:p>
            <w:pPr>
              <w:ind w:left="120"/>
              <w:spacing w:after="0"/>
              <w:rPr>
                <w:sz w:val="20"/>
                <w:szCs w:val="20"/>
                <w:color w:val="auto"/>
              </w:rPr>
            </w:pPr>
            <w:r>
              <w:rPr>
                <w:rFonts w:ascii="Arial" w:cs="Arial" w:eastAsia="Arial" w:hAnsi="Arial"/>
                <w:sz w:val="16"/>
                <w:szCs w:val="16"/>
                <w:color w:val="auto"/>
              </w:rPr>
              <w:t>12/4/2030</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140" w:type="dxa"/>
            <w:vAlign w:val="bottom"/>
          </w:tcPr>
          <w:p>
            <w:pPr>
              <w:ind w:left="180"/>
              <w:spacing w:after="0"/>
              <w:rPr>
                <w:sz w:val="20"/>
                <w:szCs w:val="20"/>
                <w:color w:val="auto"/>
              </w:rPr>
            </w:pPr>
            <w:r>
              <w:rPr>
                <w:rFonts w:ascii="Arial" w:cs="Arial" w:eastAsia="Arial" w:hAnsi="Arial"/>
                <w:sz w:val="16"/>
                <w:szCs w:val="16"/>
                <w:color w:val="auto"/>
              </w:rPr>
              <w:t>Winterhoff</w:t>
            </w:r>
          </w:p>
        </w:tc>
        <w:tc>
          <w:tcPr>
            <w:tcW w:w="120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ind w:left="120"/>
              <w:spacing w:after="0"/>
              <w:rPr>
                <w:sz w:val="20"/>
                <w:szCs w:val="20"/>
                <w:color w:val="auto"/>
              </w:rPr>
            </w:pPr>
            <w:r>
              <w:rPr>
                <w:rFonts w:ascii="Arial" w:cs="Arial" w:eastAsia="Arial" w:hAnsi="Arial"/>
                <w:sz w:val="16"/>
                <w:szCs w:val="16"/>
                <w:color w:val="auto"/>
              </w:rPr>
              <w:t>535,434</w:t>
            </w:r>
            <w:r>
              <w:rPr>
                <w:rFonts w:ascii="Arial" w:cs="Arial" w:eastAsia="Arial" w:hAnsi="Arial"/>
                <w:sz w:val="19"/>
                <w:szCs w:val="19"/>
                <w:color w:val="auto"/>
                <w:vertAlign w:val="superscript"/>
              </w:rPr>
              <w:t>(10)</w:t>
            </w:r>
          </w:p>
        </w:tc>
        <w:tc>
          <w:tcPr>
            <w:tcW w:w="1140" w:type="dxa"/>
            <w:vAlign w:val="bottom"/>
            <w:vMerge w:val="restart"/>
          </w:tcPr>
          <w:p>
            <w:pPr>
              <w:ind w:left="120"/>
              <w:spacing w:after="0"/>
              <w:rPr>
                <w:sz w:val="20"/>
                <w:szCs w:val="20"/>
                <w:color w:val="auto"/>
              </w:rPr>
            </w:pPr>
            <w:r>
              <w:rPr>
                <w:rFonts w:ascii="Arial" w:cs="Arial" w:eastAsia="Arial" w:hAnsi="Arial"/>
                <w:sz w:val="16"/>
                <w:szCs w:val="16"/>
                <w:color w:val="auto"/>
              </w:rPr>
              <w:t>1,617,011</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1,386,704</w:t>
            </w:r>
            <w:r>
              <w:rPr>
                <w:rFonts w:ascii="Arial" w:cs="Arial" w:eastAsia="Arial" w:hAnsi="Arial"/>
                <w:sz w:val="19"/>
                <w:szCs w:val="19"/>
                <w:color w:val="auto"/>
                <w:vertAlign w:val="superscript"/>
              </w:rPr>
              <w:t>(12)</w:t>
            </w:r>
          </w:p>
        </w:tc>
        <w:tc>
          <w:tcPr>
            <w:tcW w:w="1140" w:type="dxa"/>
            <w:vAlign w:val="bottom"/>
          </w:tcPr>
          <w:p>
            <w:pPr>
              <w:ind w:left="120"/>
              <w:spacing w:after="0"/>
              <w:rPr>
                <w:sz w:val="20"/>
                <w:szCs w:val="20"/>
                <w:color w:val="auto"/>
              </w:rPr>
            </w:pPr>
            <w:r>
              <w:rPr>
                <w:rFonts w:ascii="Arial" w:cs="Arial" w:eastAsia="Arial" w:hAnsi="Arial"/>
                <w:sz w:val="16"/>
                <w:szCs w:val="16"/>
                <w:color w:val="auto"/>
              </w:rPr>
              <w:t>4,187,846</w:t>
            </w:r>
          </w:p>
        </w:tc>
        <w:tc>
          <w:tcPr>
            <w:tcW w:w="1300" w:type="dxa"/>
            <w:vAlign w:val="bottom"/>
          </w:tcPr>
          <w:p>
            <w:pPr>
              <w:ind w:left="120"/>
              <w:spacing w:after="0"/>
              <w:rPr>
                <w:sz w:val="20"/>
                <w:szCs w:val="20"/>
                <w:color w:val="auto"/>
              </w:rPr>
            </w:pPr>
            <w:r>
              <w:rPr>
                <w:rFonts w:ascii="Arial" w:cs="Arial" w:eastAsia="Arial" w:hAnsi="Arial"/>
                <w:sz w:val="16"/>
                <w:szCs w:val="16"/>
                <w:color w:val="auto"/>
              </w:rPr>
              <w:t>1,602,507</w:t>
            </w:r>
            <w:r>
              <w:rPr>
                <w:rFonts w:ascii="Arial" w:cs="Arial" w:eastAsia="Arial" w:hAnsi="Arial"/>
                <w:sz w:val="19"/>
                <w:szCs w:val="19"/>
                <w:color w:val="auto"/>
                <w:vertAlign w:val="superscript"/>
              </w:rPr>
              <w:t>(13)</w:t>
            </w:r>
          </w:p>
        </w:tc>
        <w:tc>
          <w:tcPr>
            <w:tcW w:w="1220" w:type="dxa"/>
            <w:vAlign w:val="bottom"/>
          </w:tcPr>
          <w:p>
            <w:pPr>
              <w:ind w:left="120"/>
              <w:spacing w:after="0"/>
              <w:rPr>
                <w:sz w:val="20"/>
                <w:szCs w:val="20"/>
                <w:color w:val="auto"/>
              </w:rPr>
            </w:pPr>
            <w:r>
              <w:rPr>
                <w:rFonts w:ascii="Arial" w:cs="Arial" w:eastAsia="Arial" w:hAnsi="Arial"/>
                <w:sz w:val="16"/>
                <w:szCs w:val="16"/>
                <w:color w:val="auto"/>
              </w:rPr>
              <w:t>4,839,571</w:t>
            </w: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11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1200" w:type="dxa"/>
            <w:vAlign w:val="bottom"/>
          </w:tcPr>
          <w:p>
            <w:pPr>
              <w:ind w:left="160"/>
              <w:spacing w:after="0"/>
              <w:rPr>
                <w:sz w:val="20"/>
                <w:szCs w:val="20"/>
                <w:color w:val="auto"/>
              </w:rPr>
            </w:pPr>
            <w:r>
              <w:rPr>
                <w:rFonts w:ascii="Arial" w:cs="Arial" w:eastAsia="Arial" w:hAnsi="Arial"/>
                <w:sz w:val="16"/>
                <w:szCs w:val="16"/>
                <w:color w:val="auto"/>
              </w:rPr>
              <w:t>879,698</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0.83</w:t>
            </w:r>
          </w:p>
        </w:tc>
        <w:tc>
          <w:tcPr>
            <w:tcW w:w="1180" w:type="dxa"/>
            <w:vAlign w:val="bottom"/>
          </w:tcPr>
          <w:p>
            <w:pPr>
              <w:ind w:left="120"/>
              <w:spacing w:after="0"/>
              <w:rPr>
                <w:sz w:val="20"/>
                <w:szCs w:val="20"/>
                <w:color w:val="auto"/>
              </w:rPr>
            </w:pPr>
            <w:r>
              <w:rPr>
                <w:rFonts w:ascii="Arial" w:cs="Arial" w:eastAsia="Arial" w:hAnsi="Arial"/>
                <w:sz w:val="16"/>
                <w:szCs w:val="16"/>
                <w:color w:val="auto"/>
              </w:rPr>
              <w:t>04/21/2029</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1,850,800</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0.93</w:t>
            </w:r>
          </w:p>
        </w:tc>
        <w:tc>
          <w:tcPr>
            <w:tcW w:w="1180" w:type="dxa"/>
            <w:vAlign w:val="bottom"/>
          </w:tcPr>
          <w:p>
            <w:pPr>
              <w:ind w:left="120"/>
              <w:spacing w:after="0"/>
              <w:rPr>
                <w:sz w:val="20"/>
                <w:szCs w:val="20"/>
                <w:color w:val="auto"/>
              </w:rPr>
            </w:pPr>
            <w:r>
              <w:rPr>
                <w:rFonts w:ascii="Arial" w:cs="Arial" w:eastAsia="Arial" w:hAnsi="Arial"/>
                <w:sz w:val="16"/>
                <w:szCs w:val="16"/>
                <w:color w:val="auto"/>
              </w:rPr>
              <w:t>07/15/2030</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41,312</w:t>
            </w:r>
            <w:r>
              <w:rPr>
                <w:rFonts w:ascii="Arial" w:cs="Arial" w:eastAsia="Arial" w:hAnsi="Arial"/>
                <w:sz w:val="19"/>
                <w:szCs w:val="19"/>
                <w:color w:val="auto"/>
                <w:vertAlign w:val="superscript"/>
              </w:rPr>
              <w:t>(11)</w:t>
            </w:r>
          </w:p>
        </w:tc>
        <w:tc>
          <w:tcPr>
            <w:tcW w:w="1140" w:type="dxa"/>
            <w:vAlign w:val="bottom"/>
          </w:tcPr>
          <w:p>
            <w:pPr>
              <w:ind w:left="120"/>
              <w:spacing w:after="0"/>
              <w:rPr>
                <w:sz w:val="20"/>
                <w:szCs w:val="20"/>
                <w:color w:val="auto"/>
              </w:rPr>
            </w:pPr>
            <w:r>
              <w:rPr>
                <w:rFonts w:ascii="Arial" w:cs="Arial" w:eastAsia="Arial" w:hAnsi="Arial"/>
                <w:sz w:val="16"/>
                <w:szCs w:val="16"/>
                <w:color w:val="auto"/>
              </w:rPr>
              <w:t>124,762</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85,664</w:t>
            </w:r>
            <w:r>
              <w:rPr>
                <w:rFonts w:ascii="Arial" w:cs="Arial" w:eastAsia="Arial" w:hAnsi="Arial"/>
                <w:sz w:val="19"/>
                <w:szCs w:val="19"/>
                <w:color w:val="auto"/>
                <w:vertAlign w:val="superscript"/>
              </w:rPr>
              <w:t>(4)</w:t>
            </w:r>
          </w:p>
        </w:tc>
        <w:tc>
          <w:tcPr>
            <w:tcW w:w="1140" w:type="dxa"/>
            <w:vAlign w:val="bottom"/>
          </w:tcPr>
          <w:p>
            <w:pPr>
              <w:ind w:left="120"/>
              <w:spacing w:after="0"/>
              <w:rPr>
                <w:sz w:val="20"/>
                <w:szCs w:val="20"/>
                <w:color w:val="auto"/>
              </w:rPr>
            </w:pPr>
            <w:r>
              <w:rPr>
                <w:rFonts w:ascii="Arial" w:cs="Arial" w:eastAsia="Arial" w:hAnsi="Arial"/>
                <w:sz w:val="16"/>
                <w:szCs w:val="16"/>
                <w:color w:val="auto"/>
              </w:rPr>
              <w:t>258,705</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229,873</w:t>
            </w:r>
            <w:r>
              <w:rPr>
                <w:rFonts w:ascii="Arial" w:cs="Arial" w:eastAsia="Arial" w:hAnsi="Arial"/>
                <w:sz w:val="19"/>
                <w:szCs w:val="19"/>
                <w:color w:val="auto"/>
                <w:vertAlign w:val="superscript"/>
              </w:rPr>
              <w:t>(5)</w:t>
            </w:r>
          </w:p>
        </w:tc>
        <w:tc>
          <w:tcPr>
            <w:tcW w:w="1140" w:type="dxa"/>
            <w:vAlign w:val="bottom"/>
          </w:tcPr>
          <w:p>
            <w:pPr>
              <w:ind w:left="120"/>
              <w:spacing w:after="0"/>
              <w:rPr>
                <w:sz w:val="20"/>
                <w:szCs w:val="20"/>
                <w:color w:val="auto"/>
              </w:rPr>
            </w:pPr>
            <w:r>
              <w:rPr>
                <w:rFonts w:ascii="Arial" w:cs="Arial" w:eastAsia="Arial" w:hAnsi="Arial"/>
                <w:sz w:val="16"/>
                <w:szCs w:val="16"/>
                <w:color w:val="auto"/>
              </w:rPr>
              <w:t>694,216</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6"/>
                <w:szCs w:val="16"/>
                <w:color w:val="auto"/>
              </w:rPr>
              <w:t>143,074</w:t>
            </w:r>
            <w:r>
              <w:rPr>
                <w:rFonts w:ascii="Arial" w:cs="Arial" w:eastAsia="Arial" w:hAnsi="Arial"/>
                <w:sz w:val="19"/>
                <w:szCs w:val="19"/>
                <w:color w:val="auto"/>
                <w:vertAlign w:val="superscript"/>
              </w:rPr>
              <w:t>(6)</w:t>
            </w:r>
          </w:p>
        </w:tc>
        <w:tc>
          <w:tcPr>
            <w:tcW w:w="1140" w:type="dxa"/>
            <w:vAlign w:val="bottom"/>
          </w:tcPr>
          <w:p>
            <w:pPr>
              <w:ind w:left="120"/>
              <w:spacing w:after="0"/>
              <w:rPr>
                <w:sz w:val="20"/>
                <w:szCs w:val="20"/>
                <w:color w:val="auto"/>
              </w:rPr>
            </w:pPr>
            <w:r>
              <w:rPr>
                <w:rFonts w:ascii="Arial" w:cs="Arial" w:eastAsia="Arial" w:hAnsi="Arial"/>
                <w:sz w:val="16"/>
                <w:szCs w:val="16"/>
                <w:color w:val="auto"/>
              </w:rPr>
              <w:t>432,083</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161,762</w:t>
            </w:r>
          </w:p>
        </w:tc>
        <w:tc>
          <w:tcPr>
            <w:tcW w:w="1140" w:type="dxa"/>
            <w:vAlign w:val="bottom"/>
          </w:tcPr>
          <w:p>
            <w:pPr>
              <w:ind w:left="60"/>
              <w:spacing w:after="0"/>
              <w:rPr>
                <w:sz w:val="20"/>
                <w:szCs w:val="20"/>
                <w:color w:val="auto"/>
              </w:rPr>
            </w:pPr>
            <w:r>
              <w:rPr>
                <w:rFonts w:ascii="Arial" w:cs="Arial" w:eastAsia="Arial" w:hAnsi="Arial"/>
                <w:sz w:val="16"/>
                <w:szCs w:val="16"/>
                <w:color w:val="auto"/>
              </w:rPr>
              <w:t>246,901</w:t>
            </w:r>
            <w:r>
              <w:rPr>
                <w:rFonts w:ascii="Arial" w:cs="Arial" w:eastAsia="Arial" w:hAnsi="Arial"/>
                <w:sz w:val="19"/>
                <w:szCs w:val="19"/>
                <w:color w:val="auto"/>
                <w:vertAlign w:val="superscript"/>
              </w:rPr>
              <w:t>(8)</w:t>
            </w:r>
          </w:p>
        </w:tc>
        <w:tc>
          <w:tcPr>
            <w:tcW w:w="820" w:type="dxa"/>
            <w:vAlign w:val="bottom"/>
          </w:tcPr>
          <w:p>
            <w:pPr>
              <w:ind w:left="120"/>
              <w:spacing w:after="0"/>
              <w:rPr>
                <w:sz w:val="20"/>
                <w:szCs w:val="20"/>
                <w:color w:val="auto"/>
              </w:rPr>
            </w:pPr>
            <w:r>
              <w:rPr>
                <w:rFonts w:ascii="Arial" w:cs="Arial" w:eastAsia="Arial" w:hAnsi="Arial"/>
                <w:sz w:val="16"/>
                <w:szCs w:val="16"/>
                <w:color w:val="auto"/>
              </w:rPr>
              <w:t>8.26</w:t>
            </w:r>
          </w:p>
        </w:tc>
        <w:tc>
          <w:tcPr>
            <w:tcW w:w="1180" w:type="dxa"/>
            <w:vAlign w:val="bottom"/>
          </w:tcPr>
          <w:p>
            <w:pPr>
              <w:ind w:left="120"/>
              <w:spacing w:after="0"/>
              <w:rPr>
                <w:sz w:val="20"/>
                <w:szCs w:val="20"/>
                <w:color w:val="auto"/>
              </w:rPr>
            </w:pPr>
            <w:r>
              <w:rPr>
                <w:rFonts w:ascii="Arial" w:cs="Arial" w:eastAsia="Arial" w:hAnsi="Arial"/>
                <w:sz w:val="16"/>
                <w:szCs w:val="16"/>
                <w:color w:val="auto"/>
              </w:rPr>
              <w:t>09/10/2030</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813,449</w:t>
            </w:r>
            <w:r>
              <w:rPr>
                <w:rFonts w:ascii="Arial" w:cs="Arial" w:eastAsia="Arial" w:hAnsi="Arial"/>
                <w:sz w:val="19"/>
                <w:szCs w:val="19"/>
                <w:color w:val="auto"/>
                <w:vertAlign w:val="superscript"/>
              </w:rPr>
              <w:t>(7)</w:t>
            </w:r>
          </w:p>
        </w:tc>
        <w:tc>
          <w:tcPr>
            <w:tcW w:w="1140" w:type="dxa"/>
            <w:vAlign w:val="bottom"/>
          </w:tcPr>
          <w:p>
            <w:pPr>
              <w:ind w:left="120"/>
              <w:spacing w:after="0"/>
              <w:rPr>
                <w:sz w:val="20"/>
                <w:szCs w:val="20"/>
                <w:color w:val="auto"/>
              </w:rPr>
            </w:pPr>
            <w:r>
              <w:rPr>
                <w:rFonts w:ascii="Arial" w:cs="Arial" w:eastAsia="Arial" w:hAnsi="Arial"/>
                <w:sz w:val="16"/>
                <w:szCs w:val="16"/>
                <w:color w:val="auto"/>
              </w:rPr>
              <w:t>2,456,616</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974,637</w:t>
            </w:r>
            <w:r>
              <w:rPr>
                <w:rFonts w:ascii="Arial" w:cs="Arial" w:eastAsia="Arial" w:hAnsi="Arial"/>
                <w:sz w:val="19"/>
                <w:szCs w:val="19"/>
                <w:color w:val="auto"/>
                <w:vertAlign w:val="superscript"/>
              </w:rPr>
              <w:t>(12)</w:t>
            </w:r>
          </w:p>
        </w:tc>
        <w:tc>
          <w:tcPr>
            <w:tcW w:w="1140" w:type="dxa"/>
            <w:vAlign w:val="bottom"/>
          </w:tcPr>
          <w:p>
            <w:pPr>
              <w:ind w:left="120"/>
              <w:spacing w:after="0"/>
              <w:rPr>
                <w:sz w:val="20"/>
                <w:szCs w:val="20"/>
                <w:color w:val="auto"/>
              </w:rPr>
            </w:pPr>
            <w:r>
              <w:rPr>
                <w:rFonts w:ascii="Arial" w:cs="Arial" w:eastAsia="Arial" w:hAnsi="Arial"/>
                <w:sz w:val="16"/>
                <w:szCs w:val="16"/>
                <w:color w:val="auto"/>
              </w:rPr>
              <w:t>2,943,404</w:t>
            </w:r>
          </w:p>
        </w:tc>
        <w:tc>
          <w:tcPr>
            <w:tcW w:w="1300" w:type="dxa"/>
            <w:vAlign w:val="bottom"/>
          </w:tcPr>
          <w:p>
            <w:pPr>
              <w:ind w:left="120"/>
              <w:spacing w:after="0"/>
              <w:rPr>
                <w:sz w:val="20"/>
                <w:szCs w:val="20"/>
                <w:color w:val="auto"/>
              </w:rPr>
            </w:pPr>
            <w:r>
              <w:rPr>
                <w:rFonts w:ascii="Arial" w:cs="Arial" w:eastAsia="Arial" w:hAnsi="Arial"/>
                <w:sz w:val="16"/>
                <w:szCs w:val="16"/>
                <w:color w:val="auto"/>
              </w:rPr>
              <w:t>1,126,314</w:t>
            </w:r>
            <w:r>
              <w:rPr>
                <w:rFonts w:ascii="Arial" w:cs="Arial" w:eastAsia="Arial" w:hAnsi="Arial"/>
                <w:sz w:val="19"/>
                <w:szCs w:val="19"/>
                <w:color w:val="auto"/>
                <w:vertAlign w:val="superscript"/>
              </w:rPr>
              <w:t>(13)</w:t>
            </w:r>
          </w:p>
        </w:tc>
        <w:tc>
          <w:tcPr>
            <w:tcW w:w="1220" w:type="dxa"/>
            <w:vAlign w:val="bottom"/>
          </w:tcPr>
          <w:p>
            <w:pPr>
              <w:ind w:left="120"/>
              <w:spacing w:after="0"/>
              <w:rPr>
                <w:sz w:val="20"/>
                <w:szCs w:val="20"/>
                <w:color w:val="auto"/>
              </w:rPr>
            </w:pPr>
            <w:r>
              <w:rPr>
                <w:rFonts w:ascii="Arial" w:cs="Arial" w:eastAsia="Arial" w:hAnsi="Arial"/>
                <w:sz w:val="16"/>
                <w:szCs w:val="16"/>
                <w:color w:val="auto"/>
              </w:rPr>
              <w:t>3,401,468</w:t>
            </w: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180"/>
              <w:spacing w:after="0"/>
              <w:rPr>
                <w:sz w:val="20"/>
                <w:szCs w:val="20"/>
                <w:color w:val="auto"/>
              </w:rPr>
            </w:pPr>
            <w:r>
              <w:rPr>
                <w:rFonts w:ascii="Arial" w:cs="Arial" w:eastAsia="Arial" w:hAnsi="Arial"/>
                <w:sz w:val="16"/>
                <w:szCs w:val="16"/>
                <w:color w:val="auto"/>
              </w:rPr>
              <w:t>Michael</w:t>
            </w:r>
          </w:p>
        </w:tc>
        <w:tc>
          <w:tcPr>
            <w:tcW w:w="120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1140" w:type="dxa"/>
            <w:vAlign w:val="bottom"/>
          </w:tcPr>
          <w:p>
            <w:pPr>
              <w:ind w:left="180"/>
              <w:spacing w:after="0"/>
              <w:rPr>
                <w:sz w:val="20"/>
                <w:szCs w:val="20"/>
                <w:color w:val="auto"/>
              </w:rPr>
            </w:pPr>
            <w:r>
              <w:rPr>
                <w:rFonts w:ascii="Arial" w:cs="Arial" w:eastAsia="Arial" w:hAnsi="Arial"/>
                <w:sz w:val="16"/>
                <w:szCs w:val="16"/>
                <w:color w:val="auto"/>
              </w:rPr>
              <w:t>Bell</w:t>
            </w:r>
            <w:r>
              <w:rPr>
                <w:rFonts w:ascii="Arial" w:cs="Arial" w:eastAsia="Arial" w:hAnsi="Arial"/>
                <w:sz w:val="19"/>
                <w:szCs w:val="19"/>
                <w:color w:val="auto"/>
                <w:vertAlign w:val="superscript"/>
              </w:rPr>
              <w:t>(14)</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824230</wp:posOffset>
                </wp:positionH>
                <wp:positionV relativeFrom="paragraph">
                  <wp:posOffset>-7054850</wp:posOffset>
                </wp:positionV>
                <wp:extent cx="257429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429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pt,-555.4999pt" to="267.6pt,-555.49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3550285</wp:posOffset>
                </wp:positionH>
                <wp:positionV relativeFrom="paragraph">
                  <wp:posOffset>-7054850</wp:posOffset>
                </wp:positionV>
                <wp:extent cx="291211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211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55pt,-555.4999pt" to="508.85pt,-555.4999pt" o:allowincell="f" strokecolor="#FFFFFF" strokeweight="0.499pt"/>
            </w:pict>
          </mc:Fallback>
        </mc:AlternateContent>
      </w:r>
    </w:p>
    <w:p>
      <w:pPr>
        <w:spacing w:after="0" w:line="293" w:lineRule="exact"/>
        <w:rPr>
          <w:sz w:val="20"/>
          <w:szCs w:val="20"/>
          <w:color w:val="auto"/>
        </w:rPr>
      </w:pPr>
    </w:p>
    <w:p>
      <w:pPr>
        <w:ind w:left="142" w:hanging="142"/>
        <w:spacing w:after="0"/>
        <w:tabs>
          <w:tab w:leader="none" w:pos="142" w:val="left"/>
        </w:tabs>
        <w:numPr>
          <w:ilvl w:val="0"/>
          <w:numId w:val="47"/>
        </w:numPr>
        <w:rPr>
          <w:rFonts w:ascii="Arial" w:cs="Arial" w:eastAsia="Arial" w:hAnsi="Arial"/>
          <w:sz w:val="17"/>
          <w:szCs w:val="17"/>
          <w:color w:val="auto"/>
          <w:vertAlign w:val="superscript"/>
        </w:rPr>
      </w:pPr>
      <w:r>
        <w:rPr>
          <w:rFonts w:ascii="Arial" w:cs="Arial" w:eastAsia="Arial" w:hAnsi="Arial"/>
          <w:sz w:val="11"/>
          <w:szCs w:val="11"/>
          <w:color w:val="auto"/>
        </w:rPr>
        <w:t>The RSUs vest in 16 equal quarterly installments beginning on December 5, 2021 and ending September 5, 2025, subject to Mr. Rawlinson’s continued service as of each applicable vesting date.</w:t>
      </w:r>
    </w:p>
    <w:p>
      <w:pPr>
        <w:spacing w:after="0" w:line="147"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47"/>
        </w:numPr>
        <w:rPr>
          <w:rFonts w:ascii="Arial" w:cs="Arial" w:eastAsia="Arial" w:hAnsi="Arial"/>
          <w:sz w:val="17"/>
          <w:szCs w:val="17"/>
          <w:color w:val="auto"/>
          <w:vertAlign w:val="superscript"/>
        </w:rPr>
      </w:pPr>
      <w:r>
        <w:rPr>
          <w:rFonts w:ascii="Arial" w:cs="Arial" w:eastAsia="Arial" w:hAnsi="Arial"/>
          <w:sz w:val="11"/>
          <w:szCs w:val="11"/>
          <w:color w:val="auto"/>
        </w:rPr>
        <w:t>The CEO Performance RSUs vest in five tranches based on the achievement of market capitalization goals applicable to each tranche over any six-month period, subject to</w:t>
      </w:r>
    </w:p>
    <w:p>
      <w:pPr>
        <w:ind w:left="142"/>
        <w:spacing w:after="0"/>
        <w:rPr>
          <w:rFonts w:ascii="Arial" w:cs="Arial" w:eastAsia="Arial" w:hAnsi="Arial"/>
          <w:sz w:val="17"/>
          <w:szCs w:val="17"/>
          <w:color w:val="auto"/>
          <w:vertAlign w:val="superscript"/>
        </w:rPr>
      </w:pPr>
      <w:r>
        <w:rPr>
          <w:rFonts w:ascii="Arial" w:cs="Arial" w:eastAsia="Arial" w:hAnsi="Arial"/>
          <w:sz w:val="12"/>
          <w:szCs w:val="12"/>
          <w:color w:val="auto"/>
        </w:rPr>
        <w:t>Mr. Rawlinson’s continued employment through the applicable vesting date. 13,934,271 CEO Performance RSUs relating to Tranche 1, Tranche 2, Tranche 3, and Tranche 4 vested</w:t>
      </w:r>
    </w:p>
    <w:p>
      <w:pPr>
        <w:sectPr>
          <w:pgSz w:w="11880" w:h="15480" w:orient="portrait"/>
          <w:cols w:equalWidth="0" w:num="1">
            <w:col w:w="10422"/>
          </w:cols>
          <w:pgMar w:left="718" w:top="876" w:right="740" w:bottom="0" w:gutter="0" w:footer="0" w:header="0"/>
        </w:sectPr>
      </w:pPr>
    </w:p>
    <w:p>
      <w:pPr>
        <w:spacing w:after="0" w:line="200" w:lineRule="exact"/>
        <w:rPr>
          <w:sz w:val="20"/>
          <w:szCs w:val="20"/>
          <w:color w:val="auto"/>
        </w:rPr>
      </w:pPr>
    </w:p>
    <w:p>
      <w:pPr>
        <w:spacing w:after="0" w:line="360"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65</w:t>
      </w:r>
    </w:p>
    <w:p>
      <w:pPr>
        <w:sectPr>
          <w:pgSz w:w="11880" w:h="15480" w:orient="portrait"/>
          <w:cols w:equalWidth="0" w:num="1">
            <w:col w:w="10422"/>
          </w:cols>
          <w:pgMar w:left="718" w:top="876" w:right="740" w:bottom="0" w:gutter="0" w:footer="0" w:header="0"/>
          <w:type w:val="continuous"/>
        </w:sectPr>
      </w:pPr>
    </w:p>
    <w:bookmarkStart w:id="71" w:name="page72"/>
    <w:bookmarkEnd w:id="71"/>
    <w:p>
      <w:pPr>
        <w:ind w:left="142"/>
        <w:spacing w:after="0" w:line="256" w:lineRule="auto"/>
        <w:rPr>
          <w:sz w:val="20"/>
          <w:szCs w:val="20"/>
          <w:color w:val="auto"/>
        </w:rPr>
      </w:pPr>
      <w:r>
        <w:rPr>
          <w:rFonts w:ascii="Arial" w:cs="Arial" w:eastAsia="Arial" w:hAnsi="Arial"/>
          <w:sz w:val="12"/>
          <w:szCs w:val="12"/>
          <w:color w:val="auto"/>
        </w:rPr>
        <w:t>on March 5, 2022 and were settled on March 7, 2022. The amount reported is the number of CEO Performance RSUs relating to Tranche 5, which was not vested as of December 31, 2024. Amounts can be earned until July 23, 2026, subject to continued service as of each applicable vesting date.</w:t>
      </w:r>
    </w:p>
    <w:p>
      <w:pPr>
        <w:spacing w:after="0" w:line="95" w:lineRule="exact"/>
        <w:rPr>
          <w:sz w:val="20"/>
          <w:szCs w:val="20"/>
          <w:color w:val="auto"/>
        </w:rPr>
      </w:pPr>
    </w:p>
    <w:p>
      <w:pPr>
        <w:ind w:left="142" w:right="20" w:hanging="142"/>
        <w:spacing w:after="0" w:line="212"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25% of the RSUs vested on March 5, 2023 and 1/16 of the RSUs vest each quarter beginning June 5, 2023 and ending March 5, 2026,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142" w:right="180" w:hanging="142"/>
        <w:spacing w:after="0" w:line="212"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1/8 of the RSUs vested on September 5, 2022 and 1/16 of the RSUs vest each quarter beginning December 5, 2022 and ending March 5, 2026,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142" w:right="100" w:hanging="142"/>
        <w:spacing w:after="0" w:line="212"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1/8 of the RSUs vested on September 10, 2023 and 1/16 of the RSUs vest each quarter beginning December 5, 2023 and ending March 5, 2027,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142" w:right="40" w:hanging="142"/>
        <w:spacing w:after="0" w:line="326"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Represents the number of unvested shares subject to the 2023 PSU award as of December 31, 2024 at the actual performance level. Such earned PSUs determined in April 2024 include: 76,306 shares for Mr. Dhingra and 343,380 shares for Mr. Bach. 1/3 of the earned PSUs vested on April 9, 2024, the date the Board certified the achievement of the performance metrics, and 1/12 of the earned PSUs vest each quarter beginning June 5, 2024 and ending March 5, 2026, subject to the NEO’s continued employment as of each applicable vesting date.</w:t>
      </w:r>
    </w:p>
    <w:p>
      <w:pPr>
        <w:spacing w:after="0" w:line="59" w:lineRule="exact"/>
        <w:rPr>
          <w:rFonts w:ascii="Arial" w:cs="Arial" w:eastAsia="Arial" w:hAnsi="Arial"/>
          <w:sz w:val="17"/>
          <w:szCs w:val="17"/>
          <w:color w:val="auto"/>
          <w:vertAlign w:val="superscript"/>
        </w:rPr>
      </w:pPr>
    </w:p>
    <w:p>
      <w:pPr>
        <w:ind w:left="142" w:right="120" w:hanging="142"/>
        <w:spacing w:after="0" w:line="212"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1/8 of the RSUs vested on September 15, 2024 and 1/16 of the RSUs vest each quarter beginning December 5, 2024 and ending March 5, 2028,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142" w:right="240" w:hanging="142"/>
        <w:spacing w:after="0" w:line="212" w:lineRule="auto"/>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The options to vest over four years, with 5/48 vested on the first monthly anniversary of September 10, 2023 and 1/48 of the options vest each monthly anniversary thereafter,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The options vested 25% on December 4, 2024 and 1/48 of the options vest each monthly anniversary thereafter, subject to the NEO’s continued employment as of each applicable vesting date.</w:t>
      </w:r>
    </w:p>
    <w:p>
      <w:pPr>
        <w:spacing w:after="0" w:line="193" w:lineRule="exact"/>
        <w:rPr>
          <w:rFonts w:ascii="Arial" w:cs="Arial" w:eastAsia="Arial" w:hAnsi="Arial"/>
          <w:sz w:val="17"/>
          <w:szCs w:val="17"/>
          <w:color w:val="auto"/>
          <w:vertAlign w:val="superscript"/>
        </w:rPr>
      </w:pPr>
    </w:p>
    <w:p>
      <w:pPr>
        <w:ind w:left="202" w:right="160" w:hanging="202"/>
        <w:spacing w:after="0" w:line="212" w:lineRule="auto"/>
        <w:tabs>
          <w:tab w:leader="none" w:pos="20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25% of the RSUs vested on December 5, 2024 and 1/16 of the RSUs vest each quarter over 12 quarters beginning March 5, 2025 and ending December 5, 2027, subject to the NEO’s continued employment as of each applicable vesting date.</w:t>
      </w:r>
    </w:p>
    <w:p>
      <w:pPr>
        <w:spacing w:after="0" w:line="55" w:lineRule="exact"/>
        <w:rPr>
          <w:rFonts w:ascii="Arial" w:cs="Arial" w:eastAsia="Arial" w:hAnsi="Arial"/>
          <w:sz w:val="17"/>
          <w:szCs w:val="17"/>
          <w:color w:val="auto"/>
          <w:vertAlign w:val="superscript"/>
        </w:rPr>
      </w:pPr>
    </w:p>
    <w:p>
      <w:pPr>
        <w:ind w:left="202" w:hanging="202"/>
        <w:spacing w:after="0"/>
        <w:tabs>
          <w:tab w:leader="none" w:pos="20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1/16 of the RSUs vested on June 5, 2021 and 1/16 of the RSUs vested each quarter beginning September 5, 2021 and ending March 5, 2025.</w:t>
      </w:r>
    </w:p>
    <w:p>
      <w:pPr>
        <w:spacing w:after="0" w:line="103" w:lineRule="exact"/>
        <w:rPr>
          <w:rFonts w:ascii="Arial" w:cs="Arial" w:eastAsia="Arial" w:hAnsi="Arial"/>
          <w:sz w:val="17"/>
          <w:szCs w:val="17"/>
          <w:color w:val="auto"/>
          <w:vertAlign w:val="superscript"/>
        </w:rPr>
      </w:pPr>
    </w:p>
    <w:p>
      <w:pPr>
        <w:ind w:left="202" w:right="240" w:hanging="202"/>
        <w:spacing w:after="0" w:line="227" w:lineRule="auto"/>
        <w:tabs>
          <w:tab w:leader="none" w:pos="20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Represents PSUs at 129.8% of target level of performance, as adjusted by the achieved PSU Payout Factor for the 2024 tranche. The earned PSUs determined in March 2025 include: Mr. Dhingra, 270,730; Mr. Winterhoff, 1,386,704; Mr. Bach, 974,637. 1/2 of the earned PSUs vested on March 5, 2025, and 1/8 of the earned PSUs vest each quarter beginning June 5, 2025 and ending March 5, 2026, subject to the NEO’s continued employment as of each applicable vesting date.</w:t>
      </w:r>
    </w:p>
    <w:p>
      <w:pPr>
        <w:spacing w:after="0" w:line="104" w:lineRule="exact"/>
        <w:rPr>
          <w:rFonts w:ascii="Arial" w:cs="Arial" w:eastAsia="Arial" w:hAnsi="Arial"/>
          <w:sz w:val="17"/>
          <w:szCs w:val="17"/>
          <w:color w:val="auto"/>
          <w:vertAlign w:val="superscript"/>
        </w:rPr>
      </w:pPr>
    </w:p>
    <w:p>
      <w:pPr>
        <w:ind w:left="202" w:hanging="202"/>
        <w:spacing w:after="0" w:line="227" w:lineRule="auto"/>
        <w:tabs>
          <w:tab w:leader="none" w:pos="202" w:val="left"/>
        </w:tabs>
        <w:numPr>
          <w:ilvl w:val="0"/>
          <w:numId w:val="48"/>
        </w:numPr>
        <w:rPr>
          <w:rFonts w:ascii="Arial" w:cs="Arial" w:eastAsia="Arial" w:hAnsi="Arial"/>
          <w:sz w:val="17"/>
          <w:szCs w:val="17"/>
          <w:color w:val="auto"/>
          <w:vertAlign w:val="superscript"/>
        </w:rPr>
      </w:pPr>
      <w:r>
        <w:rPr>
          <w:rFonts w:ascii="Arial" w:cs="Arial" w:eastAsia="Arial" w:hAnsi="Arial"/>
          <w:sz w:val="11"/>
          <w:szCs w:val="11"/>
          <w:color w:val="auto"/>
        </w:rPr>
        <w:t>Represents unearned PSUs at maximum level of performance pursuant to the 2024 PSU awards for the 2025 Tranche to NEOs. For the 2025 Tranche: 50% of earned shares vest upon the later of March 5, 2026, or the certification of achievement which is expected to occur in the first quarter 2026. The remaining 50% of earned shares vest in equal quarterly installments over the following four quarters, subject to the NEO’s continued service through the applicable vesting dates.</w:t>
      </w:r>
    </w:p>
    <w:p>
      <w:pPr>
        <w:spacing w:after="0" w:line="104" w:lineRule="exact"/>
        <w:rPr>
          <w:rFonts w:ascii="Arial" w:cs="Arial" w:eastAsia="Arial" w:hAnsi="Arial"/>
          <w:sz w:val="17"/>
          <w:szCs w:val="17"/>
          <w:color w:val="auto"/>
          <w:vertAlign w:val="superscript"/>
        </w:rPr>
      </w:pPr>
    </w:p>
    <w:p>
      <w:pPr>
        <w:ind w:left="202" w:hanging="202"/>
        <w:spacing w:after="0" w:line="233" w:lineRule="auto"/>
        <w:tabs>
          <w:tab w:leader="none" w:pos="201"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Mr. Bell separated from service effective May 3, 2024. On the date of his separation, Mr. Bell’s equity awards were (i) previously vested and exercisable as scheduled, (ii) subject to accelerated vesting pursuant to the terms of the Executive Severance Plan and his related participation agreement, or (iii) forfeited, as set forth in the table below. Mr. Bell’s vested stock options remained exercisable for three months following his separation date.</w:t>
      </w:r>
    </w:p>
    <w:p>
      <w:pPr>
        <w:spacing w:after="0" w:line="270" w:lineRule="exact"/>
        <w:rPr>
          <w:sz w:val="20"/>
          <w:szCs w:val="20"/>
          <w:color w:val="auto"/>
        </w:rPr>
      </w:pPr>
    </w:p>
    <w:tbl>
      <w:tblPr>
        <w:tblLayout w:type="fixed"/>
        <w:tblInd w:w="182" w:type="dxa"/>
        <w:tblCellMar>
          <w:top w:w="0" w:type="dxa"/>
          <w:left w:w="0" w:type="dxa"/>
          <w:bottom w:w="0" w:type="dxa"/>
          <w:right w:w="0" w:type="dxa"/>
        </w:tblCellMar>
      </w:tblPr>
      <w:tr>
        <w:trPr>
          <w:trHeight w:val="303"/>
        </w:trPr>
        <w:tc>
          <w:tcPr>
            <w:tcW w:w="27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Award</w:t>
            </w:r>
          </w:p>
        </w:tc>
        <w:tc>
          <w:tcPr>
            <w:tcW w:w="1500" w:type="dxa"/>
            <w:vAlign w:val="bottom"/>
            <w:shd w:val="clear" w:color="auto" w:fill="000000"/>
          </w:tcPr>
          <w:p>
            <w:pPr>
              <w:ind w:left="640"/>
              <w:spacing w:after="0"/>
              <w:rPr>
                <w:sz w:val="20"/>
                <w:szCs w:val="20"/>
                <w:color w:val="auto"/>
              </w:rPr>
            </w:pPr>
            <w:r>
              <w:rPr>
                <w:rFonts w:ascii="Arial" w:cs="Arial" w:eastAsia="Arial" w:hAnsi="Arial"/>
                <w:sz w:val="14"/>
                <w:szCs w:val="14"/>
                <w:color w:val="FFFFFF"/>
              </w:rPr>
              <w:t>Grant Date</w:t>
            </w:r>
          </w:p>
        </w:tc>
        <w:tc>
          <w:tcPr>
            <w:tcW w:w="118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Total # Shares</w:t>
            </w:r>
          </w:p>
        </w:tc>
        <w:tc>
          <w:tcPr>
            <w:tcW w:w="10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Previously</w:t>
            </w:r>
          </w:p>
        </w:tc>
        <w:tc>
          <w:tcPr>
            <w:tcW w:w="18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Accelerated Vesting (#)</w:t>
            </w:r>
          </w:p>
        </w:tc>
        <w:tc>
          <w:tcPr>
            <w:tcW w:w="19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Unvested/Forfeited (#)</w:t>
            </w:r>
          </w:p>
        </w:tc>
      </w:tr>
      <w:tr>
        <w:trPr>
          <w:trHeight w:val="172"/>
        </w:trPr>
        <w:tc>
          <w:tcPr>
            <w:tcW w:w="2700" w:type="dxa"/>
            <w:vAlign w:val="bottom"/>
            <w:shd w:val="clear" w:color="auto" w:fill="000000"/>
          </w:tcPr>
          <w:p>
            <w:pPr>
              <w:spacing w:after="0"/>
              <w:rPr>
                <w:sz w:val="14"/>
                <w:szCs w:val="14"/>
                <w:color w:val="auto"/>
              </w:rPr>
            </w:pPr>
          </w:p>
        </w:tc>
        <w:tc>
          <w:tcPr>
            <w:tcW w:w="150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10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Vested (#)</w:t>
            </w:r>
          </w:p>
        </w:tc>
        <w:tc>
          <w:tcPr>
            <w:tcW w:w="1840" w:type="dxa"/>
            <w:vAlign w:val="bottom"/>
            <w:shd w:val="clear" w:color="auto" w:fill="000000"/>
          </w:tcPr>
          <w:p>
            <w:pPr>
              <w:spacing w:after="0"/>
              <w:rPr>
                <w:sz w:val="14"/>
                <w:szCs w:val="14"/>
                <w:color w:val="auto"/>
              </w:rPr>
            </w:pPr>
          </w:p>
        </w:tc>
        <w:tc>
          <w:tcPr>
            <w:tcW w:w="1940" w:type="dxa"/>
            <w:vAlign w:val="bottom"/>
            <w:shd w:val="clear" w:color="auto" w:fill="000000"/>
          </w:tcPr>
          <w:p>
            <w:pPr>
              <w:spacing w:after="0"/>
              <w:rPr>
                <w:sz w:val="14"/>
                <w:szCs w:val="14"/>
                <w:color w:val="auto"/>
              </w:rPr>
            </w:pPr>
          </w:p>
        </w:tc>
      </w:tr>
      <w:tr>
        <w:trPr>
          <w:trHeight w:val="149"/>
        </w:trPr>
        <w:tc>
          <w:tcPr>
            <w:tcW w:w="2700" w:type="dxa"/>
            <w:vAlign w:val="bottom"/>
            <w:shd w:val="clear" w:color="auto" w:fill="000000"/>
          </w:tcPr>
          <w:p>
            <w:pPr>
              <w:spacing w:after="0"/>
              <w:rPr>
                <w:sz w:val="12"/>
                <w:szCs w:val="12"/>
                <w:color w:val="auto"/>
              </w:rPr>
            </w:pPr>
          </w:p>
        </w:tc>
        <w:tc>
          <w:tcPr>
            <w:tcW w:w="1500" w:type="dxa"/>
            <w:vAlign w:val="bottom"/>
            <w:shd w:val="clear" w:color="auto" w:fill="000000"/>
          </w:tcPr>
          <w:p>
            <w:pPr>
              <w:spacing w:after="0"/>
              <w:rPr>
                <w:sz w:val="12"/>
                <w:szCs w:val="12"/>
                <w:color w:val="auto"/>
              </w:rPr>
            </w:pPr>
          </w:p>
        </w:tc>
        <w:tc>
          <w:tcPr>
            <w:tcW w:w="118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1840" w:type="dxa"/>
            <w:vAlign w:val="bottom"/>
            <w:shd w:val="clear" w:color="auto" w:fill="000000"/>
          </w:tcPr>
          <w:p>
            <w:pPr>
              <w:spacing w:after="0"/>
              <w:rPr>
                <w:sz w:val="12"/>
                <w:szCs w:val="12"/>
                <w:color w:val="auto"/>
              </w:rPr>
            </w:pPr>
          </w:p>
        </w:tc>
        <w:tc>
          <w:tcPr>
            <w:tcW w:w="1940" w:type="dxa"/>
            <w:vAlign w:val="bottom"/>
            <w:shd w:val="clear" w:color="auto" w:fill="000000"/>
          </w:tcPr>
          <w:p>
            <w:pPr>
              <w:spacing w:after="0"/>
              <w:rPr>
                <w:sz w:val="12"/>
                <w:szCs w:val="12"/>
                <w:color w:val="auto"/>
              </w:rPr>
            </w:pPr>
          </w:p>
        </w:tc>
      </w:tr>
      <w:tr>
        <w:trPr>
          <w:trHeight w:val="390"/>
        </w:trPr>
        <w:tc>
          <w:tcPr>
            <w:tcW w:w="2700" w:type="dxa"/>
            <w:vAlign w:val="bottom"/>
          </w:tcPr>
          <w:p>
            <w:pPr>
              <w:ind w:left="180"/>
              <w:spacing w:after="0"/>
              <w:rPr>
                <w:sz w:val="20"/>
                <w:szCs w:val="20"/>
                <w:color w:val="auto"/>
              </w:rPr>
            </w:pPr>
            <w:r>
              <w:rPr>
                <w:rFonts w:ascii="Arial" w:cs="Arial" w:eastAsia="Arial" w:hAnsi="Arial"/>
                <w:sz w:val="16"/>
                <w:szCs w:val="16"/>
                <w:color w:val="auto"/>
              </w:rPr>
              <w:t>RSU</w:t>
            </w:r>
          </w:p>
        </w:tc>
        <w:tc>
          <w:tcPr>
            <w:tcW w:w="1500" w:type="dxa"/>
            <w:vAlign w:val="bottom"/>
          </w:tcPr>
          <w:p>
            <w:pPr>
              <w:ind w:left="640"/>
              <w:spacing w:after="0"/>
              <w:rPr>
                <w:sz w:val="20"/>
                <w:szCs w:val="20"/>
                <w:color w:val="auto"/>
              </w:rPr>
            </w:pPr>
            <w:r>
              <w:rPr>
                <w:rFonts w:ascii="Arial" w:cs="Arial" w:eastAsia="Arial" w:hAnsi="Arial"/>
                <w:sz w:val="16"/>
                <w:szCs w:val="16"/>
                <w:color w:val="auto"/>
              </w:rPr>
              <w:t>03/31/21</w:t>
            </w:r>
          </w:p>
        </w:tc>
        <w:tc>
          <w:tcPr>
            <w:tcW w:w="1180" w:type="dxa"/>
            <w:vAlign w:val="bottom"/>
          </w:tcPr>
          <w:p>
            <w:pPr>
              <w:ind w:left="100"/>
              <w:spacing w:after="0"/>
              <w:rPr>
                <w:sz w:val="20"/>
                <w:szCs w:val="20"/>
                <w:color w:val="auto"/>
              </w:rPr>
            </w:pPr>
            <w:r>
              <w:rPr>
                <w:rFonts w:ascii="Arial" w:cs="Arial" w:eastAsia="Arial" w:hAnsi="Arial"/>
                <w:sz w:val="16"/>
                <w:szCs w:val="16"/>
                <w:color w:val="auto"/>
              </w:rPr>
              <w:t>1,322,000</w:t>
            </w:r>
          </w:p>
        </w:tc>
        <w:tc>
          <w:tcPr>
            <w:tcW w:w="1080" w:type="dxa"/>
            <w:vAlign w:val="bottom"/>
          </w:tcPr>
          <w:p>
            <w:pPr>
              <w:ind w:left="120"/>
              <w:spacing w:after="0"/>
              <w:rPr>
                <w:sz w:val="20"/>
                <w:szCs w:val="20"/>
                <w:color w:val="auto"/>
              </w:rPr>
            </w:pPr>
            <w:r>
              <w:rPr>
                <w:rFonts w:ascii="Arial" w:cs="Arial" w:eastAsia="Arial" w:hAnsi="Arial"/>
                <w:sz w:val="16"/>
                <w:szCs w:val="16"/>
                <w:color w:val="auto"/>
              </w:rPr>
              <w:t>1,156,750</w:t>
            </w:r>
          </w:p>
        </w:tc>
        <w:tc>
          <w:tcPr>
            <w:tcW w:w="1840" w:type="dxa"/>
            <w:vAlign w:val="bottom"/>
          </w:tcPr>
          <w:p>
            <w:pPr>
              <w:ind w:left="120"/>
              <w:spacing w:after="0"/>
              <w:rPr>
                <w:sz w:val="20"/>
                <w:szCs w:val="20"/>
                <w:color w:val="auto"/>
              </w:rPr>
            </w:pPr>
            <w:r>
              <w:rPr>
                <w:rFonts w:ascii="Arial" w:cs="Arial" w:eastAsia="Arial" w:hAnsi="Arial"/>
                <w:sz w:val="16"/>
                <w:szCs w:val="16"/>
                <w:color w:val="auto"/>
              </w:rPr>
              <w:t>66,100</w:t>
            </w:r>
            <w:r>
              <w:rPr>
                <w:rFonts w:ascii="Arial" w:cs="Arial" w:eastAsia="Arial" w:hAnsi="Arial"/>
                <w:sz w:val="19"/>
                <w:szCs w:val="19"/>
                <w:color w:val="auto"/>
                <w:vertAlign w:val="superscript"/>
              </w:rPr>
              <w:t>(a)</w:t>
            </w:r>
          </w:p>
        </w:tc>
        <w:tc>
          <w:tcPr>
            <w:tcW w:w="1940" w:type="dxa"/>
            <w:vAlign w:val="bottom"/>
          </w:tcPr>
          <w:p>
            <w:pPr>
              <w:ind w:left="120"/>
              <w:spacing w:after="0"/>
              <w:rPr>
                <w:sz w:val="20"/>
                <w:szCs w:val="20"/>
                <w:color w:val="auto"/>
              </w:rPr>
            </w:pPr>
            <w:r>
              <w:rPr>
                <w:rFonts w:ascii="Arial" w:cs="Arial" w:eastAsia="Arial" w:hAnsi="Arial"/>
                <w:sz w:val="16"/>
                <w:szCs w:val="16"/>
                <w:color w:val="auto"/>
              </w:rPr>
              <w:t>99,150</w:t>
            </w:r>
            <w:r>
              <w:rPr>
                <w:rFonts w:ascii="Arial" w:cs="Arial" w:eastAsia="Arial" w:hAnsi="Arial"/>
                <w:sz w:val="19"/>
                <w:szCs w:val="19"/>
                <w:color w:val="auto"/>
                <w:vertAlign w:val="superscript"/>
              </w:rPr>
              <w:t>(a)</w:t>
            </w:r>
          </w:p>
        </w:tc>
      </w:tr>
      <w:tr>
        <w:trPr>
          <w:trHeight w:val="71"/>
        </w:trPr>
        <w:tc>
          <w:tcPr>
            <w:tcW w:w="2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368"/>
        </w:trPr>
        <w:tc>
          <w:tcPr>
            <w:tcW w:w="2700" w:type="dxa"/>
            <w:vAlign w:val="bottom"/>
          </w:tcPr>
          <w:p>
            <w:pPr>
              <w:ind w:left="180"/>
              <w:spacing w:after="0"/>
              <w:rPr>
                <w:sz w:val="20"/>
                <w:szCs w:val="20"/>
                <w:color w:val="auto"/>
              </w:rPr>
            </w:pPr>
            <w:r>
              <w:rPr>
                <w:rFonts w:ascii="Arial" w:cs="Arial" w:eastAsia="Arial" w:hAnsi="Arial"/>
                <w:sz w:val="16"/>
                <w:szCs w:val="16"/>
                <w:color w:val="auto"/>
              </w:rPr>
              <w:t>RSU</w:t>
            </w:r>
          </w:p>
        </w:tc>
        <w:tc>
          <w:tcPr>
            <w:tcW w:w="1500" w:type="dxa"/>
            <w:vAlign w:val="bottom"/>
          </w:tcPr>
          <w:p>
            <w:pPr>
              <w:ind w:left="640"/>
              <w:spacing w:after="0"/>
              <w:rPr>
                <w:sz w:val="20"/>
                <w:szCs w:val="20"/>
                <w:color w:val="auto"/>
              </w:rPr>
            </w:pPr>
            <w:r>
              <w:rPr>
                <w:rFonts w:ascii="Arial" w:cs="Arial" w:eastAsia="Arial" w:hAnsi="Arial"/>
                <w:sz w:val="16"/>
                <w:szCs w:val="16"/>
                <w:color w:val="auto"/>
              </w:rPr>
              <w:t>06/06/22</w:t>
            </w:r>
          </w:p>
        </w:tc>
        <w:tc>
          <w:tcPr>
            <w:tcW w:w="1180" w:type="dxa"/>
            <w:vAlign w:val="bottom"/>
          </w:tcPr>
          <w:p>
            <w:pPr>
              <w:ind w:left="100"/>
              <w:spacing w:after="0"/>
              <w:rPr>
                <w:sz w:val="20"/>
                <w:szCs w:val="20"/>
                <w:color w:val="auto"/>
              </w:rPr>
            </w:pPr>
            <w:r>
              <w:rPr>
                <w:rFonts w:ascii="Arial" w:cs="Arial" w:eastAsia="Arial" w:hAnsi="Arial"/>
                <w:sz w:val="16"/>
                <w:szCs w:val="16"/>
                <w:color w:val="auto"/>
              </w:rPr>
              <w:t>274,122</w:t>
            </w:r>
          </w:p>
        </w:tc>
        <w:tc>
          <w:tcPr>
            <w:tcW w:w="1080" w:type="dxa"/>
            <w:vAlign w:val="bottom"/>
          </w:tcPr>
          <w:p>
            <w:pPr>
              <w:ind w:left="120"/>
              <w:spacing w:after="0"/>
              <w:rPr>
                <w:sz w:val="20"/>
                <w:szCs w:val="20"/>
                <w:color w:val="auto"/>
              </w:rPr>
            </w:pPr>
            <w:r>
              <w:rPr>
                <w:rFonts w:ascii="Arial" w:cs="Arial" w:eastAsia="Arial" w:hAnsi="Arial"/>
                <w:sz w:val="16"/>
                <w:szCs w:val="16"/>
                <w:color w:val="auto"/>
              </w:rPr>
              <w:t>137,061</w:t>
            </w:r>
            <w:r>
              <w:rPr>
                <w:rFonts w:ascii="Arial" w:cs="Arial" w:eastAsia="Arial" w:hAnsi="Arial"/>
                <w:sz w:val="19"/>
                <w:szCs w:val="19"/>
                <w:color w:val="auto"/>
                <w:vertAlign w:val="superscript"/>
              </w:rPr>
              <w:t>(4)</w:t>
            </w:r>
          </w:p>
        </w:tc>
        <w:tc>
          <w:tcPr>
            <w:tcW w:w="1840" w:type="dxa"/>
            <w:vAlign w:val="bottom"/>
          </w:tcPr>
          <w:p>
            <w:pPr>
              <w:ind w:left="120"/>
              <w:spacing w:after="0"/>
              <w:rPr>
                <w:sz w:val="20"/>
                <w:szCs w:val="20"/>
                <w:color w:val="auto"/>
              </w:rPr>
            </w:pPr>
            <w:r>
              <w:rPr>
                <w:rFonts w:ascii="Arial" w:cs="Arial" w:eastAsia="Arial" w:hAnsi="Arial"/>
                <w:sz w:val="16"/>
                <w:szCs w:val="16"/>
                <w:color w:val="auto"/>
              </w:rPr>
              <w:t>—</w:t>
            </w:r>
          </w:p>
        </w:tc>
        <w:tc>
          <w:tcPr>
            <w:tcW w:w="1940" w:type="dxa"/>
            <w:vAlign w:val="bottom"/>
          </w:tcPr>
          <w:p>
            <w:pPr>
              <w:ind w:left="120"/>
              <w:spacing w:after="0"/>
              <w:rPr>
                <w:sz w:val="20"/>
                <w:szCs w:val="20"/>
                <w:color w:val="auto"/>
              </w:rPr>
            </w:pPr>
            <w:r>
              <w:rPr>
                <w:rFonts w:ascii="Arial" w:cs="Arial" w:eastAsia="Arial" w:hAnsi="Arial"/>
                <w:sz w:val="16"/>
                <w:szCs w:val="16"/>
                <w:color w:val="auto"/>
              </w:rPr>
              <w:t>137,061</w:t>
            </w:r>
          </w:p>
        </w:tc>
      </w:tr>
      <w:tr>
        <w:trPr>
          <w:trHeight w:val="71"/>
        </w:trPr>
        <w:tc>
          <w:tcPr>
            <w:tcW w:w="2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368"/>
        </w:trPr>
        <w:tc>
          <w:tcPr>
            <w:tcW w:w="2700" w:type="dxa"/>
            <w:vAlign w:val="bottom"/>
          </w:tcPr>
          <w:p>
            <w:pPr>
              <w:ind w:left="180"/>
              <w:spacing w:after="0"/>
              <w:rPr>
                <w:sz w:val="20"/>
                <w:szCs w:val="20"/>
                <w:color w:val="auto"/>
              </w:rPr>
            </w:pPr>
            <w:r>
              <w:rPr>
                <w:rFonts w:ascii="Arial" w:cs="Arial" w:eastAsia="Arial" w:hAnsi="Arial"/>
                <w:sz w:val="16"/>
                <w:szCs w:val="16"/>
                <w:color w:val="auto"/>
              </w:rPr>
              <w:t>RSU</w:t>
            </w:r>
          </w:p>
        </w:tc>
        <w:tc>
          <w:tcPr>
            <w:tcW w:w="1500" w:type="dxa"/>
            <w:vAlign w:val="bottom"/>
          </w:tcPr>
          <w:p>
            <w:pPr>
              <w:ind w:left="640"/>
              <w:spacing w:after="0"/>
              <w:rPr>
                <w:sz w:val="20"/>
                <w:szCs w:val="20"/>
                <w:color w:val="auto"/>
              </w:rPr>
            </w:pPr>
            <w:r>
              <w:rPr>
                <w:rFonts w:ascii="Arial" w:cs="Arial" w:eastAsia="Arial" w:hAnsi="Arial"/>
                <w:sz w:val="16"/>
                <w:szCs w:val="16"/>
                <w:color w:val="auto"/>
              </w:rPr>
              <w:t>09/10/23</w:t>
            </w:r>
          </w:p>
        </w:tc>
        <w:tc>
          <w:tcPr>
            <w:tcW w:w="1180" w:type="dxa"/>
            <w:vAlign w:val="bottom"/>
          </w:tcPr>
          <w:p>
            <w:pPr>
              <w:ind w:left="100"/>
              <w:spacing w:after="0"/>
              <w:rPr>
                <w:sz w:val="20"/>
                <w:szCs w:val="20"/>
                <w:color w:val="auto"/>
              </w:rPr>
            </w:pPr>
            <w:r>
              <w:rPr>
                <w:rFonts w:ascii="Arial" w:cs="Arial" w:eastAsia="Arial" w:hAnsi="Arial"/>
                <w:sz w:val="16"/>
                <w:szCs w:val="16"/>
                <w:color w:val="auto"/>
              </w:rPr>
              <w:t>408,663</w:t>
            </w:r>
          </w:p>
        </w:tc>
        <w:tc>
          <w:tcPr>
            <w:tcW w:w="1080" w:type="dxa"/>
            <w:vAlign w:val="bottom"/>
          </w:tcPr>
          <w:p>
            <w:pPr>
              <w:ind w:left="120"/>
              <w:spacing w:after="0"/>
              <w:rPr>
                <w:sz w:val="20"/>
                <w:szCs w:val="20"/>
                <w:color w:val="auto"/>
              </w:rPr>
            </w:pPr>
            <w:r>
              <w:rPr>
                <w:rFonts w:ascii="Arial" w:cs="Arial" w:eastAsia="Arial" w:hAnsi="Arial"/>
                <w:sz w:val="16"/>
                <w:szCs w:val="16"/>
                <w:color w:val="auto"/>
              </w:rPr>
              <w:t>102,165</w:t>
            </w:r>
            <w:r>
              <w:rPr>
                <w:rFonts w:ascii="Arial" w:cs="Arial" w:eastAsia="Arial" w:hAnsi="Arial"/>
                <w:sz w:val="19"/>
                <w:szCs w:val="19"/>
                <w:color w:val="auto"/>
                <w:vertAlign w:val="superscript"/>
              </w:rPr>
              <w:t>(5)</w:t>
            </w:r>
          </w:p>
        </w:tc>
        <w:tc>
          <w:tcPr>
            <w:tcW w:w="1840" w:type="dxa"/>
            <w:vAlign w:val="bottom"/>
          </w:tcPr>
          <w:p>
            <w:pPr>
              <w:ind w:left="120"/>
              <w:spacing w:after="0"/>
              <w:rPr>
                <w:sz w:val="20"/>
                <w:szCs w:val="20"/>
                <w:color w:val="auto"/>
              </w:rPr>
            </w:pPr>
            <w:r>
              <w:rPr>
                <w:rFonts w:ascii="Arial" w:cs="Arial" w:eastAsia="Arial" w:hAnsi="Arial"/>
                <w:sz w:val="16"/>
                <w:szCs w:val="16"/>
                <w:color w:val="auto"/>
              </w:rPr>
              <w:t>—</w:t>
            </w:r>
          </w:p>
        </w:tc>
        <w:tc>
          <w:tcPr>
            <w:tcW w:w="1940" w:type="dxa"/>
            <w:vAlign w:val="bottom"/>
          </w:tcPr>
          <w:p>
            <w:pPr>
              <w:ind w:left="120"/>
              <w:spacing w:after="0"/>
              <w:rPr>
                <w:sz w:val="20"/>
                <w:szCs w:val="20"/>
                <w:color w:val="auto"/>
              </w:rPr>
            </w:pPr>
            <w:r>
              <w:rPr>
                <w:rFonts w:ascii="Arial" w:cs="Arial" w:eastAsia="Arial" w:hAnsi="Arial"/>
                <w:sz w:val="16"/>
                <w:szCs w:val="16"/>
                <w:color w:val="auto"/>
              </w:rPr>
              <w:t>306,498</w:t>
            </w:r>
          </w:p>
        </w:tc>
      </w:tr>
      <w:tr>
        <w:trPr>
          <w:trHeight w:val="71"/>
        </w:trPr>
        <w:tc>
          <w:tcPr>
            <w:tcW w:w="2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368"/>
        </w:trPr>
        <w:tc>
          <w:tcPr>
            <w:tcW w:w="2700" w:type="dxa"/>
            <w:vAlign w:val="bottom"/>
          </w:tcPr>
          <w:p>
            <w:pPr>
              <w:ind w:left="180"/>
              <w:spacing w:after="0"/>
              <w:rPr>
                <w:sz w:val="20"/>
                <w:szCs w:val="20"/>
                <w:color w:val="auto"/>
              </w:rPr>
            </w:pPr>
            <w:r>
              <w:rPr>
                <w:rFonts w:ascii="Arial" w:cs="Arial" w:eastAsia="Arial" w:hAnsi="Arial"/>
                <w:sz w:val="16"/>
                <w:szCs w:val="16"/>
                <w:color w:val="auto"/>
              </w:rPr>
              <w:t>PSU</w:t>
            </w:r>
          </w:p>
        </w:tc>
        <w:tc>
          <w:tcPr>
            <w:tcW w:w="1500" w:type="dxa"/>
            <w:vAlign w:val="bottom"/>
          </w:tcPr>
          <w:p>
            <w:pPr>
              <w:ind w:left="640"/>
              <w:spacing w:after="0"/>
              <w:rPr>
                <w:sz w:val="20"/>
                <w:szCs w:val="20"/>
                <w:color w:val="auto"/>
              </w:rPr>
            </w:pPr>
            <w:r>
              <w:rPr>
                <w:rFonts w:ascii="Arial" w:cs="Arial" w:eastAsia="Arial" w:hAnsi="Arial"/>
                <w:sz w:val="16"/>
                <w:szCs w:val="16"/>
                <w:color w:val="auto"/>
              </w:rPr>
              <w:t>09/10/23</w:t>
            </w:r>
          </w:p>
        </w:tc>
        <w:tc>
          <w:tcPr>
            <w:tcW w:w="1180" w:type="dxa"/>
            <w:vAlign w:val="bottom"/>
          </w:tcPr>
          <w:p>
            <w:pPr>
              <w:ind w:left="100"/>
              <w:spacing w:after="0"/>
              <w:rPr>
                <w:sz w:val="20"/>
                <w:szCs w:val="20"/>
                <w:color w:val="auto"/>
              </w:rPr>
            </w:pPr>
            <w:r>
              <w:rPr>
                <w:rFonts w:ascii="Arial" w:cs="Arial" w:eastAsia="Arial" w:hAnsi="Arial"/>
                <w:sz w:val="16"/>
                <w:szCs w:val="16"/>
                <w:color w:val="auto"/>
              </w:rPr>
              <w:t>817,327</w:t>
            </w:r>
          </w:p>
        </w:tc>
        <w:tc>
          <w:tcPr>
            <w:tcW w:w="1080" w:type="dxa"/>
            <w:vAlign w:val="bottom"/>
          </w:tcPr>
          <w:p>
            <w:pPr>
              <w:ind w:left="120"/>
              <w:spacing w:after="0"/>
              <w:rPr>
                <w:sz w:val="20"/>
                <w:szCs w:val="20"/>
                <w:color w:val="auto"/>
              </w:rPr>
            </w:pPr>
            <w:r>
              <w:rPr>
                <w:rFonts w:ascii="Arial" w:cs="Arial" w:eastAsia="Arial" w:hAnsi="Arial"/>
                <w:sz w:val="16"/>
                <w:szCs w:val="16"/>
                <w:color w:val="auto"/>
              </w:rPr>
              <w:t>45,784</w:t>
            </w:r>
            <w:r>
              <w:rPr>
                <w:rFonts w:ascii="Arial" w:cs="Arial" w:eastAsia="Arial" w:hAnsi="Arial"/>
                <w:sz w:val="19"/>
                <w:szCs w:val="19"/>
                <w:color w:val="auto"/>
                <w:vertAlign w:val="superscript"/>
              </w:rPr>
              <w:t>(c)</w:t>
            </w:r>
          </w:p>
        </w:tc>
        <w:tc>
          <w:tcPr>
            <w:tcW w:w="1840" w:type="dxa"/>
            <w:vAlign w:val="bottom"/>
          </w:tcPr>
          <w:p>
            <w:pPr>
              <w:ind w:left="120"/>
              <w:spacing w:after="0"/>
              <w:rPr>
                <w:sz w:val="20"/>
                <w:szCs w:val="20"/>
                <w:color w:val="auto"/>
              </w:rPr>
            </w:pPr>
            <w:r>
              <w:rPr>
                <w:rFonts w:ascii="Arial" w:cs="Arial" w:eastAsia="Arial" w:hAnsi="Arial"/>
                <w:sz w:val="16"/>
                <w:szCs w:val="16"/>
                <w:color w:val="auto"/>
              </w:rPr>
              <w:t>—</w:t>
            </w:r>
          </w:p>
        </w:tc>
        <w:tc>
          <w:tcPr>
            <w:tcW w:w="1940" w:type="dxa"/>
            <w:vAlign w:val="bottom"/>
          </w:tcPr>
          <w:p>
            <w:pPr>
              <w:ind w:left="120"/>
              <w:spacing w:after="0"/>
              <w:rPr>
                <w:sz w:val="20"/>
                <w:szCs w:val="20"/>
                <w:color w:val="auto"/>
              </w:rPr>
            </w:pPr>
            <w:r>
              <w:rPr>
                <w:rFonts w:ascii="Arial" w:cs="Arial" w:eastAsia="Arial" w:hAnsi="Arial"/>
                <w:sz w:val="16"/>
                <w:szCs w:val="16"/>
                <w:color w:val="auto"/>
              </w:rPr>
              <w:t>771,543</w:t>
            </w:r>
          </w:p>
        </w:tc>
      </w:tr>
      <w:tr>
        <w:trPr>
          <w:trHeight w:val="71"/>
        </w:trPr>
        <w:tc>
          <w:tcPr>
            <w:tcW w:w="2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368"/>
        </w:trPr>
        <w:tc>
          <w:tcPr>
            <w:tcW w:w="2700" w:type="dxa"/>
            <w:vAlign w:val="bottom"/>
          </w:tcPr>
          <w:p>
            <w:pPr>
              <w:ind w:left="180"/>
              <w:spacing w:after="0"/>
              <w:rPr>
                <w:sz w:val="20"/>
                <w:szCs w:val="20"/>
                <w:color w:val="auto"/>
              </w:rPr>
            </w:pPr>
            <w:r>
              <w:rPr>
                <w:rFonts w:ascii="Arial" w:cs="Arial" w:eastAsia="Arial" w:hAnsi="Arial"/>
                <w:sz w:val="16"/>
                <w:szCs w:val="16"/>
                <w:color w:val="auto"/>
              </w:rPr>
              <w:t>Premium-Priced Options</w:t>
            </w:r>
          </w:p>
        </w:tc>
        <w:tc>
          <w:tcPr>
            <w:tcW w:w="1500" w:type="dxa"/>
            <w:vAlign w:val="bottom"/>
          </w:tcPr>
          <w:p>
            <w:pPr>
              <w:ind w:left="640"/>
              <w:spacing w:after="0"/>
              <w:rPr>
                <w:sz w:val="20"/>
                <w:szCs w:val="20"/>
                <w:color w:val="auto"/>
              </w:rPr>
            </w:pPr>
            <w:r>
              <w:rPr>
                <w:rFonts w:ascii="Arial" w:cs="Arial" w:eastAsia="Arial" w:hAnsi="Arial"/>
                <w:sz w:val="16"/>
                <w:szCs w:val="16"/>
                <w:color w:val="auto"/>
              </w:rPr>
              <w:t>09/10/23</w:t>
            </w:r>
          </w:p>
        </w:tc>
        <w:tc>
          <w:tcPr>
            <w:tcW w:w="1180" w:type="dxa"/>
            <w:vAlign w:val="bottom"/>
          </w:tcPr>
          <w:p>
            <w:pPr>
              <w:ind w:left="100"/>
              <w:spacing w:after="0"/>
              <w:rPr>
                <w:sz w:val="20"/>
                <w:szCs w:val="20"/>
                <w:color w:val="auto"/>
              </w:rPr>
            </w:pPr>
            <w:r>
              <w:rPr>
                <w:rFonts w:ascii="Arial" w:cs="Arial" w:eastAsia="Arial" w:hAnsi="Arial"/>
                <w:sz w:val="16"/>
                <w:szCs w:val="16"/>
                <w:color w:val="auto"/>
              </w:rPr>
              <w:t>408,663</w:t>
            </w:r>
          </w:p>
        </w:tc>
        <w:tc>
          <w:tcPr>
            <w:tcW w:w="1080" w:type="dxa"/>
            <w:vAlign w:val="bottom"/>
          </w:tcPr>
          <w:p>
            <w:pPr>
              <w:ind w:left="120"/>
              <w:spacing w:after="0"/>
              <w:rPr>
                <w:sz w:val="20"/>
                <w:szCs w:val="20"/>
                <w:color w:val="auto"/>
              </w:rPr>
            </w:pPr>
            <w:r>
              <w:rPr>
                <w:rFonts w:ascii="Arial" w:cs="Arial" w:eastAsia="Arial" w:hAnsi="Arial"/>
                <w:sz w:val="16"/>
                <w:szCs w:val="16"/>
                <w:color w:val="auto"/>
              </w:rPr>
              <w:t>93,651</w:t>
            </w:r>
            <w:r>
              <w:rPr>
                <w:rFonts w:ascii="Arial" w:cs="Arial" w:eastAsia="Arial" w:hAnsi="Arial"/>
                <w:sz w:val="19"/>
                <w:szCs w:val="19"/>
                <w:color w:val="auto"/>
                <w:vertAlign w:val="superscript"/>
              </w:rPr>
              <w:t>(8)</w:t>
            </w:r>
          </w:p>
        </w:tc>
        <w:tc>
          <w:tcPr>
            <w:tcW w:w="1840" w:type="dxa"/>
            <w:vAlign w:val="bottom"/>
          </w:tcPr>
          <w:p>
            <w:pPr>
              <w:ind w:left="120"/>
              <w:spacing w:after="0"/>
              <w:rPr>
                <w:sz w:val="20"/>
                <w:szCs w:val="20"/>
                <w:color w:val="auto"/>
              </w:rPr>
            </w:pPr>
            <w:r>
              <w:rPr>
                <w:rFonts w:ascii="Arial" w:cs="Arial" w:eastAsia="Arial" w:hAnsi="Arial"/>
                <w:sz w:val="16"/>
                <w:szCs w:val="16"/>
                <w:color w:val="auto"/>
              </w:rPr>
              <w:t>—</w:t>
            </w:r>
          </w:p>
        </w:tc>
        <w:tc>
          <w:tcPr>
            <w:tcW w:w="1940" w:type="dxa"/>
            <w:vAlign w:val="bottom"/>
          </w:tcPr>
          <w:p>
            <w:pPr>
              <w:ind w:left="120"/>
              <w:spacing w:after="0"/>
              <w:rPr>
                <w:sz w:val="20"/>
                <w:szCs w:val="20"/>
                <w:color w:val="auto"/>
              </w:rPr>
            </w:pPr>
            <w:r>
              <w:rPr>
                <w:rFonts w:ascii="Arial" w:cs="Arial" w:eastAsia="Arial" w:hAnsi="Arial"/>
                <w:sz w:val="16"/>
                <w:szCs w:val="16"/>
                <w:color w:val="auto"/>
              </w:rPr>
              <w:t>408,663</w:t>
            </w:r>
            <w:r>
              <w:rPr>
                <w:rFonts w:ascii="Arial" w:cs="Arial" w:eastAsia="Arial" w:hAnsi="Arial"/>
                <w:sz w:val="19"/>
                <w:szCs w:val="19"/>
                <w:color w:val="auto"/>
                <w:vertAlign w:val="superscript"/>
              </w:rPr>
              <w:t>(b)</w:t>
            </w:r>
          </w:p>
        </w:tc>
      </w:tr>
      <w:tr>
        <w:trPr>
          <w:trHeight w:val="84"/>
        </w:trPr>
        <w:tc>
          <w:tcPr>
            <w:tcW w:w="27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bl>
    <w:p>
      <w:pPr>
        <w:spacing w:after="0" w:line="313" w:lineRule="exact"/>
        <w:rPr>
          <w:sz w:val="20"/>
          <w:szCs w:val="20"/>
          <w:color w:val="auto"/>
        </w:rPr>
      </w:pPr>
    </w:p>
    <w:p>
      <w:pPr>
        <w:ind w:left="322" w:right="60" w:hanging="142"/>
        <w:spacing w:after="0" w:line="212" w:lineRule="auto"/>
        <w:tabs>
          <w:tab w:leader="none" w:pos="322" w:val="left"/>
        </w:tabs>
        <w:numPr>
          <w:ilvl w:val="1"/>
          <w:numId w:val="49"/>
        </w:numPr>
        <w:rPr>
          <w:rFonts w:ascii="Arial" w:cs="Arial" w:eastAsia="Arial" w:hAnsi="Arial"/>
          <w:sz w:val="17"/>
          <w:szCs w:val="17"/>
          <w:color w:val="auto"/>
          <w:vertAlign w:val="superscript"/>
        </w:rPr>
      </w:pPr>
      <w:r>
        <w:rPr>
          <w:rFonts w:ascii="Arial" w:cs="Arial" w:eastAsia="Arial" w:hAnsi="Arial"/>
          <w:sz w:val="11"/>
          <w:szCs w:val="11"/>
          <w:color w:val="auto"/>
        </w:rPr>
        <w:t>Of the 165,250 unvested RSUs, 66,100 RSUs (or 40%, calculated as 25% plus 5% for each year of Mr. Bell’s three years of service) were accelerated pursuant to the terms of the Executive Severance Plan and his participation agreement thereunder. The remaining 99,150 RSUs were cancelled and forfeited upon his separation date on May 3, 2024.</w:t>
      </w:r>
    </w:p>
    <w:p>
      <w:pPr>
        <w:spacing w:after="0" w:line="55" w:lineRule="exact"/>
        <w:rPr>
          <w:rFonts w:ascii="Arial" w:cs="Arial" w:eastAsia="Arial" w:hAnsi="Arial"/>
          <w:sz w:val="17"/>
          <w:szCs w:val="17"/>
          <w:color w:val="auto"/>
          <w:vertAlign w:val="superscript"/>
        </w:rPr>
      </w:pPr>
    </w:p>
    <w:p>
      <w:pPr>
        <w:ind w:left="322" w:hanging="142"/>
        <w:spacing w:after="0"/>
        <w:tabs>
          <w:tab w:leader="none" w:pos="322" w:val="left"/>
        </w:tabs>
        <w:numPr>
          <w:ilvl w:val="1"/>
          <w:numId w:val="49"/>
        </w:numPr>
        <w:rPr>
          <w:rFonts w:ascii="Arial" w:cs="Arial" w:eastAsia="Arial" w:hAnsi="Arial"/>
          <w:sz w:val="17"/>
          <w:szCs w:val="17"/>
          <w:color w:val="auto"/>
          <w:vertAlign w:val="superscript"/>
        </w:rPr>
      </w:pPr>
      <w:r>
        <w:rPr>
          <w:rFonts w:ascii="Arial" w:cs="Arial" w:eastAsia="Arial" w:hAnsi="Arial"/>
          <w:sz w:val="11"/>
          <w:szCs w:val="11"/>
          <w:color w:val="auto"/>
        </w:rPr>
        <w:t>Includes Mr. Bell’s vested premium price options, which he did not exercise prior to their expiration.</w:t>
      </w:r>
    </w:p>
    <w:p>
      <w:pPr>
        <w:spacing w:after="0" w:line="103" w:lineRule="exact"/>
        <w:rPr>
          <w:rFonts w:ascii="Arial" w:cs="Arial" w:eastAsia="Arial" w:hAnsi="Arial"/>
          <w:sz w:val="17"/>
          <w:szCs w:val="17"/>
          <w:color w:val="auto"/>
          <w:vertAlign w:val="superscript"/>
        </w:rPr>
      </w:pPr>
    </w:p>
    <w:p>
      <w:pPr>
        <w:ind w:left="322" w:right="320" w:hanging="142"/>
        <w:spacing w:after="0"/>
        <w:tabs>
          <w:tab w:leader="none" w:pos="322" w:val="left"/>
        </w:tabs>
        <w:numPr>
          <w:ilvl w:val="1"/>
          <w:numId w:val="49"/>
        </w:numPr>
        <w:rPr>
          <w:rFonts w:ascii="Arial" w:cs="Arial" w:eastAsia="Arial" w:hAnsi="Arial"/>
          <w:sz w:val="18"/>
          <w:szCs w:val="18"/>
          <w:color w:val="auto"/>
          <w:vertAlign w:val="superscript"/>
        </w:rPr>
      </w:pPr>
      <w:r>
        <w:rPr>
          <w:rFonts w:ascii="Arial" w:cs="Arial" w:eastAsia="Arial" w:hAnsi="Arial"/>
          <w:sz w:val="12"/>
          <w:szCs w:val="12"/>
          <w:color w:val="auto"/>
        </w:rPr>
        <w:t>Includes the number of vested shares subject to Mr. Bell’s 2023 PSU award. The remaining 771,543 RSUs were cancelled and forfeited upon his separation date on May 3, 2024.</w:t>
      </w:r>
    </w:p>
    <w:p>
      <w:pPr>
        <w:spacing w:after="0" w:line="132" w:lineRule="exact"/>
        <w:rPr>
          <w:rFonts w:ascii="Arial" w:cs="Arial" w:eastAsia="Arial" w:hAnsi="Arial"/>
          <w:sz w:val="18"/>
          <w:szCs w:val="18"/>
          <w:color w:val="auto"/>
          <w:vertAlign w:val="superscript"/>
        </w:rPr>
      </w:pPr>
    </w:p>
    <w:p>
      <w:pPr>
        <w:ind w:left="202" w:hanging="202"/>
        <w:spacing w:after="0"/>
        <w:tabs>
          <w:tab w:leader="none" w:pos="202" w:val="left"/>
        </w:tabs>
        <w:numPr>
          <w:ilvl w:val="0"/>
          <w:numId w:val="50"/>
        </w:numPr>
        <w:rPr>
          <w:rFonts w:ascii="Arial" w:cs="Arial" w:eastAsia="Arial" w:hAnsi="Arial"/>
          <w:sz w:val="17"/>
          <w:szCs w:val="17"/>
          <w:color w:val="auto"/>
          <w:vertAlign w:val="superscript"/>
        </w:rPr>
      </w:pPr>
      <w:r>
        <w:rPr>
          <w:rFonts w:ascii="Arial" w:cs="Arial" w:eastAsia="Arial" w:hAnsi="Arial"/>
          <w:sz w:val="11"/>
          <w:szCs w:val="11"/>
          <w:color w:val="auto"/>
        </w:rPr>
        <w:t>Market value is calculated based on $3.02 per share, the closing price of our common stock on December 31, 2024.</w:t>
      </w:r>
    </w:p>
    <w:p>
      <w:pPr>
        <w:sectPr>
          <w:pgSz w:w="11880" w:h="15480" w:orient="portrait"/>
          <w:cols w:equalWidth="0" w:num="1">
            <w:col w:w="10422"/>
          </w:cols>
          <w:pgMar w:left="718" w:top="96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61" w:right="740" w:bottom="0" w:gutter="0" w:footer="0" w:header="0"/>
          <w:type w:val="continuous"/>
        </w:sectPr>
      </w:pPr>
    </w:p>
    <w:bookmarkStart w:id="72" w:name="page73"/>
    <w:bookmarkEnd w:id="72"/>
    <w:p>
      <w:pPr>
        <w:ind w:left="2"/>
        <w:spacing w:after="0"/>
        <w:rPr>
          <w:sz w:val="20"/>
          <w:szCs w:val="20"/>
          <w:color w:val="auto"/>
        </w:rPr>
      </w:pPr>
      <w:r>
        <w:rPr>
          <w:rFonts w:ascii="Times New Roman" w:cs="Times New Roman" w:eastAsia="Times New Roman" w:hAnsi="Times New Roman"/>
          <w:sz w:val="40"/>
          <w:szCs w:val="40"/>
          <w:color w:val="auto"/>
        </w:rPr>
        <w:t>Option Exercises and Stock Vested</w:t>
      </w:r>
    </w:p>
    <w:p>
      <w:pPr>
        <w:spacing w:after="0" w:line="200" w:lineRule="exact"/>
        <w:rPr>
          <w:sz w:val="20"/>
          <w:szCs w:val="20"/>
          <w:color w:val="auto"/>
        </w:rPr>
      </w:pPr>
    </w:p>
    <w:p>
      <w:pPr>
        <w:spacing w:after="0" w:line="300"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3040" w:type="dxa"/>
            <w:vAlign w:val="bottom"/>
            <w:shd w:val="clear" w:color="auto" w:fill="000000"/>
          </w:tcPr>
          <w:p>
            <w:pPr>
              <w:spacing w:after="0"/>
              <w:rPr>
                <w:sz w:val="24"/>
                <w:szCs w:val="24"/>
                <w:color w:val="auto"/>
              </w:rPr>
            </w:pPr>
          </w:p>
        </w:tc>
        <w:tc>
          <w:tcPr>
            <w:tcW w:w="3340" w:type="dxa"/>
            <w:vAlign w:val="bottom"/>
            <w:shd w:val="clear" w:color="auto" w:fill="000000"/>
          </w:tcPr>
          <w:p>
            <w:pPr>
              <w:ind w:left="1620"/>
              <w:spacing w:after="0"/>
              <w:rPr>
                <w:sz w:val="20"/>
                <w:szCs w:val="20"/>
                <w:color w:val="auto"/>
              </w:rPr>
            </w:pPr>
            <w:r>
              <w:rPr>
                <w:rFonts w:ascii="Arial" w:cs="Arial" w:eastAsia="Arial" w:hAnsi="Arial"/>
                <w:sz w:val="14"/>
                <w:szCs w:val="14"/>
                <w:color w:val="FFFFFF"/>
              </w:rPr>
              <w:t>Option Awards</w:t>
            </w:r>
          </w:p>
        </w:tc>
        <w:tc>
          <w:tcPr>
            <w:tcW w:w="1220" w:type="dxa"/>
            <w:vAlign w:val="bottom"/>
            <w:shd w:val="clear" w:color="auto" w:fill="000000"/>
          </w:tcPr>
          <w:p>
            <w:pPr>
              <w:spacing w:after="0"/>
              <w:rPr>
                <w:sz w:val="24"/>
                <w:szCs w:val="24"/>
                <w:color w:val="auto"/>
              </w:rPr>
            </w:pP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Stock Awards</w:t>
            </w:r>
          </w:p>
        </w:tc>
        <w:tc>
          <w:tcPr>
            <w:tcW w:w="1360" w:type="dxa"/>
            <w:vAlign w:val="bottom"/>
            <w:shd w:val="clear" w:color="auto" w:fill="000000"/>
          </w:tcPr>
          <w:p>
            <w:pPr>
              <w:spacing w:after="0"/>
              <w:rPr>
                <w:sz w:val="24"/>
                <w:szCs w:val="24"/>
                <w:color w:val="auto"/>
              </w:rPr>
            </w:pPr>
          </w:p>
        </w:tc>
      </w:tr>
      <w:tr>
        <w:trPr>
          <w:trHeight w:val="450"/>
        </w:trPr>
        <w:tc>
          <w:tcPr>
            <w:tcW w:w="30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3340" w:type="dxa"/>
            <w:vAlign w:val="bottom"/>
            <w:shd w:val="clear" w:color="auto" w:fill="000000"/>
          </w:tcPr>
          <w:p>
            <w:pPr>
              <w:ind w:left="1620"/>
              <w:spacing w:after="0"/>
              <w:rPr>
                <w:sz w:val="20"/>
                <w:szCs w:val="20"/>
                <w:color w:val="auto"/>
              </w:rPr>
            </w:pPr>
            <w:r>
              <w:rPr>
                <w:rFonts w:ascii="Arial" w:cs="Arial" w:eastAsia="Arial" w:hAnsi="Arial"/>
                <w:sz w:val="14"/>
                <w:szCs w:val="14"/>
                <w:color w:val="FFFFFF"/>
              </w:rPr>
              <w:t>Number of Shares</w:t>
            </w:r>
          </w:p>
        </w:tc>
        <w:tc>
          <w:tcPr>
            <w:tcW w:w="12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Value Realized</w:t>
            </w: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 Shares</w:t>
            </w:r>
          </w:p>
        </w:tc>
        <w:tc>
          <w:tcPr>
            <w:tcW w:w="13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Value Realized</w:t>
            </w:r>
          </w:p>
        </w:tc>
      </w:tr>
      <w:tr>
        <w:trPr>
          <w:trHeight w:val="160"/>
        </w:trPr>
        <w:tc>
          <w:tcPr>
            <w:tcW w:w="3040" w:type="dxa"/>
            <w:vAlign w:val="bottom"/>
            <w:shd w:val="clear" w:color="auto" w:fill="000000"/>
          </w:tcPr>
          <w:p>
            <w:pPr>
              <w:spacing w:after="0"/>
              <w:rPr>
                <w:sz w:val="13"/>
                <w:szCs w:val="13"/>
                <w:color w:val="auto"/>
              </w:rPr>
            </w:pPr>
          </w:p>
        </w:tc>
        <w:tc>
          <w:tcPr>
            <w:tcW w:w="3340" w:type="dxa"/>
            <w:vAlign w:val="bottom"/>
            <w:shd w:val="clear" w:color="auto" w:fill="000000"/>
          </w:tcPr>
          <w:p>
            <w:pPr>
              <w:ind w:left="1620"/>
              <w:spacing w:after="0" w:line="160" w:lineRule="exact"/>
              <w:rPr>
                <w:sz w:val="20"/>
                <w:szCs w:val="20"/>
                <w:color w:val="auto"/>
              </w:rPr>
            </w:pPr>
            <w:r>
              <w:rPr>
                <w:rFonts w:ascii="Arial" w:cs="Arial" w:eastAsia="Arial" w:hAnsi="Arial"/>
                <w:sz w:val="14"/>
                <w:szCs w:val="14"/>
                <w:color w:val="FFFFFF"/>
              </w:rPr>
              <w:t>Acquired on Exercise</w:t>
            </w:r>
            <w:r>
              <w:rPr>
                <w:rFonts w:ascii="Arial" w:cs="Arial" w:eastAsia="Arial" w:hAnsi="Arial"/>
                <w:sz w:val="17"/>
                <w:szCs w:val="17"/>
                <w:color w:val="FFFFFF"/>
                <w:vertAlign w:val="superscript"/>
              </w:rPr>
              <w:t>(1)</w:t>
            </w:r>
          </w:p>
        </w:tc>
        <w:tc>
          <w:tcPr>
            <w:tcW w:w="122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on Exercise</w:t>
            </w:r>
            <w:r>
              <w:rPr>
                <w:rFonts w:ascii="Arial" w:cs="Arial" w:eastAsia="Arial" w:hAnsi="Arial"/>
                <w:sz w:val="17"/>
                <w:szCs w:val="17"/>
                <w:color w:val="FFFFFF"/>
                <w:vertAlign w:val="superscript"/>
              </w:rPr>
              <w:t>(2)</w:t>
            </w:r>
          </w:p>
        </w:tc>
        <w:tc>
          <w:tcPr>
            <w:tcW w:w="1460" w:type="dxa"/>
            <w:vAlign w:val="bottom"/>
            <w:shd w:val="clear" w:color="auto" w:fill="000000"/>
          </w:tcPr>
          <w:p>
            <w:pPr>
              <w:ind w:left="120"/>
              <w:spacing w:after="0" w:line="159" w:lineRule="exact"/>
              <w:rPr>
                <w:sz w:val="20"/>
                <w:szCs w:val="20"/>
                <w:color w:val="auto"/>
              </w:rPr>
            </w:pPr>
            <w:r>
              <w:rPr>
                <w:rFonts w:ascii="Arial" w:cs="Arial" w:eastAsia="Arial" w:hAnsi="Arial"/>
                <w:sz w:val="14"/>
                <w:szCs w:val="14"/>
                <w:color w:val="FFFFFF"/>
              </w:rPr>
              <w:t>Acquired on</w:t>
            </w:r>
          </w:p>
        </w:tc>
        <w:tc>
          <w:tcPr>
            <w:tcW w:w="13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on Vesting</w:t>
            </w:r>
            <w:r>
              <w:rPr>
                <w:rFonts w:ascii="Arial" w:cs="Arial" w:eastAsia="Arial" w:hAnsi="Arial"/>
                <w:sz w:val="17"/>
                <w:szCs w:val="17"/>
                <w:color w:val="FFFFFF"/>
                <w:vertAlign w:val="superscript"/>
              </w:rPr>
              <w:t>(4)</w:t>
            </w:r>
          </w:p>
        </w:tc>
      </w:tr>
      <w:tr>
        <w:trPr>
          <w:trHeight w:val="166"/>
        </w:trPr>
        <w:tc>
          <w:tcPr>
            <w:tcW w:w="3040" w:type="dxa"/>
            <w:vAlign w:val="bottom"/>
            <w:shd w:val="clear" w:color="auto" w:fill="000000"/>
          </w:tcPr>
          <w:p>
            <w:pPr>
              <w:spacing w:after="0"/>
              <w:rPr>
                <w:sz w:val="14"/>
                <w:szCs w:val="14"/>
                <w:color w:val="auto"/>
              </w:rPr>
            </w:pPr>
          </w:p>
        </w:tc>
        <w:tc>
          <w:tcPr>
            <w:tcW w:w="3340" w:type="dxa"/>
            <w:vAlign w:val="bottom"/>
            <w:shd w:val="clear" w:color="auto" w:fill="000000"/>
          </w:tcPr>
          <w:p>
            <w:pPr>
              <w:ind w:left="1620"/>
              <w:spacing w:after="0"/>
              <w:rPr>
                <w:sz w:val="20"/>
                <w:szCs w:val="20"/>
                <w:color w:val="auto"/>
              </w:rPr>
            </w:pPr>
            <w:r>
              <w:rPr>
                <w:rFonts w:ascii="Arial" w:cs="Arial" w:eastAsia="Arial" w:hAnsi="Arial"/>
                <w:sz w:val="14"/>
                <w:szCs w:val="14"/>
                <w:color w:val="FFFFFF"/>
              </w:rPr>
              <w:t>(#)</w:t>
            </w:r>
          </w:p>
        </w:tc>
        <w:tc>
          <w:tcPr>
            <w:tcW w:w="122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c>
          <w:tcPr>
            <w:tcW w:w="1460" w:type="dxa"/>
            <w:vAlign w:val="bottom"/>
            <w:shd w:val="clear" w:color="auto" w:fill="000000"/>
          </w:tcPr>
          <w:p>
            <w:pPr>
              <w:ind w:left="120"/>
              <w:spacing w:after="0" w:line="166" w:lineRule="exact"/>
              <w:rPr>
                <w:sz w:val="20"/>
                <w:szCs w:val="20"/>
                <w:color w:val="auto"/>
              </w:rPr>
            </w:pPr>
            <w:r>
              <w:rPr>
                <w:rFonts w:ascii="Arial" w:cs="Arial" w:eastAsia="Arial" w:hAnsi="Arial"/>
                <w:sz w:val="14"/>
                <w:szCs w:val="14"/>
                <w:color w:val="FFFFFF"/>
              </w:rPr>
              <w:t>Vesting</w:t>
            </w:r>
            <w:r>
              <w:rPr>
                <w:rFonts w:ascii="Arial" w:cs="Arial" w:eastAsia="Arial" w:hAnsi="Arial"/>
                <w:sz w:val="17"/>
                <w:szCs w:val="17"/>
                <w:color w:val="FFFFFF"/>
                <w:vertAlign w:val="superscript"/>
              </w:rPr>
              <w:t>(3)</w:t>
            </w:r>
          </w:p>
        </w:tc>
        <w:tc>
          <w:tcPr>
            <w:tcW w:w="13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r>
      <w:tr>
        <w:trPr>
          <w:trHeight w:val="172"/>
        </w:trPr>
        <w:tc>
          <w:tcPr>
            <w:tcW w:w="3040" w:type="dxa"/>
            <w:vAlign w:val="bottom"/>
            <w:shd w:val="clear" w:color="auto" w:fill="000000"/>
          </w:tcPr>
          <w:p>
            <w:pPr>
              <w:spacing w:after="0"/>
              <w:rPr>
                <w:sz w:val="14"/>
                <w:szCs w:val="14"/>
                <w:color w:val="auto"/>
              </w:rPr>
            </w:pPr>
          </w:p>
        </w:tc>
        <w:tc>
          <w:tcPr>
            <w:tcW w:w="3340" w:type="dxa"/>
            <w:vAlign w:val="bottom"/>
            <w:shd w:val="clear" w:color="auto" w:fill="000000"/>
          </w:tcPr>
          <w:p>
            <w:pPr>
              <w:spacing w:after="0"/>
              <w:rPr>
                <w:sz w:val="14"/>
                <w:szCs w:val="14"/>
                <w:color w:val="auto"/>
              </w:rPr>
            </w:pPr>
          </w:p>
        </w:tc>
        <w:tc>
          <w:tcPr>
            <w:tcW w:w="1220" w:type="dxa"/>
            <w:vAlign w:val="bottom"/>
            <w:shd w:val="clear" w:color="auto" w:fill="000000"/>
          </w:tcPr>
          <w:p>
            <w:pPr>
              <w:spacing w:after="0"/>
              <w:rPr>
                <w:sz w:val="14"/>
                <w:szCs w:val="14"/>
                <w:color w:val="auto"/>
              </w:rPr>
            </w:pPr>
          </w:p>
        </w:tc>
        <w:tc>
          <w:tcPr>
            <w:tcW w:w="14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c>
          <w:tcPr>
            <w:tcW w:w="1360" w:type="dxa"/>
            <w:vAlign w:val="bottom"/>
            <w:shd w:val="clear" w:color="auto" w:fill="000000"/>
          </w:tcPr>
          <w:p>
            <w:pPr>
              <w:spacing w:after="0"/>
              <w:rPr>
                <w:sz w:val="14"/>
                <w:szCs w:val="14"/>
                <w:color w:val="auto"/>
              </w:rPr>
            </w:pPr>
          </w:p>
        </w:tc>
      </w:tr>
      <w:tr>
        <w:trPr>
          <w:trHeight w:val="149"/>
        </w:trPr>
        <w:tc>
          <w:tcPr>
            <w:tcW w:w="3040" w:type="dxa"/>
            <w:vAlign w:val="bottom"/>
            <w:shd w:val="clear" w:color="auto" w:fill="000000"/>
          </w:tcPr>
          <w:p>
            <w:pPr>
              <w:spacing w:after="0"/>
              <w:rPr>
                <w:sz w:val="12"/>
                <w:szCs w:val="12"/>
                <w:color w:val="auto"/>
              </w:rPr>
            </w:pPr>
          </w:p>
        </w:tc>
        <w:tc>
          <w:tcPr>
            <w:tcW w:w="3340" w:type="dxa"/>
            <w:vAlign w:val="bottom"/>
            <w:shd w:val="clear" w:color="auto" w:fill="000000"/>
          </w:tcPr>
          <w:p>
            <w:pPr>
              <w:spacing w:after="0"/>
              <w:rPr>
                <w:sz w:val="12"/>
                <w:szCs w:val="12"/>
                <w:color w:val="auto"/>
              </w:rPr>
            </w:pPr>
          </w:p>
        </w:tc>
        <w:tc>
          <w:tcPr>
            <w:tcW w:w="1220" w:type="dxa"/>
            <w:vAlign w:val="bottom"/>
            <w:shd w:val="clear" w:color="auto" w:fill="000000"/>
          </w:tcPr>
          <w:p>
            <w:pPr>
              <w:spacing w:after="0"/>
              <w:rPr>
                <w:sz w:val="12"/>
                <w:szCs w:val="12"/>
                <w:color w:val="auto"/>
              </w:rPr>
            </w:pPr>
          </w:p>
        </w:tc>
        <w:tc>
          <w:tcPr>
            <w:tcW w:w="1460" w:type="dxa"/>
            <w:vAlign w:val="bottom"/>
            <w:shd w:val="clear" w:color="auto" w:fill="000000"/>
          </w:tcPr>
          <w:p>
            <w:pPr>
              <w:spacing w:after="0"/>
              <w:rPr>
                <w:sz w:val="12"/>
                <w:szCs w:val="12"/>
                <w:color w:val="auto"/>
              </w:rPr>
            </w:pPr>
          </w:p>
        </w:tc>
        <w:tc>
          <w:tcPr>
            <w:tcW w:w="1360" w:type="dxa"/>
            <w:vAlign w:val="bottom"/>
            <w:shd w:val="clear" w:color="auto" w:fill="000000"/>
          </w:tcPr>
          <w:p>
            <w:pPr>
              <w:spacing w:after="0"/>
              <w:rPr>
                <w:sz w:val="12"/>
                <w:szCs w:val="12"/>
                <w:color w:val="auto"/>
              </w:rPr>
            </w:pPr>
          </w:p>
        </w:tc>
      </w:tr>
      <w:tr>
        <w:trPr>
          <w:trHeight w:val="326"/>
        </w:trPr>
        <w:tc>
          <w:tcPr>
            <w:tcW w:w="304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3340" w:type="dxa"/>
            <w:vAlign w:val="bottom"/>
          </w:tcPr>
          <w:p>
            <w:pPr>
              <w:ind w:left="1620"/>
              <w:spacing w:after="0"/>
              <w:rPr>
                <w:sz w:val="20"/>
                <w:szCs w:val="20"/>
                <w:color w:val="auto"/>
              </w:rPr>
            </w:pPr>
            <w:r>
              <w:rPr>
                <w:rFonts w:ascii="Arial" w:cs="Arial" w:eastAsia="Arial" w:hAnsi="Arial"/>
                <w:sz w:val="16"/>
                <w:szCs w:val="16"/>
                <w:color w:val="auto"/>
              </w:rPr>
              <w:t>181,467</w:t>
            </w:r>
          </w:p>
        </w:tc>
        <w:tc>
          <w:tcPr>
            <w:tcW w:w="1220" w:type="dxa"/>
            <w:vAlign w:val="bottom"/>
          </w:tcPr>
          <w:p>
            <w:pPr>
              <w:ind w:left="120"/>
              <w:spacing w:after="0"/>
              <w:rPr>
                <w:sz w:val="20"/>
                <w:szCs w:val="20"/>
                <w:color w:val="auto"/>
              </w:rPr>
            </w:pPr>
            <w:r>
              <w:rPr>
                <w:rFonts w:ascii="Arial" w:cs="Arial" w:eastAsia="Arial" w:hAnsi="Arial"/>
                <w:sz w:val="16"/>
                <w:szCs w:val="16"/>
                <w:color w:val="auto"/>
              </w:rPr>
              <w:t>266,756</w:t>
            </w:r>
          </w:p>
        </w:tc>
        <w:tc>
          <w:tcPr>
            <w:tcW w:w="1460" w:type="dxa"/>
            <w:vAlign w:val="bottom"/>
          </w:tcPr>
          <w:p>
            <w:pPr>
              <w:ind w:left="120"/>
              <w:spacing w:after="0"/>
              <w:rPr>
                <w:sz w:val="20"/>
                <w:szCs w:val="20"/>
                <w:color w:val="auto"/>
              </w:rPr>
            </w:pPr>
            <w:r>
              <w:rPr>
                <w:rFonts w:ascii="Arial" w:cs="Arial" w:eastAsia="Arial" w:hAnsi="Arial"/>
                <w:sz w:val="16"/>
                <w:szCs w:val="16"/>
                <w:color w:val="auto"/>
              </w:rPr>
              <w:t>3,458,684</w:t>
            </w:r>
          </w:p>
        </w:tc>
        <w:tc>
          <w:tcPr>
            <w:tcW w:w="1360" w:type="dxa"/>
            <w:vAlign w:val="bottom"/>
          </w:tcPr>
          <w:p>
            <w:pPr>
              <w:ind w:left="120"/>
              <w:spacing w:after="0"/>
              <w:rPr>
                <w:sz w:val="20"/>
                <w:szCs w:val="20"/>
                <w:color w:val="auto"/>
              </w:rPr>
            </w:pPr>
            <w:r>
              <w:rPr>
                <w:rFonts w:ascii="Arial" w:cs="Arial" w:eastAsia="Arial" w:hAnsi="Arial"/>
                <w:sz w:val="16"/>
                <w:szCs w:val="16"/>
                <w:color w:val="auto"/>
              </w:rPr>
              <w:t>10,358,760</w:t>
            </w:r>
          </w:p>
        </w:tc>
      </w:tr>
      <w:tr>
        <w:trPr>
          <w:trHeight w:val="135"/>
        </w:trPr>
        <w:tc>
          <w:tcPr>
            <w:tcW w:w="30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04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3340" w:type="dxa"/>
            <w:vAlign w:val="bottom"/>
          </w:tcPr>
          <w:p>
            <w:pPr>
              <w:ind w:left="16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290,775</w:t>
            </w:r>
          </w:p>
        </w:tc>
        <w:tc>
          <w:tcPr>
            <w:tcW w:w="1360" w:type="dxa"/>
            <w:vAlign w:val="bottom"/>
          </w:tcPr>
          <w:p>
            <w:pPr>
              <w:ind w:left="120"/>
              <w:spacing w:after="0"/>
              <w:rPr>
                <w:sz w:val="20"/>
                <w:szCs w:val="20"/>
                <w:color w:val="auto"/>
              </w:rPr>
            </w:pPr>
            <w:r>
              <w:rPr>
                <w:rFonts w:ascii="Arial" w:cs="Arial" w:eastAsia="Arial" w:hAnsi="Arial"/>
                <w:sz w:val="16"/>
                <w:szCs w:val="16"/>
                <w:color w:val="auto"/>
              </w:rPr>
              <w:t>825,385</w:t>
            </w:r>
          </w:p>
        </w:tc>
      </w:tr>
      <w:tr>
        <w:trPr>
          <w:trHeight w:val="135"/>
        </w:trPr>
        <w:tc>
          <w:tcPr>
            <w:tcW w:w="30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04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3340" w:type="dxa"/>
            <w:vAlign w:val="bottom"/>
          </w:tcPr>
          <w:p>
            <w:pPr>
              <w:ind w:left="16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178,477</w:t>
            </w:r>
          </w:p>
        </w:tc>
        <w:tc>
          <w:tcPr>
            <w:tcW w:w="1360" w:type="dxa"/>
            <w:vAlign w:val="bottom"/>
          </w:tcPr>
          <w:p>
            <w:pPr>
              <w:ind w:left="120"/>
              <w:spacing w:after="0"/>
              <w:rPr>
                <w:sz w:val="20"/>
                <w:szCs w:val="20"/>
                <w:color w:val="auto"/>
              </w:rPr>
            </w:pPr>
            <w:r>
              <w:rPr>
                <w:rFonts w:ascii="Arial" w:cs="Arial" w:eastAsia="Arial" w:hAnsi="Arial"/>
                <w:sz w:val="16"/>
                <w:szCs w:val="16"/>
                <w:color w:val="auto"/>
              </w:rPr>
              <w:t>374,802</w:t>
            </w:r>
          </w:p>
        </w:tc>
      </w:tr>
      <w:tr>
        <w:trPr>
          <w:trHeight w:val="135"/>
        </w:trPr>
        <w:tc>
          <w:tcPr>
            <w:tcW w:w="30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04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340" w:type="dxa"/>
            <w:vAlign w:val="bottom"/>
          </w:tcPr>
          <w:p>
            <w:pPr>
              <w:ind w:left="16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723,969</w:t>
            </w:r>
          </w:p>
        </w:tc>
        <w:tc>
          <w:tcPr>
            <w:tcW w:w="1360" w:type="dxa"/>
            <w:vAlign w:val="bottom"/>
          </w:tcPr>
          <w:p>
            <w:pPr>
              <w:ind w:left="120"/>
              <w:spacing w:after="0"/>
              <w:rPr>
                <w:sz w:val="20"/>
                <w:szCs w:val="20"/>
                <w:color w:val="auto"/>
              </w:rPr>
            </w:pPr>
            <w:r>
              <w:rPr>
                <w:rFonts w:ascii="Arial" w:cs="Arial" w:eastAsia="Arial" w:hAnsi="Arial"/>
                <w:sz w:val="16"/>
                <w:szCs w:val="16"/>
                <w:color w:val="auto"/>
              </w:rPr>
              <w:t>2,183,762</w:t>
            </w:r>
          </w:p>
        </w:tc>
      </w:tr>
      <w:tr>
        <w:trPr>
          <w:trHeight w:val="135"/>
        </w:trPr>
        <w:tc>
          <w:tcPr>
            <w:tcW w:w="30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040" w:type="dxa"/>
            <w:vAlign w:val="bottom"/>
          </w:tcPr>
          <w:p>
            <w:pPr>
              <w:ind w:left="180"/>
              <w:spacing w:after="0"/>
              <w:rPr>
                <w:sz w:val="20"/>
                <w:szCs w:val="20"/>
                <w:color w:val="auto"/>
              </w:rPr>
            </w:pPr>
            <w:r>
              <w:rPr>
                <w:rFonts w:ascii="Arial" w:cs="Arial" w:eastAsia="Arial" w:hAnsi="Arial"/>
                <w:sz w:val="16"/>
                <w:szCs w:val="16"/>
                <w:color w:val="auto"/>
              </w:rPr>
              <w:t>Michael Bell</w:t>
            </w:r>
          </w:p>
        </w:tc>
        <w:tc>
          <w:tcPr>
            <w:tcW w:w="3340" w:type="dxa"/>
            <w:vAlign w:val="bottom"/>
          </w:tcPr>
          <w:p>
            <w:pPr>
              <w:ind w:left="1620"/>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ind w:left="120"/>
              <w:spacing w:after="0"/>
              <w:rPr>
                <w:sz w:val="20"/>
                <w:szCs w:val="20"/>
                <w:color w:val="auto"/>
              </w:rPr>
            </w:pPr>
            <w:r>
              <w:rPr>
                <w:rFonts w:ascii="Arial" w:cs="Arial" w:eastAsia="Arial" w:hAnsi="Arial"/>
                <w:sz w:val="16"/>
                <w:szCs w:val="16"/>
                <w:color w:val="auto"/>
              </w:rPr>
              <w:t>237,183</w:t>
            </w:r>
          </w:p>
        </w:tc>
        <w:tc>
          <w:tcPr>
            <w:tcW w:w="1360" w:type="dxa"/>
            <w:vAlign w:val="bottom"/>
          </w:tcPr>
          <w:p>
            <w:pPr>
              <w:ind w:left="120"/>
              <w:spacing w:after="0"/>
              <w:rPr>
                <w:sz w:val="20"/>
                <w:szCs w:val="20"/>
                <w:color w:val="auto"/>
              </w:rPr>
            </w:pPr>
            <w:r>
              <w:rPr>
                <w:rFonts w:ascii="Arial" w:cs="Arial" w:eastAsia="Arial" w:hAnsi="Arial"/>
                <w:sz w:val="16"/>
                <w:szCs w:val="16"/>
                <w:color w:val="auto"/>
              </w:rPr>
              <w:t>706,838</w:t>
            </w:r>
          </w:p>
        </w:tc>
      </w:tr>
      <w:tr>
        <w:trPr>
          <w:trHeight w:val="138"/>
        </w:trPr>
        <w:tc>
          <w:tcPr>
            <w:tcW w:w="30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2964180</wp:posOffset>
                </wp:positionH>
                <wp:positionV relativeFrom="paragraph">
                  <wp:posOffset>-2068195</wp:posOffset>
                </wp:positionV>
                <wp:extent cx="179197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4pt,-162.8499pt" to="374.5pt,-162.84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4907915</wp:posOffset>
                </wp:positionH>
                <wp:positionV relativeFrom="paragraph">
                  <wp:posOffset>-2068195</wp:posOffset>
                </wp:positionV>
                <wp:extent cx="155448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448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45pt,-162.8499pt" to="508.85pt,-162.8499pt" o:allowincell="f" strokecolor="#FFFFFF" strokeweight="0.499pt"/>
            </w:pict>
          </mc:Fallback>
        </mc:AlternateContent>
      </w:r>
    </w:p>
    <w:p>
      <w:pPr>
        <w:spacing w:after="0" w:line="244" w:lineRule="exact"/>
        <w:rPr>
          <w:sz w:val="20"/>
          <w:szCs w:val="20"/>
          <w:color w:val="auto"/>
        </w:rPr>
      </w:pPr>
    </w:p>
    <w:p>
      <w:pPr>
        <w:ind w:left="142" w:hanging="142"/>
        <w:spacing w:after="0"/>
        <w:tabs>
          <w:tab w:leader="none" w:pos="142"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Represents the number of shares of common stock underlying stock options exercised during fiscal 2024.</w:t>
      </w:r>
    </w:p>
    <w:p>
      <w:pPr>
        <w:spacing w:after="0" w:line="103" w:lineRule="exact"/>
        <w:rPr>
          <w:rFonts w:ascii="Arial" w:cs="Arial" w:eastAsia="Arial" w:hAnsi="Arial"/>
          <w:sz w:val="17"/>
          <w:szCs w:val="17"/>
          <w:color w:val="auto"/>
          <w:vertAlign w:val="superscript"/>
        </w:rPr>
      </w:pPr>
    </w:p>
    <w:p>
      <w:pPr>
        <w:ind w:left="142" w:right="360" w:hanging="142"/>
        <w:spacing w:after="0" w:line="212" w:lineRule="auto"/>
        <w:tabs>
          <w:tab w:leader="none" w:pos="142"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Computed as the aggregate dollar amount realized upon the exercise of options, determined by multiplying the number of shares of common stock underlying stock options exercised and the difference between the closing price of the underlying shares on the date of exercise and the exercise price of the options.</w:t>
      </w:r>
    </w:p>
    <w:p>
      <w:pPr>
        <w:spacing w:after="0" w:line="55"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Represents the number of shares of common stock acquired on vesting of the underlying RSUs and PSUs during fiscal 2024.</w:t>
      </w:r>
    </w:p>
    <w:p>
      <w:pPr>
        <w:spacing w:after="0" w:line="103" w:lineRule="exact"/>
        <w:rPr>
          <w:rFonts w:ascii="Arial" w:cs="Arial" w:eastAsia="Arial" w:hAnsi="Arial"/>
          <w:sz w:val="17"/>
          <w:szCs w:val="17"/>
          <w:color w:val="auto"/>
          <w:vertAlign w:val="superscript"/>
        </w:rPr>
      </w:pPr>
    </w:p>
    <w:p>
      <w:pPr>
        <w:ind w:left="142" w:right="140" w:hanging="142"/>
        <w:spacing w:after="0" w:line="212" w:lineRule="auto"/>
        <w:tabs>
          <w:tab w:leader="none" w:pos="142"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Computed as the aggregate dollar amount realized upon the vesting of RSUs or PSUs, determined by multiplying the number of units vesting as of the applicable vesting date by the closing price of our Common Stock on the trading day prior to the applicable vesting date.</w:t>
      </w:r>
    </w:p>
    <w:p>
      <w:pPr>
        <w:sectPr>
          <w:pgSz w:w="11880" w:h="15480" w:orient="portrait"/>
          <w:cols w:equalWidth="0" w:num="1">
            <w:col w:w="10422"/>
          </w:cols>
          <w:pgMar w:left="718"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67</w:t>
      </w:r>
    </w:p>
    <w:p>
      <w:pPr>
        <w:sectPr>
          <w:pgSz w:w="11880" w:h="15480" w:orient="portrait"/>
          <w:cols w:equalWidth="0" w:num="1">
            <w:col w:w="10422"/>
          </w:cols>
          <w:pgMar w:left="718" w:top="876" w:right="740" w:bottom="0" w:gutter="0" w:footer="0" w:header="0"/>
          <w:type w:val="continuous"/>
        </w:sectPr>
      </w:pPr>
    </w:p>
    <w:bookmarkStart w:id="73" w:name="page74"/>
    <w:bookmarkEnd w:id="73"/>
    <w:p>
      <w:pPr>
        <w:ind w:left="2"/>
        <w:spacing w:after="0"/>
        <w:rPr>
          <w:sz w:val="20"/>
          <w:szCs w:val="20"/>
          <w:color w:val="auto"/>
        </w:rPr>
      </w:pPr>
      <w:r>
        <w:rPr>
          <w:rFonts w:ascii="Times New Roman" w:cs="Times New Roman" w:eastAsia="Times New Roman" w:hAnsi="Times New Roman"/>
          <w:sz w:val="40"/>
          <w:szCs w:val="40"/>
          <w:color w:val="auto"/>
        </w:rPr>
        <w:t>Potential Payments Upon Termination or Change in Control</w:t>
      </w:r>
    </w:p>
    <w:p>
      <w:pPr>
        <w:spacing w:after="0" w:line="200" w:lineRule="exact"/>
        <w:rPr>
          <w:sz w:val="20"/>
          <w:szCs w:val="20"/>
          <w:color w:val="auto"/>
        </w:rPr>
      </w:pPr>
    </w:p>
    <w:p>
      <w:pPr>
        <w:spacing w:after="0" w:line="246"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The table below sets forth the payments and benefits that each NEO would have been entitled to receive upon a qualifying termination of employment with the Company with or without the occurrence of a change in control, assuming the relevant termination event (or termination and change in control events) occurred on December 31, 2024. With respect to Mr. Rawlinson, who transitioned to the role of Strategic Technical Advisor in February 2025, please also see</w:t>
      </w:r>
    </w:p>
    <w:p>
      <w:pPr>
        <w:spacing w:after="0" w:line="2" w:lineRule="exact"/>
        <w:rPr>
          <w:sz w:val="20"/>
          <w:szCs w:val="20"/>
          <w:color w:val="auto"/>
        </w:rPr>
      </w:pPr>
    </w:p>
    <w:p>
      <w:pPr>
        <w:ind w:left="2" w:right="22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Mr. Rawlinson Transition Agreement</w:t>
      </w:r>
      <w:r>
        <w:rPr>
          <w:rFonts w:ascii="Arial" w:cs="Arial" w:eastAsia="Arial" w:hAnsi="Arial"/>
          <w:sz w:val="18"/>
          <w:szCs w:val="18"/>
          <w:color w:val="auto"/>
        </w:rPr>
        <w:t>” for a description of severance amounts he is actually entitled to. With respect to Mr. Bell, see “</w:t>
      </w:r>
      <w:r>
        <w:rPr>
          <w:rFonts w:ascii="Arial" w:cs="Arial" w:eastAsia="Arial" w:hAnsi="Arial"/>
          <w:sz w:val="18"/>
          <w:szCs w:val="18"/>
          <w:i w:val="1"/>
          <w:iCs w:val="1"/>
          <w:color w:val="auto"/>
        </w:rPr>
        <w:t>Termination and Change in Control Agreements — Bell Separation Agreement”</w:t>
      </w:r>
      <w:r>
        <w:rPr>
          <w:rFonts w:ascii="Arial" w:cs="Arial" w:eastAsia="Arial" w:hAnsi="Arial"/>
          <w:sz w:val="18"/>
          <w:szCs w:val="18"/>
          <w:color w:val="auto"/>
        </w:rPr>
        <w:t xml:space="preserve"> for a description of the severance Mr. Bell became entitled to in connection with his termination of employment in May 2024.</w:t>
      </w:r>
    </w:p>
    <w:p>
      <w:pPr>
        <w:spacing w:after="0" w:line="275" w:lineRule="exact"/>
        <w:rPr>
          <w:sz w:val="20"/>
          <w:szCs w:val="20"/>
          <w:color w:val="auto"/>
        </w:rPr>
      </w:pPr>
    </w:p>
    <w:tbl>
      <w:tblPr>
        <w:tblLayout w:type="fixed"/>
        <w:tblInd w:w="2" w:type="dxa"/>
        <w:tblCellMar>
          <w:top w:w="0" w:type="dxa"/>
          <w:left w:w="0" w:type="dxa"/>
          <w:bottom w:w="0" w:type="dxa"/>
          <w:right w:w="0" w:type="dxa"/>
        </w:tblCellMar>
      </w:tblPr>
      <w:tr>
        <w:trPr>
          <w:trHeight w:val="297"/>
        </w:trPr>
        <w:tc>
          <w:tcPr>
            <w:tcW w:w="22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3780" w:type="dxa"/>
            <w:vAlign w:val="bottom"/>
            <w:shd w:val="clear" w:color="auto" w:fill="000000"/>
          </w:tcPr>
          <w:p>
            <w:pPr>
              <w:ind w:left="720"/>
              <w:spacing w:after="0"/>
              <w:rPr>
                <w:sz w:val="20"/>
                <w:szCs w:val="20"/>
                <w:color w:val="auto"/>
              </w:rPr>
            </w:pPr>
            <w:r>
              <w:rPr>
                <w:rFonts w:ascii="Arial" w:cs="Arial" w:eastAsia="Arial" w:hAnsi="Arial"/>
                <w:sz w:val="14"/>
                <w:szCs w:val="14"/>
                <w:color w:val="FFFFFF"/>
              </w:rPr>
              <w:t>Benefit</w:t>
            </w:r>
          </w:p>
        </w:tc>
        <w:tc>
          <w:tcPr>
            <w:tcW w:w="15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Termination</w:t>
            </w:r>
          </w:p>
        </w:tc>
        <w:tc>
          <w:tcPr>
            <w:tcW w:w="15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Termination</w:t>
            </w: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Death or</w:t>
            </w:r>
          </w:p>
        </w:tc>
      </w:tr>
      <w:tr>
        <w:trPr>
          <w:trHeight w:val="166"/>
        </w:trPr>
        <w:tc>
          <w:tcPr>
            <w:tcW w:w="2280" w:type="dxa"/>
            <w:vAlign w:val="bottom"/>
            <w:shd w:val="clear" w:color="auto" w:fill="000000"/>
          </w:tcPr>
          <w:p>
            <w:pPr>
              <w:spacing w:after="0"/>
              <w:rPr>
                <w:sz w:val="14"/>
                <w:szCs w:val="14"/>
                <w:color w:val="auto"/>
              </w:rPr>
            </w:pPr>
          </w:p>
        </w:tc>
        <w:tc>
          <w:tcPr>
            <w:tcW w:w="3780" w:type="dxa"/>
            <w:vAlign w:val="bottom"/>
            <w:shd w:val="clear" w:color="auto" w:fill="000000"/>
          </w:tcPr>
          <w:p>
            <w:pPr>
              <w:spacing w:after="0"/>
              <w:rPr>
                <w:sz w:val="14"/>
                <w:szCs w:val="14"/>
                <w:color w:val="auto"/>
              </w:rPr>
            </w:pPr>
          </w:p>
        </w:tc>
        <w:tc>
          <w:tcPr>
            <w:tcW w:w="15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Without Cause or</w:t>
            </w:r>
          </w:p>
        </w:tc>
        <w:tc>
          <w:tcPr>
            <w:tcW w:w="15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Without Cause or</w:t>
            </w:r>
          </w:p>
        </w:tc>
        <w:tc>
          <w:tcPr>
            <w:tcW w:w="1280" w:type="dxa"/>
            <w:vAlign w:val="bottom"/>
            <w:shd w:val="clear" w:color="auto" w:fill="000000"/>
          </w:tcPr>
          <w:p>
            <w:pPr>
              <w:ind w:left="120"/>
              <w:spacing w:after="0" w:line="166" w:lineRule="exact"/>
              <w:rPr>
                <w:sz w:val="20"/>
                <w:szCs w:val="20"/>
                <w:color w:val="auto"/>
              </w:rPr>
            </w:pPr>
            <w:r>
              <w:rPr>
                <w:rFonts w:ascii="Arial" w:cs="Arial" w:eastAsia="Arial" w:hAnsi="Arial"/>
                <w:sz w:val="14"/>
                <w:szCs w:val="14"/>
                <w:color w:val="FFFFFF"/>
              </w:rPr>
              <w:t>Disability</w:t>
            </w:r>
            <w:r>
              <w:rPr>
                <w:rFonts w:ascii="Arial" w:cs="Arial" w:eastAsia="Arial" w:hAnsi="Arial"/>
                <w:sz w:val="17"/>
                <w:szCs w:val="17"/>
                <w:color w:val="FFFFFF"/>
                <w:vertAlign w:val="superscript"/>
              </w:rPr>
              <w:t>(1)</w:t>
            </w:r>
          </w:p>
        </w:tc>
      </w:tr>
      <w:tr>
        <w:trPr>
          <w:trHeight w:val="160"/>
        </w:trPr>
        <w:tc>
          <w:tcPr>
            <w:tcW w:w="2280" w:type="dxa"/>
            <w:vAlign w:val="bottom"/>
            <w:shd w:val="clear" w:color="auto" w:fill="000000"/>
          </w:tcPr>
          <w:p>
            <w:pPr>
              <w:spacing w:after="0"/>
              <w:rPr>
                <w:sz w:val="13"/>
                <w:szCs w:val="13"/>
                <w:color w:val="auto"/>
              </w:rPr>
            </w:pPr>
          </w:p>
        </w:tc>
        <w:tc>
          <w:tcPr>
            <w:tcW w:w="3780" w:type="dxa"/>
            <w:vAlign w:val="bottom"/>
            <w:shd w:val="clear" w:color="auto" w:fill="000000"/>
          </w:tcPr>
          <w:p>
            <w:pPr>
              <w:spacing w:after="0"/>
              <w:rPr>
                <w:sz w:val="13"/>
                <w:szCs w:val="13"/>
                <w:color w:val="auto"/>
              </w:rPr>
            </w:pPr>
          </w:p>
        </w:tc>
        <w:tc>
          <w:tcPr>
            <w:tcW w:w="15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Resignation for</w:t>
            </w:r>
          </w:p>
        </w:tc>
        <w:tc>
          <w:tcPr>
            <w:tcW w:w="1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Resignation for</w:t>
            </w:r>
          </w:p>
        </w:tc>
        <w:tc>
          <w:tcPr>
            <w:tcW w:w="1280" w:type="dxa"/>
            <w:vAlign w:val="bottom"/>
            <w:shd w:val="clear" w:color="auto" w:fill="000000"/>
          </w:tcPr>
          <w:p>
            <w:pPr>
              <w:spacing w:after="0"/>
              <w:rPr>
                <w:sz w:val="13"/>
                <w:szCs w:val="13"/>
                <w:color w:val="auto"/>
              </w:rPr>
            </w:pPr>
          </w:p>
        </w:tc>
      </w:tr>
      <w:tr>
        <w:trPr>
          <w:trHeight w:val="160"/>
        </w:trPr>
        <w:tc>
          <w:tcPr>
            <w:tcW w:w="2280" w:type="dxa"/>
            <w:vAlign w:val="bottom"/>
            <w:shd w:val="clear" w:color="auto" w:fill="000000"/>
          </w:tcPr>
          <w:p>
            <w:pPr>
              <w:spacing w:after="0"/>
              <w:rPr>
                <w:sz w:val="13"/>
                <w:szCs w:val="13"/>
                <w:color w:val="auto"/>
              </w:rPr>
            </w:pPr>
          </w:p>
        </w:tc>
        <w:tc>
          <w:tcPr>
            <w:tcW w:w="3780" w:type="dxa"/>
            <w:vAlign w:val="bottom"/>
            <w:shd w:val="clear" w:color="auto" w:fill="000000"/>
          </w:tcPr>
          <w:p>
            <w:pPr>
              <w:spacing w:after="0"/>
              <w:rPr>
                <w:sz w:val="13"/>
                <w:szCs w:val="13"/>
                <w:color w:val="auto"/>
              </w:rPr>
            </w:pPr>
          </w:p>
        </w:tc>
        <w:tc>
          <w:tcPr>
            <w:tcW w:w="15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Good Reason Other</w:t>
            </w:r>
          </w:p>
        </w:tc>
        <w:tc>
          <w:tcPr>
            <w:tcW w:w="1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Good Reason in</w:t>
            </w:r>
          </w:p>
        </w:tc>
        <w:tc>
          <w:tcPr>
            <w:tcW w:w="1280" w:type="dxa"/>
            <w:vAlign w:val="bottom"/>
            <w:shd w:val="clear" w:color="auto" w:fill="000000"/>
          </w:tcPr>
          <w:p>
            <w:pPr>
              <w:spacing w:after="0"/>
              <w:rPr>
                <w:sz w:val="13"/>
                <w:szCs w:val="13"/>
                <w:color w:val="auto"/>
              </w:rPr>
            </w:pPr>
          </w:p>
        </w:tc>
      </w:tr>
      <w:tr>
        <w:trPr>
          <w:trHeight w:val="160"/>
        </w:trPr>
        <w:tc>
          <w:tcPr>
            <w:tcW w:w="2280" w:type="dxa"/>
            <w:vAlign w:val="bottom"/>
            <w:shd w:val="clear" w:color="auto" w:fill="000000"/>
          </w:tcPr>
          <w:p>
            <w:pPr>
              <w:spacing w:after="0"/>
              <w:rPr>
                <w:sz w:val="13"/>
                <w:szCs w:val="13"/>
                <w:color w:val="auto"/>
              </w:rPr>
            </w:pPr>
          </w:p>
        </w:tc>
        <w:tc>
          <w:tcPr>
            <w:tcW w:w="3780" w:type="dxa"/>
            <w:vAlign w:val="bottom"/>
            <w:shd w:val="clear" w:color="auto" w:fill="000000"/>
          </w:tcPr>
          <w:p>
            <w:pPr>
              <w:spacing w:after="0"/>
              <w:rPr>
                <w:sz w:val="13"/>
                <w:szCs w:val="13"/>
                <w:color w:val="auto"/>
              </w:rPr>
            </w:pPr>
          </w:p>
        </w:tc>
        <w:tc>
          <w:tcPr>
            <w:tcW w:w="158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than Change in</w:t>
            </w:r>
          </w:p>
        </w:tc>
        <w:tc>
          <w:tcPr>
            <w:tcW w:w="15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Connection with a</w:t>
            </w:r>
          </w:p>
        </w:tc>
        <w:tc>
          <w:tcPr>
            <w:tcW w:w="1280" w:type="dxa"/>
            <w:vAlign w:val="bottom"/>
            <w:shd w:val="clear" w:color="auto" w:fill="000000"/>
          </w:tcPr>
          <w:p>
            <w:pPr>
              <w:spacing w:after="0"/>
              <w:rPr>
                <w:sz w:val="13"/>
                <w:szCs w:val="13"/>
                <w:color w:val="auto"/>
              </w:rPr>
            </w:pPr>
          </w:p>
        </w:tc>
      </w:tr>
      <w:tr>
        <w:trPr>
          <w:trHeight w:val="172"/>
        </w:trPr>
        <w:tc>
          <w:tcPr>
            <w:tcW w:w="2280" w:type="dxa"/>
            <w:vAlign w:val="bottom"/>
            <w:shd w:val="clear" w:color="auto" w:fill="000000"/>
          </w:tcPr>
          <w:p>
            <w:pPr>
              <w:spacing w:after="0"/>
              <w:rPr>
                <w:sz w:val="14"/>
                <w:szCs w:val="14"/>
                <w:color w:val="auto"/>
              </w:rPr>
            </w:pPr>
          </w:p>
        </w:tc>
        <w:tc>
          <w:tcPr>
            <w:tcW w:w="3780" w:type="dxa"/>
            <w:vAlign w:val="bottom"/>
            <w:shd w:val="clear" w:color="auto" w:fill="000000"/>
          </w:tcPr>
          <w:p>
            <w:pPr>
              <w:spacing w:after="0"/>
              <w:rPr>
                <w:sz w:val="14"/>
                <w:szCs w:val="14"/>
                <w:color w:val="auto"/>
              </w:rPr>
            </w:pPr>
          </w:p>
        </w:tc>
        <w:tc>
          <w:tcPr>
            <w:tcW w:w="15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Control</w:t>
            </w:r>
          </w:p>
        </w:tc>
        <w:tc>
          <w:tcPr>
            <w:tcW w:w="15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Change in Control</w:t>
            </w:r>
          </w:p>
        </w:tc>
        <w:tc>
          <w:tcPr>
            <w:tcW w:w="1280" w:type="dxa"/>
            <w:vAlign w:val="bottom"/>
            <w:shd w:val="clear" w:color="auto" w:fill="000000"/>
          </w:tcPr>
          <w:p>
            <w:pPr>
              <w:spacing w:after="0"/>
              <w:rPr>
                <w:sz w:val="14"/>
                <w:szCs w:val="14"/>
                <w:color w:val="auto"/>
              </w:rPr>
            </w:pPr>
          </w:p>
        </w:tc>
      </w:tr>
      <w:tr>
        <w:trPr>
          <w:trHeight w:val="79"/>
        </w:trPr>
        <w:tc>
          <w:tcPr>
            <w:tcW w:w="2280" w:type="dxa"/>
            <w:vAlign w:val="bottom"/>
            <w:shd w:val="clear" w:color="auto" w:fill="000000"/>
          </w:tcPr>
          <w:p>
            <w:pPr>
              <w:spacing w:after="0"/>
              <w:rPr>
                <w:sz w:val="6"/>
                <w:szCs w:val="6"/>
                <w:color w:val="auto"/>
              </w:rPr>
            </w:pPr>
          </w:p>
        </w:tc>
        <w:tc>
          <w:tcPr>
            <w:tcW w:w="3780" w:type="dxa"/>
            <w:vAlign w:val="bottom"/>
            <w:shd w:val="clear" w:color="auto" w:fill="000000"/>
          </w:tcPr>
          <w:p>
            <w:pPr>
              <w:spacing w:after="0"/>
              <w:rPr>
                <w:sz w:val="6"/>
                <w:szCs w:val="6"/>
                <w:color w:val="auto"/>
              </w:rPr>
            </w:pPr>
          </w:p>
        </w:tc>
        <w:tc>
          <w:tcPr>
            <w:tcW w:w="1580" w:type="dxa"/>
            <w:vAlign w:val="bottom"/>
            <w:shd w:val="clear" w:color="auto" w:fill="000000"/>
          </w:tcPr>
          <w:p>
            <w:pPr>
              <w:spacing w:after="0"/>
              <w:rPr>
                <w:sz w:val="6"/>
                <w:szCs w:val="6"/>
                <w:color w:val="auto"/>
              </w:rPr>
            </w:pPr>
          </w:p>
        </w:tc>
        <w:tc>
          <w:tcPr>
            <w:tcW w:w="15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r>
      <w:tr>
        <w:trPr>
          <w:trHeight w:val="321"/>
        </w:trPr>
        <w:tc>
          <w:tcPr>
            <w:tcW w:w="2280" w:type="dxa"/>
            <w:vAlign w:val="bottom"/>
          </w:tcPr>
          <w:p>
            <w:pPr>
              <w:ind w:left="180"/>
              <w:spacing w:after="0"/>
              <w:rPr>
                <w:sz w:val="20"/>
                <w:szCs w:val="20"/>
                <w:color w:val="auto"/>
              </w:rPr>
            </w:pPr>
            <w:r>
              <w:rPr>
                <w:rFonts w:ascii="Arial" w:cs="Arial" w:eastAsia="Arial" w:hAnsi="Arial"/>
                <w:sz w:val="16"/>
                <w:szCs w:val="16"/>
                <w:color w:val="auto"/>
              </w:rPr>
              <w:t>Peter Rawlinson**</w:t>
            </w:r>
          </w:p>
        </w:tc>
        <w:tc>
          <w:tcPr>
            <w:tcW w:w="3780" w:type="dxa"/>
            <w:vAlign w:val="bottom"/>
          </w:tcPr>
          <w:p>
            <w:pPr>
              <w:ind w:left="720"/>
              <w:spacing w:after="0"/>
              <w:rPr>
                <w:sz w:val="20"/>
                <w:szCs w:val="20"/>
                <w:color w:val="auto"/>
              </w:rPr>
            </w:pPr>
            <w:r>
              <w:rPr>
                <w:rFonts w:ascii="Arial" w:cs="Arial" w:eastAsia="Arial" w:hAnsi="Arial"/>
                <w:sz w:val="16"/>
                <w:szCs w:val="16"/>
                <w:color w:val="auto"/>
              </w:rPr>
              <w:t>Cash severance</w:t>
            </w:r>
          </w:p>
        </w:tc>
        <w:tc>
          <w:tcPr>
            <w:tcW w:w="1580" w:type="dxa"/>
            <w:vAlign w:val="bottom"/>
          </w:tcPr>
          <w:p>
            <w:pPr>
              <w:ind w:left="120"/>
              <w:spacing w:after="0"/>
              <w:rPr>
                <w:sz w:val="20"/>
                <w:szCs w:val="20"/>
                <w:color w:val="auto"/>
              </w:rPr>
            </w:pPr>
            <w:r>
              <w:rPr>
                <w:rFonts w:ascii="Arial" w:cs="Arial" w:eastAsia="Arial" w:hAnsi="Arial"/>
                <w:sz w:val="16"/>
                <w:szCs w:val="16"/>
                <w:color w:val="auto"/>
              </w:rPr>
              <w:t>625,000</w:t>
            </w:r>
            <w:r>
              <w:rPr>
                <w:rFonts w:ascii="Arial" w:cs="Arial" w:eastAsia="Arial" w:hAnsi="Arial"/>
                <w:sz w:val="19"/>
                <w:szCs w:val="19"/>
                <w:color w:val="auto"/>
                <w:vertAlign w:val="superscript"/>
              </w:rPr>
              <w:t>(2)</w:t>
            </w:r>
          </w:p>
        </w:tc>
        <w:tc>
          <w:tcPr>
            <w:tcW w:w="1500" w:type="dxa"/>
            <w:vAlign w:val="bottom"/>
          </w:tcPr>
          <w:p>
            <w:pPr>
              <w:ind w:left="120"/>
              <w:spacing w:after="0"/>
              <w:rPr>
                <w:sz w:val="20"/>
                <w:szCs w:val="20"/>
                <w:color w:val="auto"/>
              </w:rPr>
            </w:pPr>
            <w:r>
              <w:rPr>
                <w:rFonts w:ascii="Arial" w:cs="Arial" w:eastAsia="Arial" w:hAnsi="Arial"/>
                <w:sz w:val="16"/>
                <w:szCs w:val="16"/>
                <w:color w:val="auto"/>
              </w:rPr>
              <w:t>1,875,000</w:t>
            </w:r>
            <w:r>
              <w:rPr>
                <w:rFonts w:ascii="Arial" w:cs="Arial" w:eastAsia="Arial" w:hAnsi="Arial"/>
                <w:sz w:val="19"/>
                <w:szCs w:val="19"/>
                <w:color w:val="auto"/>
                <w:vertAlign w:val="superscript"/>
              </w:rPr>
              <w:t>(2)</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371"/>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Accelerated Vesting of Equity Awards*</w:t>
            </w:r>
          </w:p>
        </w:tc>
        <w:tc>
          <w:tcPr>
            <w:tcW w:w="1580" w:type="dxa"/>
            <w:vAlign w:val="bottom"/>
          </w:tcPr>
          <w:p>
            <w:pPr>
              <w:ind w:left="120"/>
              <w:spacing w:after="0"/>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(3)</w:t>
            </w:r>
          </w:p>
        </w:tc>
        <w:tc>
          <w:tcPr>
            <w:tcW w:w="1500" w:type="dxa"/>
            <w:vAlign w:val="bottom"/>
          </w:tcPr>
          <w:p>
            <w:pPr>
              <w:ind w:left="120"/>
              <w:spacing w:after="0"/>
              <w:rPr>
                <w:sz w:val="20"/>
                <w:szCs w:val="20"/>
                <w:color w:val="auto"/>
              </w:rPr>
            </w:pPr>
            <w:r>
              <w:rPr>
                <w:rFonts w:ascii="Arial" w:cs="Arial" w:eastAsia="Arial" w:hAnsi="Arial"/>
                <w:sz w:val="16"/>
                <w:szCs w:val="16"/>
                <w:color w:val="auto"/>
              </w:rPr>
              <w:t>7,833,928</w:t>
            </w:r>
            <w:r>
              <w:rPr>
                <w:rFonts w:ascii="Arial" w:cs="Arial" w:eastAsia="Arial" w:hAnsi="Arial"/>
                <w:sz w:val="19"/>
                <w:szCs w:val="19"/>
                <w:color w:val="auto"/>
                <w:vertAlign w:val="superscript"/>
              </w:rPr>
              <w:t>(3)</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67"/>
        </w:trPr>
        <w:tc>
          <w:tcPr>
            <w:tcW w:w="2280" w:type="dxa"/>
            <w:vAlign w:val="bottom"/>
          </w:tcPr>
          <w:p>
            <w:pPr>
              <w:spacing w:after="0"/>
              <w:rPr>
                <w:sz w:val="23"/>
                <w:szCs w:val="23"/>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Health Benefits</w:t>
            </w:r>
          </w:p>
        </w:tc>
        <w:tc>
          <w:tcPr>
            <w:tcW w:w="1580" w:type="dxa"/>
            <w:vAlign w:val="bottom"/>
          </w:tcPr>
          <w:p>
            <w:pPr>
              <w:ind w:left="120"/>
              <w:spacing w:after="0"/>
              <w:rPr>
                <w:sz w:val="20"/>
                <w:szCs w:val="20"/>
                <w:color w:val="auto"/>
              </w:rPr>
            </w:pPr>
            <w:r>
              <w:rPr>
                <w:rFonts w:ascii="Arial" w:cs="Arial" w:eastAsia="Arial" w:hAnsi="Arial"/>
                <w:sz w:val="16"/>
                <w:szCs w:val="16"/>
                <w:color w:val="auto"/>
              </w:rPr>
              <w:t>8,374</w:t>
            </w:r>
            <w:r>
              <w:rPr>
                <w:rFonts w:ascii="Arial" w:cs="Arial" w:eastAsia="Arial" w:hAnsi="Arial"/>
                <w:sz w:val="19"/>
                <w:szCs w:val="19"/>
                <w:color w:val="auto"/>
                <w:vertAlign w:val="superscript"/>
              </w:rPr>
              <w:t>(6)</w:t>
            </w:r>
          </w:p>
        </w:tc>
        <w:tc>
          <w:tcPr>
            <w:tcW w:w="1500" w:type="dxa"/>
            <w:vAlign w:val="bottom"/>
          </w:tcPr>
          <w:p>
            <w:pPr>
              <w:ind w:left="120"/>
              <w:spacing w:after="0"/>
              <w:rPr>
                <w:sz w:val="20"/>
                <w:szCs w:val="20"/>
                <w:color w:val="auto"/>
              </w:rPr>
            </w:pPr>
            <w:r>
              <w:rPr>
                <w:rFonts w:ascii="Arial" w:cs="Arial" w:eastAsia="Arial" w:hAnsi="Arial"/>
                <w:sz w:val="16"/>
                <w:szCs w:val="16"/>
                <w:color w:val="auto"/>
              </w:rPr>
              <w:t>12,561</w:t>
            </w:r>
            <w:r>
              <w:rPr>
                <w:rFonts w:ascii="Arial" w:cs="Arial" w:eastAsia="Arial" w:hAnsi="Arial"/>
                <w:sz w:val="19"/>
                <w:szCs w:val="19"/>
                <w:color w:val="auto"/>
                <w:vertAlign w:val="superscript"/>
              </w:rPr>
              <w:t>(6)</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55"/>
        </w:trPr>
        <w:tc>
          <w:tcPr>
            <w:tcW w:w="2280" w:type="dxa"/>
            <w:vAlign w:val="bottom"/>
          </w:tcPr>
          <w:p>
            <w:pPr>
              <w:spacing w:after="0"/>
              <w:rPr>
                <w:sz w:val="22"/>
                <w:szCs w:val="22"/>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Total</w:t>
            </w:r>
          </w:p>
        </w:tc>
        <w:tc>
          <w:tcPr>
            <w:tcW w:w="1580" w:type="dxa"/>
            <w:vAlign w:val="bottom"/>
          </w:tcPr>
          <w:p>
            <w:pPr>
              <w:ind w:left="120"/>
              <w:spacing w:after="0"/>
              <w:rPr>
                <w:sz w:val="20"/>
                <w:szCs w:val="20"/>
                <w:color w:val="auto"/>
              </w:rPr>
            </w:pPr>
            <w:r>
              <w:rPr>
                <w:rFonts w:ascii="Arial" w:cs="Arial" w:eastAsia="Arial" w:hAnsi="Arial"/>
                <w:sz w:val="16"/>
                <w:szCs w:val="16"/>
                <w:color w:val="auto"/>
              </w:rPr>
              <w:t>$633,374</w:t>
            </w:r>
          </w:p>
        </w:tc>
        <w:tc>
          <w:tcPr>
            <w:tcW w:w="1500" w:type="dxa"/>
            <w:vAlign w:val="bottom"/>
          </w:tcPr>
          <w:p>
            <w:pPr>
              <w:ind w:left="120"/>
              <w:spacing w:after="0"/>
              <w:rPr>
                <w:sz w:val="20"/>
                <w:szCs w:val="20"/>
                <w:color w:val="auto"/>
              </w:rPr>
            </w:pPr>
            <w:r>
              <w:rPr>
                <w:rFonts w:ascii="Arial" w:cs="Arial" w:eastAsia="Arial" w:hAnsi="Arial"/>
                <w:sz w:val="16"/>
                <w:szCs w:val="16"/>
                <w:color w:val="auto"/>
              </w:rPr>
              <w:t>$9,721,489</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65"/>
        </w:trPr>
        <w:tc>
          <w:tcPr>
            <w:tcW w:w="22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98"/>
        </w:trPr>
        <w:tc>
          <w:tcPr>
            <w:tcW w:w="2280" w:type="dxa"/>
            <w:vAlign w:val="bottom"/>
          </w:tcPr>
          <w:p>
            <w:pPr>
              <w:ind w:left="180"/>
              <w:spacing w:after="0"/>
              <w:rPr>
                <w:sz w:val="20"/>
                <w:szCs w:val="20"/>
                <w:color w:val="auto"/>
              </w:rPr>
            </w:pPr>
            <w:r>
              <w:rPr>
                <w:rFonts w:ascii="Arial" w:cs="Arial" w:eastAsia="Arial" w:hAnsi="Arial"/>
                <w:sz w:val="16"/>
                <w:szCs w:val="16"/>
                <w:color w:val="auto"/>
              </w:rPr>
              <w:t>Gagan Dhingra</w:t>
            </w:r>
          </w:p>
        </w:tc>
        <w:tc>
          <w:tcPr>
            <w:tcW w:w="3780" w:type="dxa"/>
            <w:vAlign w:val="bottom"/>
          </w:tcPr>
          <w:p>
            <w:pPr>
              <w:ind w:left="720"/>
              <w:spacing w:after="0"/>
              <w:rPr>
                <w:sz w:val="20"/>
                <w:szCs w:val="20"/>
                <w:color w:val="auto"/>
              </w:rPr>
            </w:pPr>
            <w:r>
              <w:rPr>
                <w:rFonts w:ascii="Arial" w:cs="Arial" w:eastAsia="Arial" w:hAnsi="Arial"/>
                <w:sz w:val="16"/>
                <w:szCs w:val="16"/>
                <w:color w:val="auto"/>
              </w:rPr>
              <w:t>Cash Severance</w:t>
            </w:r>
          </w:p>
        </w:tc>
        <w:tc>
          <w:tcPr>
            <w:tcW w:w="1580" w:type="dxa"/>
            <w:vAlign w:val="bottom"/>
          </w:tcPr>
          <w:p>
            <w:pPr>
              <w:ind w:left="120"/>
              <w:spacing w:after="0"/>
              <w:rPr>
                <w:sz w:val="20"/>
                <w:szCs w:val="20"/>
                <w:color w:val="auto"/>
              </w:rPr>
            </w:pPr>
            <w:r>
              <w:rPr>
                <w:rFonts w:ascii="Arial" w:cs="Arial" w:eastAsia="Arial" w:hAnsi="Arial"/>
                <w:sz w:val="16"/>
                <w:szCs w:val="16"/>
                <w:color w:val="auto"/>
              </w:rPr>
              <w:t>200,000</w:t>
            </w:r>
            <w:r>
              <w:rPr>
                <w:rFonts w:ascii="Arial" w:cs="Arial" w:eastAsia="Arial" w:hAnsi="Arial"/>
                <w:sz w:val="19"/>
                <w:szCs w:val="19"/>
                <w:color w:val="auto"/>
                <w:vertAlign w:val="superscript"/>
              </w:rPr>
              <w:t>(2)</w:t>
            </w:r>
          </w:p>
        </w:tc>
        <w:tc>
          <w:tcPr>
            <w:tcW w:w="1500" w:type="dxa"/>
            <w:vAlign w:val="bottom"/>
          </w:tcPr>
          <w:p>
            <w:pPr>
              <w:ind w:left="120"/>
              <w:spacing w:after="0"/>
              <w:rPr>
                <w:sz w:val="20"/>
                <w:szCs w:val="20"/>
                <w:color w:val="auto"/>
              </w:rPr>
            </w:pPr>
            <w:r>
              <w:rPr>
                <w:rFonts w:ascii="Arial" w:cs="Arial" w:eastAsia="Arial" w:hAnsi="Arial"/>
                <w:sz w:val="16"/>
                <w:szCs w:val="16"/>
                <w:color w:val="auto"/>
              </w:rPr>
              <w:t>450,000</w:t>
            </w:r>
            <w:r>
              <w:rPr>
                <w:rFonts w:ascii="Arial" w:cs="Arial" w:eastAsia="Arial" w:hAnsi="Arial"/>
                <w:sz w:val="19"/>
                <w:szCs w:val="19"/>
                <w:color w:val="auto"/>
                <w:vertAlign w:val="superscript"/>
              </w:rPr>
              <w:t>(2)</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371"/>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Accelerated Vesting of Equity Awards*</w:t>
            </w:r>
          </w:p>
        </w:tc>
        <w:tc>
          <w:tcPr>
            <w:tcW w:w="1580" w:type="dxa"/>
            <w:vAlign w:val="bottom"/>
          </w:tcPr>
          <w:p>
            <w:pPr>
              <w:ind w:left="120"/>
              <w:spacing w:after="0"/>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(4)</w:t>
            </w:r>
          </w:p>
        </w:tc>
        <w:tc>
          <w:tcPr>
            <w:tcW w:w="1500" w:type="dxa"/>
            <w:vAlign w:val="bottom"/>
          </w:tcPr>
          <w:p>
            <w:pPr>
              <w:ind w:left="120"/>
              <w:spacing w:after="0"/>
              <w:rPr>
                <w:sz w:val="20"/>
                <w:szCs w:val="20"/>
                <w:color w:val="auto"/>
              </w:rPr>
            </w:pPr>
            <w:r>
              <w:rPr>
                <w:rFonts w:ascii="Arial" w:cs="Arial" w:eastAsia="Arial" w:hAnsi="Arial"/>
                <w:sz w:val="16"/>
                <w:szCs w:val="16"/>
                <w:color w:val="auto"/>
              </w:rPr>
              <w:t>2,656,450</w:t>
            </w:r>
            <w:r>
              <w:rPr>
                <w:rFonts w:ascii="Arial" w:cs="Arial" w:eastAsia="Arial" w:hAnsi="Arial"/>
                <w:sz w:val="19"/>
                <w:szCs w:val="19"/>
                <w:color w:val="auto"/>
                <w:vertAlign w:val="superscript"/>
              </w:rPr>
              <w:t>(5)</w:t>
            </w:r>
          </w:p>
        </w:tc>
        <w:tc>
          <w:tcPr>
            <w:tcW w:w="1280" w:type="dxa"/>
            <w:vAlign w:val="bottom"/>
          </w:tcPr>
          <w:p>
            <w:pPr>
              <w:ind w:left="120"/>
              <w:spacing w:after="0"/>
              <w:rPr>
                <w:sz w:val="20"/>
                <w:szCs w:val="20"/>
                <w:color w:val="auto"/>
              </w:rPr>
            </w:pPr>
            <w:r>
              <w:rPr>
                <w:rFonts w:ascii="Arial" w:cs="Arial" w:eastAsia="Arial" w:hAnsi="Arial"/>
                <w:sz w:val="16"/>
                <w:szCs w:val="16"/>
                <w:color w:val="auto"/>
              </w:rPr>
              <w:t>2,656,450</w:t>
            </w:r>
          </w:p>
        </w:tc>
      </w:tr>
      <w:tr>
        <w:trPr>
          <w:trHeight w:val="267"/>
        </w:trPr>
        <w:tc>
          <w:tcPr>
            <w:tcW w:w="2280" w:type="dxa"/>
            <w:vAlign w:val="bottom"/>
          </w:tcPr>
          <w:p>
            <w:pPr>
              <w:spacing w:after="0"/>
              <w:rPr>
                <w:sz w:val="23"/>
                <w:szCs w:val="23"/>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Health Benefits</w:t>
            </w:r>
          </w:p>
        </w:tc>
        <w:tc>
          <w:tcPr>
            <w:tcW w:w="1580" w:type="dxa"/>
            <w:vAlign w:val="bottom"/>
          </w:tcPr>
          <w:p>
            <w:pPr>
              <w:ind w:left="120"/>
              <w:spacing w:after="0"/>
              <w:rPr>
                <w:sz w:val="20"/>
                <w:szCs w:val="20"/>
                <w:color w:val="auto"/>
              </w:rPr>
            </w:pPr>
            <w:r>
              <w:rPr>
                <w:rFonts w:ascii="Arial" w:cs="Arial" w:eastAsia="Arial" w:hAnsi="Arial"/>
                <w:sz w:val="16"/>
                <w:szCs w:val="16"/>
                <w:color w:val="auto"/>
              </w:rPr>
              <w:t>10,009</w:t>
            </w:r>
            <w:r>
              <w:rPr>
                <w:rFonts w:ascii="Arial" w:cs="Arial" w:eastAsia="Arial" w:hAnsi="Arial"/>
                <w:sz w:val="19"/>
                <w:szCs w:val="19"/>
                <w:color w:val="auto"/>
                <w:vertAlign w:val="superscript"/>
              </w:rPr>
              <w:t>(6)</w:t>
            </w:r>
          </w:p>
        </w:tc>
        <w:tc>
          <w:tcPr>
            <w:tcW w:w="1500" w:type="dxa"/>
            <w:vAlign w:val="bottom"/>
          </w:tcPr>
          <w:p>
            <w:pPr>
              <w:ind w:left="120"/>
              <w:spacing w:after="0"/>
              <w:rPr>
                <w:sz w:val="20"/>
                <w:szCs w:val="20"/>
                <w:color w:val="auto"/>
              </w:rPr>
            </w:pPr>
            <w:r>
              <w:rPr>
                <w:rFonts w:ascii="Arial" w:cs="Arial" w:eastAsia="Arial" w:hAnsi="Arial"/>
                <w:sz w:val="16"/>
                <w:szCs w:val="16"/>
                <w:color w:val="auto"/>
              </w:rPr>
              <w:t>15,013</w:t>
            </w:r>
            <w:r>
              <w:rPr>
                <w:rFonts w:ascii="Arial" w:cs="Arial" w:eastAsia="Arial" w:hAnsi="Arial"/>
                <w:sz w:val="19"/>
                <w:szCs w:val="19"/>
                <w:color w:val="auto"/>
                <w:vertAlign w:val="superscript"/>
              </w:rPr>
              <w:t>(6)</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55"/>
        </w:trPr>
        <w:tc>
          <w:tcPr>
            <w:tcW w:w="2280" w:type="dxa"/>
            <w:vAlign w:val="bottom"/>
          </w:tcPr>
          <w:p>
            <w:pPr>
              <w:spacing w:after="0"/>
              <w:rPr>
                <w:sz w:val="22"/>
                <w:szCs w:val="22"/>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Total</w:t>
            </w:r>
          </w:p>
        </w:tc>
        <w:tc>
          <w:tcPr>
            <w:tcW w:w="1580" w:type="dxa"/>
            <w:vAlign w:val="bottom"/>
          </w:tcPr>
          <w:p>
            <w:pPr>
              <w:ind w:left="120"/>
              <w:spacing w:after="0"/>
              <w:rPr>
                <w:sz w:val="20"/>
                <w:szCs w:val="20"/>
                <w:color w:val="auto"/>
              </w:rPr>
            </w:pPr>
            <w:r>
              <w:rPr>
                <w:rFonts w:ascii="Arial" w:cs="Arial" w:eastAsia="Arial" w:hAnsi="Arial"/>
                <w:sz w:val="16"/>
                <w:szCs w:val="16"/>
                <w:color w:val="auto"/>
              </w:rPr>
              <w:t>$210,009</w:t>
            </w:r>
          </w:p>
        </w:tc>
        <w:tc>
          <w:tcPr>
            <w:tcW w:w="1500" w:type="dxa"/>
            <w:vAlign w:val="bottom"/>
          </w:tcPr>
          <w:p>
            <w:pPr>
              <w:ind w:left="120"/>
              <w:spacing w:after="0"/>
              <w:rPr>
                <w:sz w:val="20"/>
                <w:szCs w:val="20"/>
                <w:color w:val="auto"/>
              </w:rPr>
            </w:pPr>
            <w:r>
              <w:rPr>
                <w:rFonts w:ascii="Arial" w:cs="Arial" w:eastAsia="Arial" w:hAnsi="Arial"/>
                <w:sz w:val="16"/>
                <w:szCs w:val="16"/>
                <w:color w:val="auto"/>
              </w:rPr>
              <w:t>$3,121,463</w:t>
            </w:r>
          </w:p>
        </w:tc>
        <w:tc>
          <w:tcPr>
            <w:tcW w:w="1280" w:type="dxa"/>
            <w:vAlign w:val="bottom"/>
          </w:tcPr>
          <w:p>
            <w:pPr>
              <w:ind w:left="120"/>
              <w:spacing w:after="0"/>
              <w:rPr>
                <w:sz w:val="20"/>
                <w:szCs w:val="20"/>
                <w:color w:val="auto"/>
              </w:rPr>
            </w:pPr>
            <w:r>
              <w:rPr>
                <w:rFonts w:ascii="Arial" w:cs="Arial" w:eastAsia="Arial" w:hAnsi="Arial"/>
                <w:sz w:val="16"/>
                <w:szCs w:val="16"/>
                <w:color w:val="auto"/>
              </w:rPr>
              <w:t>$2,656,450</w:t>
            </w:r>
          </w:p>
        </w:tc>
      </w:tr>
      <w:tr>
        <w:trPr>
          <w:trHeight w:val="65"/>
        </w:trPr>
        <w:tc>
          <w:tcPr>
            <w:tcW w:w="22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98"/>
        </w:trPr>
        <w:tc>
          <w:tcPr>
            <w:tcW w:w="2280" w:type="dxa"/>
            <w:vAlign w:val="bottom"/>
          </w:tcPr>
          <w:p>
            <w:pPr>
              <w:ind w:left="180"/>
              <w:spacing w:after="0"/>
              <w:rPr>
                <w:sz w:val="20"/>
                <w:szCs w:val="20"/>
                <w:color w:val="auto"/>
              </w:rPr>
            </w:pPr>
            <w:r>
              <w:rPr>
                <w:rFonts w:ascii="Arial" w:cs="Arial" w:eastAsia="Arial" w:hAnsi="Arial"/>
                <w:sz w:val="16"/>
                <w:szCs w:val="16"/>
                <w:color w:val="auto"/>
              </w:rPr>
              <w:t>Marc Winterhoff</w:t>
            </w:r>
          </w:p>
        </w:tc>
        <w:tc>
          <w:tcPr>
            <w:tcW w:w="3780" w:type="dxa"/>
            <w:vAlign w:val="bottom"/>
          </w:tcPr>
          <w:p>
            <w:pPr>
              <w:ind w:left="720"/>
              <w:spacing w:after="0"/>
              <w:rPr>
                <w:sz w:val="20"/>
                <w:szCs w:val="20"/>
                <w:color w:val="auto"/>
              </w:rPr>
            </w:pPr>
            <w:r>
              <w:rPr>
                <w:rFonts w:ascii="Arial" w:cs="Arial" w:eastAsia="Arial" w:hAnsi="Arial"/>
                <w:sz w:val="16"/>
                <w:szCs w:val="16"/>
                <w:color w:val="auto"/>
              </w:rPr>
              <w:t>Cash Severance</w:t>
            </w:r>
          </w:p>
        </w:tc>
        <w:tc>
          <w:tcPr>
            <w:tcW w:w="1580" w:type="dxa"/>
            <w:vAlign w:val="bottom"/>
          </w:tcPr>
          <w:p>
            <w:pPr>
              <w:ind w:left="120"/>
              <w:spacing w:after="0"/>
              <w:rPr>
                <w:sz w:val="20"/>
                <w:szCs w:val="20"/>
                <w:color w:val="auto"/>
              </w:rPr>
            </w:pPr>
            <w:r>
              <w:rPr>
                <w:rFonts w:ascii="Arial" w:cs="Arial" w:eastAsia="Arial" w:hAnsi="Arial"/>
                <w:sz w:val="16"/>
                <w:szCs w:val="16"/>
                <w:color w:val="auto"/>
              </w:rPr>
              <w:t>981,750</w:t>
            </w:r>
            <w:r>
              <w:rPr>
                <w:rFonts w:ascii="Arial" w:cs="Arial" w:eastAsia="Arial" w:hAnsi="Arial"/>
                <w:sz w:val="19"/>
                <w:szCs w:val="19"/>
                <w:color w:val="auto"/>
                <w:vertAlign w:val="superscript"/>
              </w:rPr>
              <w:t>(2)</w:t>
            </w:r>
          </w:p>
        </w:tc>
        <w:tc>
          <w:tcPr>
            <w:tcW w:w="1500" w:type="dxa"/>
            <w:vAlign w:val="bottom"/>
          </w:tcPr>
          <w:p>
            <w:pPr>
              <w:ind w:left="120"/>
              <w:spacing w:after="0"/>
              <w:rPr>
                <w:sz w:val="20"/>
                <w:szCs w:val="20"/>
                <w:color w:val="auto"/>
              </w:rPr>
            </w:pPr>
            <w:r>
              <w:rPr>
                <w:rFonts w:ascii="Arial" w:cs="Arial" w:eastAsia="Arial" w:hAnsi="Arial"/>
                <w:sz w:val="16"/>
                <w:szCs w:val="16"/>
                <w:color w:val="auto"/>
              </w:rPr>
              <w:t>1,130,500</w:t>
            </w:r>
            <w:r>
              <w:rPr>
                <w:rFonts w:ascii="Arial" w:cs="Arial" w:eastAsia="Arial" w:hAnsi="Arial"/>
                <w:sz w:val="19"/>
                <w:szCs w:val="19"/>
                <w:color w:val="auto"/>
                <w:vertAlign w:val="superscript"/>
              </w:rPr>
              <w:t>(2)</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319"/>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Accelerated Vesting of Equity Awards*</w:t>
            </w:r>
          </w:p>
        </w:tc>
        <w:tc>
          <w:tcPr>
            <w:tcW w:w="1580" w:type="dxa"/>
            <w:vAlign w:val="bottom"/>
          </w:tcPr>
          <w:p>
            <w:pPr>
              <w:ind w:left="120"/>
              <w:spacing w:after="0"/>
              <w:rPr>
                <w:sz w:val="20"/>
                <w:szCs w:val="20"/>
                <w:color w:val="auto"/>
              </w:rPr>
            </w:pPr>
            <w:r>
              <w:rPr>
                <w:rFonts w:ascii="Arial" w:cs="Arial" w:eastAsia="Arial" w:hAnsi="Arial"/>
                <w:sz w:val="16"/>
                <w:szCs w:val="16"/>
                <w:color w:val="auto"/>
              </w:rPr>
              <w:t>8,069,773</w:t>
            </w:r>
            <w:r>
              <w:rPr>
                <w:rFonts w:ascii="Arial" w:cs="Arial" w:eastAsia="Arial" w:hAnsi="Arial"/>
                <w:sz w:val="19"/>
                <w:szCs w:val="19"/>
                <w:color w:val="auto"/>
                <w:vertAlign w:val="superscript"/>
              </w:rPr>
              <w:t>(4)</w:t>
            </w:r>
          </w:p>
        </w:tc>
        <w:tc>
          <w:tcPr>
            <w:tcW w:w="1500" w:type="dxa"/>
            <w:vAlign w:val="bottom"/>
          </w:tcPr>
          <w:p>
            <w:pPr>
              <w:ind w:left="120"/>
              <w:spacing w:after="0"/>
              <w:rPr>
                <w:sz w:val="20"/>
                <w:szCs w:val="20"/>
                <w:color w:val="auto"/>
              </w:rPr>
            </w:pPr>
            <w:r>
              <w:rPr>
                <w:rFonts w:ascii="Arial" w:cs="Arial" w:eastAsia="Arial" w:hAnsi="Arial"/>
                <w:sz w:val="16"/>
                <w:szCs w:val="16"/>
                <w:color w:val="auto"/>
              </w:rPr>
              <w:t>8,069,773</w:t>
            </w:r>
            <w:r>
              <w:rPr>
                <w:rFonts w:ascii="Arial" w:cs="Arial" w:eastAsia="Arial" w:hAnsi="Arial"/>
                <w:sz w:val="19"/>
                <w:szCs w:val="19"/>
                <w:color w:val="auto"/>
                <w:vertAlign w:val="superscript"/>
              </w:rPr>
              <w:t>(5)</w:t>
            </w:r>
          </w:p>
        </w:tc>
        <w:tc>
          <w:tcPr>
            <w:tcW w:w="1280" w:type="dxa"/>
            <w:vAlign w:val="bottom"/>
          </w:tcPr>
          <w:p>
            <w:pPr>
              <w:ind w:left="120"/>
              <w:spacing w:after="0"/>
              <w:rPr>
                <w:sz w:val="20"/>
                <w:szCs w:val="20"/>
                <w:color w:val="auto"/>
              </w:rPr>
            </w:pPr>
            <w:r>
              <w:rPr>
                <w:rFonts w:ascii="Arial" w:cs="Arial" w:eastAsia="Arial" w:hAnsi="Arial"/>
                <w:sz w:val="16"/>
                <w:szCs w:val="16"/>
                <w:color w:val="auto"/>
              </w:rPr>
              <w:t>8,069,773</w:t>
            </w:r>
          </w:p>
        </w:tc>
      </w:tr>
      <w:tr>
        <w:trPr>
          <w:trHeight w:val="319"/>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Health Benefits</w:t>
            </w:r>
          </w:p>
        </w:tc>
        <w:tc>
          <w:tcPr>
            <w:tcW w:w="1580" w:type="dxa"/>
            <w:vAlign w:val="bottom"/>
          </w:tcPr>
          <w:p>
            <w:pPr>
              <w:ind w:left="120"/>
              <w:spacing w:after="0"/>
              <w:rPr>
                <w:sz w:val="20"/>
                <w:szCs w:val="20"/>
                <w:color w:val="auto"/>
              </w:rPr>
            </w:pPr>
            <w:r>
              <w:rPr>
                <w:rFonts w:ascii="Arial" w:cs="Arial" w:eastAsia="Arial" w:hAnsi="Arial"/>
                <w:sz w:val="16"/>
                <w:szCs w:val="16"/>
                <w:color w:val="auto"/>
              </w:rPr>
              <w:t>15,013</w:t>
            </w:r>
            <w:r>
              <w:rPr>
                <w:rFonts w:ascii="Arial" w:cs="Arial" w:eastAsia="Arial" w:hAnsi="Arial"/>
                <w:sz w:val="19"/>
                <w:szCs w:val="19"/>
                <w:color w:val="auto"/>
                <w:vertAlign w:val="superscript"/>
              </w:rPr>
              <w:t>(6)</w:t>
            </w:r>
          </w:p>
        </w:tc>
        <w:tc>
          <w:tcPr>
            <w:tcW w:w="1500" w:type="dxa"/>
            <w:vAlign w:val="bottom"/>
          </w:tcPr>
          <w:p>
            <w:pPr>
              <w:ind w:left="120"/>
              <w:spacing w:after="0"/>
              <w:rPr>
                <w:sz w:val="20"/>
                <w:szCs w:val="20"/>
                <w:color w:val="auto"/>
              </w:rPr>
            </w:pPr>
            <w:r>
              <w:rPr>
                <w:rFonts w:ascii="Arial" w:cs="Arial" w:eastAsia="Arial" w:hAnsi="Arial"/>
                <w:sz w:val="16"/>
                <w:szCs w:val="16"/>
                <w:color w:val="auto"/>
              </w:rPr>
              <w:t>20,018</w:t>
            </w:r>
            <w:r>
              <w:rPr>
                <w:rFonts w:ascii="Arial" w:cs="Arial" w:eastAsia="Arial" w:hAnsi="Arial"/>
                <w:sz w:val="19"/>
                <w:szCs w:val="19"/>
                <w:color w:val="auto"/>
                <w:vertAlign w:val="superscript"/>
              </w:rPr>
              <w:t>(6)</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55"/>
        </w:trPr>
        <w:tc>
          <w:tcPr>
            <w:tcW w:w="2280" w:type="dxa"/>
            <w:vAlign w:val="bottom"/>
          </w:tcPr>
          <w:p>
            <w:pPr>
              <w:spacing w:after="0"/>
              <w:rPr>
                <w:sz w:val="22"/>
                <w:szCs w:val="22"/>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Total</w:t>
            </w:r>
          </w:p>
        </w:tc>
        <w:tc>
          <w:tcPr>
            <w:tcW w:w="1580" w:type="dxa"/>
            <w:vAlign w:val="bottom"/>
          </w:tcPr>
          <w:p>
            <w:pPr>
              <w:ind w:left="120"/>
              <w:spacing w:after="0"/>
              <w:rPr>
                <w:sz w:val="20"/>
                <w:szCs w:val="20"/>
                <w:color w:val="auto"/>
              </w:rPr>
            </w:pPr>
            <w:r>
              <w:rPr>
                <w:rFonts w:ascii="Arial" w:cs="Arial" w:eastAsia="Arial" w:hAnsi="Arial"/>
                <w:sz w:val="16"/>
                <w:szCs w:val="16"/>
                <w:color w:val="auto"/>
              </w:rPr>
              <w:t>$9,066,536</w:t>
            </w:r>
          </w:p>
        </w:tc>
        <w:tc>
          <w:tcPr>
            <w:tcW w:w="1500" w:type="dxa"/>
            <w:vAlign w:val="bottom"/>
          </w:tcPr>
          <w:p>
            <w:pPr>
              <w:ind w:left="120"/>
              <w:spacing w:after="0"/>
              <w:rPr>
                <w:sz w:val="20"/>
                <w:szCs w:val="20"/>
                <w:color w:val="auto"/>
              </w:rPr>
            </w:pPr>
            <w:r>
              <w:rPr>
                <w:rFonts w:ascii="Arial" w:cs="Arial" w:eastAsia="Arial" w:hAnsi="Arial"/>
                <w:sz w:val="16"/>
                <w:szCs w:val="16"/>
                <w:color w:val="auto"/>
              </w:rPr>
              <w:t>$9,220,291</w:t>
            </w:r>
          </w:p>
        </w:tc>
        <w:tc>
          <w:tcPr>
            <w:tcW w:w="1280" w:type="dxa"/>
            <w:vAlign w:val="bottom"/>
          </w:tcPr>
          <w:p>
            <w:pPr>
              <w:ind w:left="120"/>
              <w:spacing w:after="0"/>
              <w:rPr>
                <w:sz w:val="20"/>
                <w:szCs w:val="20"/>
                <w:color w:val="auto"/>
              </w:rPr>
            </w:pPr>
            <w:r>
              <w:rPr>
                <w:rFonts w:ascii="Arial" w:cs="Arial" w:eastAsia="Arial" w:hAnsi="Arial"/>
                <w:sz w:val="16"/>
                <w:szCs w:val="16"/>
                <w:color w:val="auto"/>
              </w:rPr>
              <w:t>$8,069,773</w:t>
            </w:r>
          </w:p>
        </w:tc>
      </w:tr>
      <w:tr>
        <w:trPr>
          <w:trHeight w:val="65"/>
        </w:trPr>
        <w:tc>
          <w:tcPr>
            <w:tcW w:w="228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98"/>
        </w:trPr>
        <w:tc>
          <w:tcPr>
            <w:tcW w:w="2280" w:type="dxa"/>
            <w:vAlign w:val="bottom"/>
          </w:tcPr>
          <w:p>
            <w:pPr>
              <w:ind w:left="180"/>
              <w:spacing w:after="0"/>
              <w:rPr>
                <w:sz w:val="20"/>
                <w:szCs w:val="20"/>
                <w:color w:val="auto"/>
              </w:rPr>
            </w:pPr>
            <w:r>
              <w:rPr>
                <w:rFonts w:ascii="Arial" w:cs="Arial" w:eastAsia="Arial" w:hAnsi="Arial"/>
                <w:sz w:val="16"/>
                <w:szCs w:val="16"/>
                <w:color w:val="auto"/>
              </w:rPr>
              <w:t>Eric Bach</w:t>
            </w:r>
          </w:p>
        </w:tc>
        <w:tc>
          <w:tcPr>
            <w:tcW w:w="3780" w:type="dxa"/>
            <w:vAlign w:val="bottom"/>
          </w:tcPr>
          <w:p>
            <w:pPr>
              <w:ind w:left="720"/>
              <w:spacing w:after="0"/>
              <w:rPr>
                <w:sz w:val="20"/>
                <w:szCs w:val="20"/>
                <w:color w:val="auto"/>
              </w:rPr>
            </w:pPr>
            <w:r>
              <w:rPr>
                <w:rFonts w:ascii="Arial" w:cs="Arial" w:eastAsia="Arial" w:hAnsi="Arial"/>
                <w:sz w:val="16"/>
                <w:szCs w:val="16"/>
                <w:color w:val="auto"/>
              </w:rPr>
              <w:t>Cash Severance</w:t>
            </w:r>
          </w:p>
        </w:tc>
        <w:tc>
          <w:tcPr>
            <w:tcW w:w="1580" w:type="dxa"/>
            <w:vAlign w:val="bottom"/>
          </w:tcPr>
          <w:p>
            <w:pPr>
              <w:ind w:left="120"/>
              <w:spacing w:after="0"/>
              <w:rPr>
                <w:sz w:val="20"/>
                <w:szCs w:val="20"/>
                <w:color w:val="auto"/>
              </w:rPr>
            </w:pPr>
            <w:r>
              <w:rPr>
                <w:rFonts w:ascii="Arial" w:cs="Arial" w:eastAsia="Arial" w:hAnsi="Arial"/>
                <w:sz w:val="16"/>
                <w:szCs w:val="16"/>
                <w:color w:val="auto"/>
              </w:rPr>
              <w:t>453,750</w:t>
            </w:r>
            <w:r>
              <w:rPr>
                <w:rFonts w:ascii="Arial" w:cs="Arial" w:eastAsia="Arial" w:hAnsi="Arial"/>
                <w:sz w:val="19"/>
                <w:szCs w:val="19"/>
                <w:color w:val="auto"/>
                <w:vertAlign w:val="superscript"/>
              </w:rPr>
              <w:t>(2)</w:t>
            </w:r>
          </w:p>
        </w:tc>
        <w:tc>
          <w:tcPr>
            <w:tcW w:w="1500" w:type="dxa"/>
            <w:vAlign w:val="bottom"/>
          </w:tcPr>
          <w:p>
            <w:pPr>
              <w:ind w:left="120"/>
              <w:spacing w:after="0"/>
              <w:rPr>
                <w:sz w:val="20"/>
                <w:szCs w:val="20"/>
                <w:color w:val="auto"/>
              </w:rPr>
            </w:pPr>
            <w:r>
              <w:rPr>
                <w:rFonts w:ascii="Arial" w:cs="Arial" w:eastAsia="Arial" w:hAnsi="Arial"/>
                <w:sz w:val="16"/>
                <w:szCs w:val="16"/>
                <w:color w:val="auto"/>
              </w:rPr>
              <w:t>1,058,750</w:t>
            </w:r>
            <w:r>
              <w:rPr>
                <w:rFonts w:ascii="Arial" w:cs="Arial" w:eastAsia="Arial" w:hAnsi="Arial"/>
                <w:sz w:val="19"/>
                <w:szCs w:val="19"/>
                <w:color w:val="auto"/>
                <w:vertAlign w:val="superscript"/>
              </w:rPr>
              <w:t>(2)</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319"/>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Accelerated Vesting of Equity Awards*</w:t>
            </w:r>
          </w:p>
        </w:tc>
        <w:tc>
          <w:tcPr>
            <w:tcW w:w="1580" w:type="dxa"/>
            <w:vAlign w:val="bottom"/>
          </w:tcPr>
          <w:p>
            <w:pPr>
              <w:ind w:left="120"/>
              <w:spacing w:after="0"/>
              <w:rPr>
                <w:sz w:val="20"/>
                <w:szCs w:val="20"/>
                <w:color w:val="auto"/>
              </w:rPr>
            </w:pPr>
            <w:r>
              <w:rPr>
                <w:rFonts w:ascii="Arial" w:cs="Arial" w:eastAsia="Arial" w:hAnsi="Arial"/>
                <w:sz w:val="16"/>
                <w:szCs w:val="16"/>
                <w:color w:val="auto"/>
              </w:rPr>
              <w:t>124,762</w:t>
            </w:r>
            <w:r>
              <w:rPr>
                <w:rFonts w:ascii="Arial" w:cs="Arial" w:eastAsia="Arial" w:hAnsi="Arial"/>
                <w:sz w:val="19"/>
                <w:szCs w:val="19"/>
                <w:color w:val="auto"/>
                <w:vertAlign w:val="superscript"/>
              </w:rPr>
              <w:t>(4)</w:t>
            </w:r>
          </w:p>
        </w:tc>
        <w:tc>
          <w:tcPr>
            <w:tcW w:w="1500" w:type="dxa"/>
            <w:vAlign w:val="bottom"/>
          </w:tcPr>
          <w:p>
            <w:pPr>
              <w:ind w:left="120"/>
              <w:spacing w:after="0"/>
              <w:rPr>
                <w:sz w:val="20"/>
                <w:szCs w:val="20"/>
                <w:color w:val="auto"/>
              </w:rPr>
            </w:pPr>
            <w:r>
              <w:rPr>
                <w:rFonts w:ascii="Arial" w:cs="Arial" w:eastAsia="Arial" w:hAnsi="Arial"/>
                <w:sz w:val="16"/>
                <w:szCs w:val="16"/>
                <w:color w:val="auto"/>
              </w:rPr>
              <w:t>8,501,673</w:t>
            </w:r>
            <w:r>
              <w:rPr>
                <w:rFonts w:ascii="Arial" w:cs="Arial" w:eastAsia="Arial" w:hAnsi="Arial"/>
                <w:sz w:val="19"/>
                <w:szCs w:val="19"/>
                <w:color w:val="auto"/>
                <w:vertAlign w:val="superscript"/>
              </w:rPr>
              <w:t>(5)</w:t>
            </w:r>
          </w:p>
        </w:tc>
        <w:tc>
          <w:tcPr>
            <w:tcW w:w="1280" w:type="dxa"/>
            <w:vAlign w:val="bottom"/>
          </w:tcPr>
          <w:p>
            <w:pPr>
              <w:ind w:left="120"/>
              <w:spacing w:after="0"/>
              <w:rPr>
                <w:sz w:val="20"/>
                <w:szCs w:val="20"/>
                <w:color w:val="auto"/>
              </w:rPr>
            </w:pPr>
            <w:r>
              <w:rPr>
                <w:rFonts w:ascii="Arial" w:cs="Arial" w:eastAsia="Arial" w:hAnsi="Arial"/>
                <w:sz w:val="16"/>
                <w:szCs w:val="16"/>
                <w:color w:val="auto"/>
              </w:rPr>
              <w:t>8,501,673</w:t>
            </w:r>
          </w:p>
        </w:tc>
      </w:tr>
      <w:tr>
        <w:trPr>
          <w:trHeight w:val="319"/>
        </w:trPr>
        <w:tc>
          <w:tcPr>
            <w:tcW w:w="2280" w:type="dxa"/>
            <w:vAlign w:val="bottom"/>
          </w:tcPr>
          <w:p>
            <w:pPr>
              <w:spacing w:after="0"/>
              <w:rPr>
                <w:sz w:val="24"/>
                <w:szCs w:val="24"/>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Health Benefits</w:t>
            </w:r>
          </w:p>
        </w:tc>
        <w:tc>
          <w:tcPr>
            <w:tcW w:w="1580" w:type="dxa"/>
            <w:vAlign w:val="bottom"/>
          </w:tcPr>
          <w:p>
            <w:pPr>
              <w:ind w:left="120"/>
              <w:spacing w:after="0"/>
              <w:rPr>
                <w:sz w:val="20"/>
                <w:szCs w:val="20"/>
                <w:color w:val="auto"/>
              </w:rPr>
            </w:pPr>
            <w:r>
              <w:rPr>
                <w:rFonts w:ascii="Arial" w:cs="Arial" w:eastAsia="Arial" w:hAnsi="Arial"/>
                <w:sz w:val="16"/>
                <w:szCs w:val="16"/>
                <w:color w:val="auto"/>
              </w:rPr>
              <w:t>15,013</w:t>
            </w:r>
            <w:r>
              <w:rPr>
                <w:rFonts w:ascii="Arial" w:cs="Arial" w:eastAsia="Arial" w:hAnsi="Arial"/>
                <w:sz w:val="19"/>
                <w:szCs w:val="19"/>
                <w:color w:val="auto"/>
                <w:vertAlign w:val="superscript"/>
              </w:rPr>
              <w:t>(6)</w:t>
            </w:r>
          </w:p>
        </w:tc>
        <w:tc>
          <w:tcPr>
            <w:tcW w:w="1500" w:type="dxa"/>
            <w:vAlign w:val="bottom"/>
          </w:tcPr>
          <w:p>
            <w:pPr>
              <w:ind w:left="120"/>
              <w:spacing w:after="0"/>
              <w:rPr>
                <w:sz w:val="20"/>
                <w:szCs w:val="20"/>
                <w:color w:val="auto"/>
              </w:rPr>
            </w:pPr>
            <w:r>
              <w:rPr>
                <w:rFonts w:ascii="Arial" w:cs="Arial" w:eastAsia="Arial" w:hAnsi="Arial"/>
                <w:sz w:val="16"/>
                <w:szCs w:val="16"/>
                <w:color w:val="auto"/>
              </w:rPr>
              <w:t>20,018</w:t>
            </w:r>
            <w:r>
              <w:rPr>
                <w:rFonts w:ascii="Arial" w:cs="Arial" w:eastAsia="Arial" w:hAnsi="Arial"/>
                <w:sz w:val="19"/>
                <w:szCs w:val="19"/>
                <w:color w:val="auto"/>
                <w:vertAlign w:val="superscript"/>
              </w:rPr>
              <w:t>(6)</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55"/>
        </w:trPr>
        <w:tc>
          <w:tcPr>
            <w:tcW w:w="2280" w:type="dxa"/>
            <w:vAlign w:val="bottom"/>
          </w:tcPr>
          <w:p>
            <w:pPr>
              <w:spacing w:after="0"/>
              <w:rPr>
                <w:sz w:val="22"/>
                <w:szCs w:val="22"/>
                <w:color w:val="auto"/>
              </w:rPr>
            </w:pPr>
          </w:p>
        </w:tc>
        <w:tc>
          <w:tcPr>
            <w:tcW w:w="3780" w:type="dxa"/>
            <w:vAlign w:val="bottom"/>
          </w:tcPr>
          <w:p>
            <w:pPr>
              <w:ind w:left="720"/>
              <w:spacing w:after="0"/>
              <w:rPr>
                <w:sz w:val="20"/>
                <w:szCs w:val="20"/>
                <w:color w:val="auto"/>
              </w:rPr>
            </w:pPr>
            <w:r>
              <w:rPr>
                <w:rFonts w:ascii="Arial" w:cs="Arial" w:eastAsia="Arial" w:hAnsi="Arial"/>
                <w:sz w:val="16"/>
                <w:szCs w:val="16"/>
                <w:color w:val="auto"/>
              </w:rPr>
              <w:t>Total</w:t>
            </w:r>
          </w:p>
        </w:tc>
        <w:tc>
          <w:tcPr>
            <w:tcW w:w="1580" w:type="dxa"/>
            <w:vAlign w:val="bottom"/>
          </w:tcPr>
          <w:p>
            <w:pPr>
              <w:ind w:left="120"/>
              <w:spacing w:after="0"/>
              <w:rPr>
                <w:sz w:val="20"/>
                <w:szCs w:val="20"/>
                <w:color w:val="auto"/>
              </w:rPr>
            </w:pPr>
            <w:r>
              <w:rPr>
                <w:rFonts w:ascii="Arial" w:cs="Arial" w:eastAsia="Arial" w:hAnsi="Arial"/>
                <w:sz w:val="16"/>
                <w:szCs w:val="16"/>
                <w:color w:val="auto"/>
              </w:rPr>
              <w:t>$593,525</w:t>
            </w:r>
          </w:p>
        </w:tc>
        <w:tc>
          <w:tcPr>
            <w:tcW w:w="1500" w:type="dxa"/>
            <w:vAlign w:val="bottom"/>
          </w:tcPr>
          <w:p>
            <w:pPr>
              <w:ind w:left="120"/>
              <w:spacing w:after="0"/>
              <w:rPr>
                <w:sz w:val="20"/>
                <w:szCs w:val="20"/>
                <w:color w:val="auto"/>
              </w:rPr>
            </w:pPr>
            <w:r>
              <w:rPr>
                <w:rFonts w:ascii="Arial" w:cs="Arial" w:eastAsia="Arial" w:hAnsi="Arial"/>
                <w:sz w:val="16"/>
                <w:szCs w:val="16"/>
                <w:color w:val="auto"/>
              </w:rPr>
              <w:t>$9,580,441</w:t>
            </w:r>
          </w:p>
        </w:tc>
        <w:tc>
          <w:tcPr>
            <w:tcW w:w="1280" w:type="dxa"/>
            <w:vAlign w:val="bottom"/>
          </w:tcPr>
          <w:p>
            <w:pPr>
              <w:ind w:left="120"/>
              <w:spacing w:after="0"/>
              <w:rPr>
                <w:sz w:val="20"/>
                <w:szCs w:val="20"/>
                <w:color w:val="auto"/>
              </w:rPr>
            </w:pPr>
            <w:r>
              <w:rPr>
                <w:rFonts w:ascii="Arial" w:cs="Arial" w:eastAsia="Arial" w:hAnsi="Arial"/>
                <w:sz w:val="16"/>
                <w:szCs w:val="16"/>
                <w:color w:val="auto"/>
              </w:rPr>
              <w:t>$8,501,673</w:t>
            </w:r>
          </w:p>
        </w:tc>
      </w:tr>
      <w:tr>
        <w:trPr>
          <w:trHeight w:val="138"/>
        </w:trPr>
        <w:tc>
          <w:tcPr>
            <w:tcW w:w="228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bl>
    <w:p>
      <w:pPr>
        <w:spacing w:after="0" w:line="313" w:lineRule="exact"/>
        <w:rPr>
          <w:sz w:val="20"/>
          <w:szCs w:val="20"/>
          <w:color w:val="auto"/>
        </w:rPr>
      </w:pPr>
    </w:p>
    <w:p>
      <w:pPr>
        <w:ind w:left="82" w:hanging="82"/>
        <w:spacing w:after="0"/>
        <w:tabs>
          <w:tab w:leader="none" w:pos="82" w:val="left"/>
        </w:tabs>
        <w:numPr>
          <w:ilvl w:val="0"/>
          <w:numId w:val="52"/>
        </w:numPr>
        <w:rPr>
          <w:rFonts w:ascii="Arial" w:cs="Arial" w:eastAsia="Arial" w:hAnsi="Arial"/>
          <w:sz w:val="12"/>
          <w:szCs w:val="12"/>
          <w:color w:val="auto"/>
        </w:rPr>
      </w:pPr>
      <w:r>
        <w:rPr>
          <w:rFonts w:ascii="Arial" w:cs="Arial" w:eastAsia="Arial" w:hAnsi="Arial"/>
          <w:sz w:val="12"/>
          <w:szCs w:val="12"/>
          <w:color w:val="auto"/>
        </w:rPr>
        <w:t>Equity awards are valued at $3.02 per share, the closing price of a share of our Common Stock on December 31, 2024, the last trading day of fiscal year 2024.</w:t>
      </w:r>
    </w:p>
    <w:p>
      <w:pPr>
        <w:spacing w:after="0" w:line="111" w:lineRule="exact"/>
        <w:rPr>
          <w:rFonts w:ascii="Arial" w:cs="Arial" w:eastAsia="Arial" w:hAnsi="Arial"/>
          <w:sz w:val="12"/>
          <w:szCs w:val="12"/>
          <w:color w:val="auto"/>
        </w:rPr>
      </w:pPr>
    </w:p>
    <w:p>
      <w:pPr>
        <w:ind w:left="142" w:right="20" w:hanging="142"/>
        <w:spacing w:after="0" w:line="256" w:lineRule="auto"/>
        <w:tabs>
          <w:tab w:leader="none" w:pos="142"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table assumes that Mr. Rawlinson terminated employment on December 31, 2024, and that he received severance in connection with his employment documentation in effect at such time. In February 2025, Mr. Rawlinson entered into a Transition Agreement, as described under the heading “</w:t>
      </w:r>
      <w:r>
        <w:rPr>
          <w:rFonts w:ascii="Arial" w:cs="Arial" w:eastAsia="Arial" w:hAnsi="Arial"/>
          <w:sz w:val="12"/>
          <w:szCs w:val="12"/>
          <w:i w:val="1"/>
          <w:iCs w:val="1"/>
          <w:color w:val="auto"/>
        </w:rPr>
        <w:t>Mr. Rawlinson Transition Agreement</w:t>
      </w:r>
      <w:r>
        <w:rPr>
          <w:rFonts w:ascii="Arial" w:cs="Arial" w:eastAsia="Arial" w:hAnsi="Arial"/>
          <w:sz w:val="12"/>
          <w:szCs w:val="12"/>
          <w:color w:val="auto"/>
        </w:rPr>
        <w:t>.”</w:t>
      </w:r>
    </w:p>
    <w:p>
      <w:pPr>
        <w:spacing w:after="0" w:line="95" w:lineRule="exact"/>
        <w:rPr>
          <w:sz w:val="20"/>
          <w:szCs w:val="20"/>
          <w:color w:val="auto"/>
        </w:rPr>
      </w:pPr>
    </w:p>
    <w:p>
      <w:pPr>
        <w:ind w:left="142" w:right="20" w:hanging="142"/>
        <w:spacing w:after="0" w:line="212" w:lineRule="auto"/>
        <w:tabs>
          <w:tab w:leader="none" w:pos="142" w:val="left"/>
        </w:tabs>
        <w:numPr>
          <w:ilvl w:val="0"/>
          <w:numId w:val="54"/>
        </w:numPr>
        <w:rPr>
          <w:rFonts w:ascii="Arial" w:cs="Arial" w:eastAsia="Arial" w:hAnsi="Arial"/>
          <w:sz w:val="17"/>
          <w:szCs w:val="17"/>
          <w:color w:val="auto"/>
          <w:vertAlign w:val="superscript"/>
        </w:rPr>
      </w:pPr>
      <w:r>
        <w:rPr>
          <w:rFonts w:ascii="Arial" w:cs="Arial" w:eastAsia="Arial" w:hAnsi="Arial"/>
          <w:sz w:val="11"/>
          <w:szCs w:val="11"/>
          <w:color w:val="auto"/>
        </w:rPr>
        <w:t>Death or Disability Accelerated Vesting. Under the Acceleration Policy, except in the case of the CEO Time-Based RSUs and CEO Performance RSUs, upon the death or disability of a NEO on December 31, 2024, all of such NEO’s outstanding equity awards would have vested.</w:t>
      </w:r>
    </w:p>
    <w:p>
      <w:pPr>
        <w:spacing w:after="0" w:line="104" w:lineRule="exact"/>
        <w:rPr>
          <w:rFonts w:ascii="Arial" w:cs="Arial" w:eastAsia="Arial" w:hAnsi="Arial"/>
          <w:sz w:val="17"/>
          <w:szCs w:val="17"/>
          <w:color w:val="auto"/>
          <w:vertAlign w:val="superscript"/>
        </w:rPr>
      </w:pPr>
    </w:p>
    <w:p>
      <w:pPr>
        <w:ind w:left="142" w:right="60" w:hanging="142"/>
        <w:spacing w:after="0" w:line="241" w:lineRule="auto"/>
        <w:tabs>
          <w:tab w:leader="none" w:pos="142" w:val="left"/>
        </w:tabs>
        <w:numPr>
          <w:ilvl w:val="0"/>
          <w:numId w:val="54"/>
        </w:numPr>
        <w:rPr>
          <w:rFonts w:ascii="Arial" w:cs="Arial" w:eastAsia="Arial" w:hAnsi="Arial"/>
          <w:sz w:val="17"/>
          <w:szCs w:val="17"/>
          <w:color w:val="auto"/>
          <w:vertAlign w:val="superscript"/>
        </w:rPr>
      </w:pPr>
      <w:r>
        <w:rPr>
          <w:rFonts w:ascii="Arial" w:cs="Arial" w:eastAsia="Arial" w:hAnsi="Arial"/>
          <w:sz w:val="11"/>
          <w:szCs w:val="11"/>
          <w:color w:val="auto"/>
        </w:rPr>
        <w:t>Cash Severance. Under the Executive Severance Plan, the amount includes (i) for a qualifying non-Change in Control Termination, base salary continuation for the number of months set forth in the NEO’s participation agreement (12 months for Mr. Rawlinson, six months for Mr. Dhingra, and nine months for Messrs. Winterhoff and Bach); and (ii) for a qualifying Change in Control Termination, a lump-sum payment equal to the sum of the NEO’s annual base salary and target annual cash incentive divided by 12, and multiplied by the number of months set forth in the NEO’s participation agreement (18 months for Mr. Rawlinson, nine months for Mr. Dhingra, and 12 months for Messrs. Winterhoff and Bach). Pursuant to the terms of Mr. Winterhoff’s offer letter, he is eligible to receive a prorated bonus upon a qualified termination.</w:t>
      </w:r>
    </w:p>
    <w:p>
      <w:pPr>
        <w:spacing w:after="0" w:line="103" w:lineRule="exact"/>
        <w:rPr>
          <w:rFonts w:ascii="Arial" w:cs="Arial" w:eastAsia="Arial" w:hAnsi="Arial"/>
          <w:sz w:val="17"/>
          <w:szCs w:val="17"/>
          <w:color w:val="auto"/>
          <w:vertAlign w:val="superscript"/>
        </w:rPr>
      </w:pPr>
    </w:p>
    <w:p>
      <w:pPr>
        <w:ind w:left="142" w:hanging="142"/>
        <w:spacing w:after="0" w:line="248" w:lineRule="auto"/>
        <w:tabs>
          <w:tab w:leader="none" w:pos="142" w:val="left"/>
        </w:tabs>
        <w:numPr>
          <w:ilvl w:val="0"/>
          <w:numId w:val="54"/>
        </w:numPr>
        <w:rPr>
          <w:rFonts w:ascii="Arial" w:cs="Arial" w:eastAsia="Arial" w:hAnsi="Arial"/>
          <w:sz w:val="17"/>
          <w:szCs w:val="17"/>
          <w:color w:val="auto"/>
          <w:vertAlign w:val="superscript"/>
        </w:rPr>
      </w:pPr>
      <w:r>
        <w:rPr>
          <w:rFonts w:ascii="Arial" w:cs="Arial" w:eastAsia="Arial" w:hAnsi="Arial"/>
          <w:sz w:val="11"/>
          <w:szCs w:val="11"/>
          <w:color w:val="auto"/>
        </w:rPr>
        <w:t>2021 CEO Grant. Upon a termination for any reason that is not in connection with a change in control, the unvested CEO Time-Based RSUs would be forfeited; and forfeiture is assumed for the unvested CEO Performance RSUs, which would remain outstanding for six months following such termination and may vest to the extent that the applicable six-month market capitalization threshold has been satisfied. For a Change in Control Termination, the amount includes the unvested CEO Time-Based RSUs as of December 31, 2024 valued at $3.02 per share. The CEO Performance RSUs would vest to the extent the change in control value (the product of the number of shares outstanding as of such date and the per share price received in the change in control) equaled or exceeded the six-month market capitalization threshold applicable to such tranche. Assuming a per share price in such a hypothetical change in control on December 31, 2024 equal to $3.02, the outstanding CEO Performance RSUs would not have vested and would have been forfeited upon such change in control. Refer to “Compensation Discussion and Analysis — 2021 CEO Grant” for additional information regarding the CEO Time-Based RSUs and CEO Performance RSUs. No value is attributable to the outstanding stock options, which were fully vested prior to December 31, 2024.</w:t>
      </w:r>
    </w:p>
    <w:p>
      <w:pPr>
        <w:spacing w:after="0" w:line="241" w:lineRule="exact"/>
        <w:rPr>
          <w:rFonts w:ascii="Arial" w:cs="Arial" w:eastAsia="Arial" w:hAnsi="Arial"/>
          <w:sz w:val="17"/>
          <w:szCs w:val="17"/>
          <w:color w:val="auto"/>
          <w:vertAlign w:val="superscript"/>
        </w:rPr>
      </w:pPr>
    </w:p>
    <w:p>
      <w:pPr>
        <w:ind w:left="142" w:hanging="142"/>
        <w:spacing w:after="0" w:line="245" w:lineRule="auto"/>
        <w:tabs>
          <w:tab w:leader="none" w:pos="142" w:val="left"/>
        </w:tabs>
        <w:numPr>
          <w:ilvl w:val="0"/>
          <w:numId w:val="54"/>
        </w:numPr>
        <w:rPr>
          <w:rFonts w:ascii="Arial" w:cs="Arial" w:eastAsia="Arial" w:hAnsi="Arial"/>
          <w:sz w:val="17"/>
          <w:szCs w:val="17"/>
          <w:color w:val="auto"/>
          <w:vertAlign w:val="superscript"/>
        </w:rPr>
      </w:pPr>
      <w:r>
        <w:rPr>
          <w:rFonts w:ascii="Arial" w:cs="Arial" w:eastAsia="Arial" w:hAnsi="Arial"/>
          <w:sz w:val="11"/>
          <w:szCs w:val="11"/>
          <w:color w:val="auto"/>
        </w:rPr>
        <w:t>Qualified Non-Change in Control Termination. In general, under the Executive Severance Plan, unvested equity awards are forfeited upon the NEO’s termination for any reason that is not in connection with a change in control. However, vesting for equity awards granted prior to the July 23, 2021 effective date of the Executive Severance Plan (the “Effective Date”) accelerate by a percentage equal to 25% plus 5% for each year of service, up to a maximum of 50% (the “Applicable Percentage”). Mr. Bach’s unvested equity awards granted prior to the Effective Date include 41,312 RSUs, the value of a share is $3.02, and his Applicable Percentage is 50%. Messrs. Gagan and Winterhoff do not have any equity awards that were granted prior to the Effective Date. Pursuant to Mr. Winterhoff’s offer letter, his unvested equity awards in the form of 535,434 RSUs and 535,433 Premium-Priced Options with an exercise price of $5.25 fully accelerate upon his qualifying termination. The amount for Mr. Winterhoff includes (i) the unvested RSUs valued at $3.02 per share; (ii) unvested</w:t>
      </w:r>
    </w:p>
    <w:p>
      <w:pPr>
        <w:sectPr>
          <w:pgSz w:w="11880" w:h="15480" w:orient="portrait"/>
          <w:cols w:equalWidth="0" w:num="1">
            <w:col w:w="10422"/>
          </w:cols>
          <w:pgMar w:left="718" w:top="876" w:right="740" w:bottom="0" w:gutter="0" w:footer="0" w:header="0"/>
        </w:sectPr>
      </w:pPr>
    </w:p>
    <w:p>
      <w:pPr>
        <w:spacing w:after="0" w:line="200" w:lineRule="exact"/>
        <w:rPr>
          <w:sz w:val="20"/>
          <w:szCs w:val="20"/>
          <w:color w:val="auto"/>
        </w:rPr>
      </w:pPr>
    </w:p>
    <w:p>
      <w:pPr>
        <w:spacing w:after="0" w:line="352"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876" w:right="740" w:bottom="0" w:gutter="0" w:footer="0" w:header="0"/>
          <w:type w:val="continuous"/>
        </w:sectPr>
      </w:pPr>
    </w:p>
    <w:bookmarkStart w:id="74" w:name="page75"/>
    <w:bookmarkEnd w:id="74"/>
    <w:p>
      <w:pPr>
        <w:ind w:left="142" w:right="120"/>
        <w:spacing w:after="0" w:line="243" w:lineRule="auto"/>
        <w:rPr>
          <w:sz w:val="20"/>
          <w:szCs w:val="20"/>
          <w:color w:val="auto"/>
        </w:rPr>
      </w:pPr>
      <w:r>
        <w:rPr>
          <w:rFonts w:ascii="Arial" w:cs="Arial" w:eastAsia="Arial" w:hAnsi="Arial"/>
          <w:sz w:val="12"/>
          <w:szCs w:val="12"/>
          <w:color w:val="auto"/>
        </w:rPr>
        <w:t>stock options valued by the product of (a) the difference between $3.02 (the closing price of a share of our Common Stock on December 31, 2024, the last trading day of fiscal year 2024) and $5.25 (the exercise price per share for each option) by (b) the number of unvested shares subject to the option, unless such product results in a negative value;</w:t>
      </w:r>
    </w:p>
    <w:p>
      <w:pPr>
        <w:ind w:left="142"/>
        <w:spacing w:after="0"/>
        <w:rPr>
          <w:sz w:val="20"/>
          <w:szCs w:val="20"/>
          <w:color w:val="auto"/>
        </w:rPr>
      </w:pPr>
      <w:r>
        <w:rPr>
          <w:rFonts w:ascii="Arial" w:cs="Arial" w:eastAsia="Arial" w:hAnsi="Arial"/>
          <w:sz w:val="12"/>
          <w:szCs w:val="12"/>
          <w:color w:val="auto"/>
        </w:rPr>
        <w:t>(iii) and PSUs with a grant value of $6,000,000, subject to applicable performance-vesting conditions.</w:t>
      </w:r>
    </w:p>
    <w:p>
      <w:pPr>
        <w:spacing w:after="0" w:line="111" w:lineRule="exact"/>
        <w:rPr>
          <w:sz w:val="20"/>
          <w:szCs w:val="20"/>
          <w:color w:val="auto"/>
        </w:rPr>
      </w:pPr>
    </w:p>
    <w:p>
      <w:pPr>
        <w:ind w:left="142" w:hanging="142"/>
        <w:spacing w:after="0" w:line="241" w:lineRule="auto"/>
        <w:tabs>
          <w:tab w:leader="none" w:pos="142" w:val="left"/>
        </w:tabs>
        <w:numPr>
          <w:ilvl w:val="0"/>
          <w:numId w:val="55"/>
        </w:numPr>
        <w:rPr>
          <w:rFonts w:ascii="Arial" w:cs="Arial" w:eastAsia="Arial" w:hAnsi="Arial"/>
          <w:sz w:val="17"/>
          <w:szCs w:val="17"/>
          <w:color w:val="auto"/>
          <w:vertAlign w:val="superscript"/>
        </w:rPr>
      </w:pPr>
      <w:r>
        <w:rPr>
          <w:rFonts w:ascii="Arial" w:cs="Arial" w:eastAsia="Arial" w:hAnsi="Arial"/>
          <w:sz w:val="11"/>
          <w:szCs w:val="11"/>
          <w:color w:val="auto"/>
        </w:rPr>
        <w:t>Qualified Change in Control Termination. Amount includes the value of unvested options computed by multiplying (i) the difference between (a) $3.02 and (b) the exercise price per share for each option (but not below zero) by (ii) the number of unvested shares subject to the option. Amount also includes unvested RSUs and PSUs valued at $3.02 per share based on target performance with respect to PSUs. Pursuant to Mr. Winterhoff’s offer letter, the amount for Mr. Winterhoff includes (i) the unvested RSUs valued at $3.02 per share; (ii) unvested stock options valued by the product of (a) the difference between $3.02 (the closing price of a share of our Common Stock on December 31, 2024, the last trading day of fiscal year 2024) and $5.25 (the exercise price per share for each option) by (b) the number of unvested shares subject to the option, unless such product results in a negative value; (iii) and PSUs with a grant value of $6,000,000, subject to applicable performance-vesting conditions.</w:t>
      </w:r>
    </w:p>
    <w:p>
      <w:pPr>
        <w:spacing w:after="0" w:line="243" w:lineRule="exact"/>
        <w:rPr>
          <w:rFonts w:ascii="Arial" w:cs="Arial" w:eastAsia="Arial" w:hAnsi="Arial"/>
          <w:sz w:val="17"/>
          <w:szCs w:val="17"/>
          <w:color w:val="auto"/>
          <w:vertAlign w:val="superscript"/>
        </w:rPr>
      </w:pPr>
    </w:p>
    <w:p>
      <w:pPr>
        <w:ind w:left="142" w:hanging="142"/>
        <w:spacing w:after="0" w:line="235" w:lineRule="auto"/>
        <w:tabs>
          <w:tab w:leader="none" w:pos="142" w:val="left"/>
        </w:tabs>
        <w:numPr>
          <w:ilvl w:val="0"/>
          <w:numId w:val="55"/>
        </w:numPr>
        <w:rPr>
          <w:rFonts w:ascii="Arial" w:cs="Arial" w:eastAsia="Arial" w:hAnsi="Arial"/>
          <w:sz w:val="17"/>
          <w:szCs w:val="17"/>
          <w:color w:val="auto"/>
          <w:vertAlign w:val="superscript"/>
        </w:rPr>
      </w:pPr>
      <w:r>
        <w:rPr>
          <w:rFonts w:ascii="Arial" w:cs="Arial" w:eastAsia="Arial" w:hAnsi="Arial"/>
          <w:sz w:val="11"/>
          <w:szCs w:val="11"/>
          <w:color w:val="auto"/>
        </w:rPr>
        <w:t>COBRA. Amount includes Company-paid COBRA premiums for medical, dental, and vision coverage continuation for the number of months set for the NEO’s participation agreement. For a qualifying non-Change in Control Termination: 12 months for Mr. Rawlinson, six months for Mr. Dhingra, and nine months for Messrs. Winterhoff and Bach. For a qualifying Change in Control Termination: 18 months for Mr. Rawlinson, nine months for Mr. Dhingra, and 12 months for Messrs. Winterhoff and Bach. In addition to the amount shown, the NEO would be entitled to receive a gross-up for applicable taxes on the Company-paid COBRA premiums.</w:t>
      </w:r>
    </w:p>
    <w:p>
      <w:pPr>
        <w:sectPr>
          <w:pgSz w:w="11880" w:h="15480" w:orient="portrait"/>
          <w:cols w:equalWidth="0" w:num="1">
            <w:col w:w="10422"/>
          </w:cols>
          <w:pgMar w:left="718" w:top="96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69</w:t>
      </w:r>
    </w:p>
    <w:p>
      <w:pPr>
        <w:sectPr>
          <w:pgSz w:w="11880" w:h="15480" w:orient="portrait"/>
          <w:cols w:equalWidth="0" w:num="1">
            <w:col w:w="10422"/>
          </w:cols>
          <w:pgMar w:left="718" w:top="961" w:right="7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40"/>
          <w:szCs w:val="40"/>
          <w:color w:val="auto"/>
        </w:rPr>
        <w:t>Director Compensation</w:t>
      </w:r>
    </w:p>
    <w:p>
      <w:pPr>
        <w:spacing w:after="0" w:line="200" w:lineRule="exact"/>
        <w:rPr>
          <w:sz w:val="20"/>
          <w:szCs w:val="20"/>
          <w:color w:val="auto"/>
        </w:rPr>
      </w:pPr>
    </w:p>
    <w:p>
      <w:pPr>
        <w:spacing w:after="0" w:line="246"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Currently, our director compensation program permits our non-employee directors to receive the following annual retainers and annual equity compensation grants:</w:t>
      </w:r>
    </w:p>
    <w:p>
      <w:pPr>
        <w:spacing w:after="0" w:line="124" w:lineRule="exact"/>
        <w:rPr>
          <w:sz w:val="20"/>
          <w:szCs w:val="20"/>
          <w:color w:val="auto"/>
        </w:rPr>
      </w:pPr>
    </w:p>
    <w:p>
      <w:pPr>
        <w:ind w:left="180"/>
        <w:spacing w:after="0" w:line="280" w:lineRule="auto"/>
        <w:rPr>
          <w:sz w:val="20"/>
          <w:szCs w:val="20"/>
          <w:color w:val="auto"/>
        </w:rPr>
      </w:pPr>
      <w:r>
        <w:rPr>
          <w:rFonts w:ascii="Arial" w:cs="Arial" w:eastAsia="Arial" w:hAnsi="Arial"/>
          <w:sz w:val="18"/>
          <w:szCs w:val="18"/>
          <w:color w:val="auto"/>
        </w:rPr>
        <w:t>Board Member: $300,000, of which $30,000 is an annual cash retainer paid in quarterly installments and $270,000 of which is an annual equity retainer in the form of RSUs (increased from the $250,000 rate that was in effect for 2023) vesting in full on the earlier of the one-year anniversary of the grant date or the date of the next annual meeting following the grant, subject to the director’s continued service as of the applicable vesting date. For new directors, the initial equity retainer is $375,000 (instead of $270,000) in RSUs which vest in three equal installments each year for a period of three years on the earlier of the first, second and third anniversary date of the grant or the date of the first, second and third annual meetings following the grant, respectively, subject to the director’s continued service as of each of the applicable vesting dates.</w:t>
      </w:r>
    </w:p>
    <w:p>
      <w:pPr>
        <w:spacing w:after="0" w:line="374" w:lineRule="exact"/>
        <w:rPr>
          <w:sz w:val="20"/>
          <w:szCs w:val="20"/>
          <w:color w:val="auto"/>
        </w:rPr>
      </w:pPr>
    </w:p>
    <w:p>
      <w:pPr>
        <w:ind w:left="180" w:right="460"/>
        <w:spacing w:after="0" w:line="293" w:lineRule="auto"/>
        <w:rPr>
          <w:sz w:val="20"/>
          <w:szCs w:val="20"/>
          <w:color w:val="auto"/>
        </w:rPr>
      </w:pPr>
      <w:r>
        <w:rPr>
          <w:rFonts w:ascii="Arial" w:cs="Arial" w:eastAsia="Arial" w:hAnsi="Arial"/>
          <w:sz w:val="18"/>
          <w:szCs w:val="18"/>
          <w:color w:val="auto"/>
        </w:rPr>
        <w:t>Independent Chairman: An additional $30,000 is paid for service as an independent Chairman of the Board, as an annual cash retainer.</w:t>
      </w:r>
    </w:p>
    <w:p>
      <w:pPr>
        <w:spacing w:after="0" w:line="123" w:lineRule="exact"/>
        <w:rPr>
          <w:sz w:val="20"/>
          <w:szCs w:val="20"/>
          <w:color w:val="auto"/>
        </w:rPr>
      </w:pPr>
    </w:p>
    <w:p>
      <w:pPr>
        <w:ind w:left="180" w:right="40"/>
        <w:spacing w:after="0" w:line="285" w:lineRule="auto"/>
        <w:rPr>
          <w:sz w:val="20"/>
          <w:szCs w:val="20"/>
          <w:color w:val="auto"/>
        </w:rPr>
      </w:pPr>
      <w:r>
        <w:rPr>
          <w:rFonts w:ascii="Arial" w:cs="Arial" w:eastAsia="Arial" w:hAnsi="Arial"/>
          <w:sz w:val="18"/>
          <w:szCs w:val="18"/>
          <w:color w:val="auto"/>
        </w:rPr>
        <w:t>Committee Chairs: Chairs of the audit, compensation and human capital, nominating and corporate governance, and executive committees receive an additional $20,000, $15,000, $10,000 (increased from the $8,000 rate that was in effect for 2023), and $20,000, respectively, as an annual cash retainer.</w:t>
      </w:r>
    </w:p>
    <w:p>
      <w:pPr>
        <w:spacing w:after="0" w:line="130" w:lineRule="exact"/>
        <w:rPr>
          <w:sz w:val="20"/>
          <w:szCs w:val="20"/>
          <w:color w:val="auto"/>
        </w:rPr>
      </w:pPr>
    </w:p>
    <w:p>
      <w:pPr>
        <w:ind w:left="180" w:right="20"/>
        <w:spacing w:after="0" w:line="281" w:lineRule="auto"/>
        <w:rPr>
          <w:sz w:val="20"/>
          <w:szCs w:val="20"/>
          <w:color w:val="auto"/>
        </w:rPr>
      </w:pPr>
      <w:r>
        <w:rPr>
          <w:rFonts w:ascii="Arial" w:cs="Arial" w:eastAsia="Arial" w:hAnsi="Arial"/>
          <w:sz w:val="18"/>
          <w:szCs w:val="18"/>
          <w:color w:val="auto"/>
        </w:rPr>
        <w:t>Committee Members: Members of the audit, compensation and human capital, nominating and corporate governance, and executive committees receive an additional $10,000, $7,500, $5,000 (increased from the $4,000 rate that was in effect for 2023), and $10,000, respectively, as an annual cash retainer. We also reimburse all of our directors for (i) up to $10,000 annually for director educational programs and (ii) their reasonable travel and other expenses incurred in attending meetings of the Board or committees and training and educational conferences.</w:t>
      </w:r>
    </w:p>
    <w:p>
      <w:pPr>
        <w:spacing w:after="0" w:line="22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We do not pay directors meeting fees for attending Board or standing committee (audit, compensation and human capital, nominating and corporate governance, and executive committee) meetings; however, effective June 4, 2024, certain non-employee directors providing ad hoc committee services may receive a grant of fully vested RSUs on the date of the Annual Meeting with a target grant date value equal to $2,000 times the number of special committee meetings such non-employee director attended since the previous annual meeting date (“Special Committee Fees”), subject to a $20,000 cap. However, if a non-employee director separates from service with us prior to the date of the Annual Meeting when their Special Committee Fees would otherwise be granted in the form of fully vested RSUs, their Special Committee fees will instead be paid in cash on the date of their separation or shortly thereafter. Based on non-employee director special committee service from the previous annual meeting until the Record Date, the target grant date value of Special Committee Fees awarded to non-employee directors on the date of the Annual Meeting are estimated to be as follows: $10,000, $14,000, $14,000 and $8,000 for Mr. Alnowaiser, Ms. Lambert, Ms. Wong and Mr. Liveris, respectively. Actual equity award grants made to non-employee directors in fiscal year 2025, including applicable Special Committee Fees, will be reported in the Director Compensation Table in our proxy statement filed in 2026.</w:t>
      </w:r>
    </w:p>
    <w:p>
      <w:pPr>
        <w:spacing w:after="0" w:line="200" w:lineRule="exact"/>
        <w:rPr>
          <w:sz w:val="20"/>
          <w:szCs w:val="20"/>
          <w:color w:val="auto"/>
        </w:rPr>
      </w:pPr>
    </w:p>
    <w:p>
      <w:pPr>
        <w:spacing w:after="0" w:line="26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Pursuant to our Amended and Restated 2021 Stock Incentive Plan, we permit directors to elect to defer settlement (beyond vesting) of initial and annual RSUs granted following the conclusion of each regular annual meeting of stockholders, commencing with the 2022 annual meeting of stockholders. Such an election generally only applies to initial and annual RSU awards granted after the year the election is made and will continue to apply to future annual RSU awards unless the director revokes the election with respect to annual RSU awards granted after the year of revocation. Deferred RSUs, together with any additional RSUs credited by reason of a dividend paid by us, are settled upon the earlier of (i) termination of service and (ii) a change in control.</w:t>
      </w:r>
    </w:p>
    <w:p>
      <w:pPr>
        <w:sectPr>
          <w:pgSz w:w="11880" w:h="15480" w:orient="portrait"/>
          <w:cols w:equalWidth="0" w:num="1">
            <w:col w:w="10460"/>
          </w:cols>
          <w:pgMar w:left="720" w:top="87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60"/>
          </w:cols>
          <w:pgMar w:left="720" w:top="876" w:right="700" w:bottom="0" w:gutter="0" w:footer="0" w:header="0"/>
          <w:type w:val="continuous"/>
        </w:sectPr>
      </w:pPr>
    </w:p>
    <w:bookmarkStart w:id="76" w:name="page77"/>
    <w:bookmarkEnd w:id="76"/>
    <w:p>
      <w:pPr>
        <w:ind w:left="2" w:right="60"/>
        <w:spacing w:after="0" w:line="292" w:lineRule="auto"/>
        <w:rPr>
          <w:sz w:val="20"/>
          <w:szCs w:val="20"/>
          <w:color w:val="auto"/>
        </w:rPr>
      </w:pPr>
      <w:r>
        <w:rPr>
          <w:rFonts w:ascii="Arial" w:cs="Arial" w:eastAsia="Arial" w:hAnsi="Arial"/>
          <w:sz w:val="18"/>
          <w:szCs w:val="18"/>
          <w:color w:val="auto"/>
        </w:rPr>
        <w:t>The following table reflects information with respect to the compensation of all non-employee directors of the Company for 2024. For part of 2024 prior to the above-referenced increases, the annual equity retainer was $250,000.</w:t>
      </w:r>
    </w:p>
    <w:p>
      <w:pPr>
        <w:spacing w:after="0" w:line="269" w:lineRule="exact"/>
        <w:rPr>
          <w:sz w:val="20"/>
          <w:szCs w:val="20"/>
          <w:color w:val="auto"/>
        </w:rPr>
      </w:pPr>
    </w:p>
    <w:tbl>
      <w:tblPr>
        <w:tblLayout w:type="fixed"/>
        <w:tblInd w:w="2" w:type="dxa"/>
        <w:tblCellMar>
          <w:top w:w="0" w:type="dxa"/>
          <w:left w:w="0" w:type="dxa"/>
          <w:bottom w:w="0" w:type="dxa"/>
          <w:right w:w="0" w:type="dxa"/>
        </w:tblCellMar>
      </w:tblPr>
      <w:tr>
        <w:trPr>
          <w:trHeight w:val="297"/>
        </w:trPr>
        <w:tc>
          <w:tcPr>
            <w:tcW w:w="354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1860" w:type="dxa"/>
            <w:vAlign w:val="bottom"/>
            <w:shd w:val="clear" w:color="auto" w:fill="000000"/>
          </w:tcPr>
          <w:p>
            <w:pPr>
              <w:ind w:left="740"/>
              <w:spacing w:after="0"/>
              <w:rPr>
                <w:sz w:val="20"/>
                <w:szCs w:val="20"/>
                <w:color w:val="auto"/>
              </w:rPr>
            </w:pPr>
            <w:r>
              <w:rPr>
                <w:rFonts w:ascii="Arial" w:cs="Arial" w:eastAsia="Arial" w:hAnsi="Arial"/>
                <w:sz w:val="14"/>
                <w:szCs w:val="14"/>
                <w:color w:val="FFFFFF"/>
              </w:rPr>
              <w:t>Fees Earned or</w:t>
            </w:r>
          </w:p>
        </w:tc>
        <w:tc>
          <w:tcPr>
            <w:tcW w:w="11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Stock Awards</w:t>
            </w:r>
          </w:p>
        </w:tc>
        <w:tc>
          <w:tcPr>
            <w:tcW w:w="12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Option Awards</w:t>
            </w:r>
          </w:p>
        </w:tc>
        <w:tc>
          <w:tcPr>
            <w:tcW w:w="12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All Other</w:t>
            </w:r>
          </w:p>
        </w:tc>
        <w:tc>
          <w:tcPr>
            <w:tcW w:w="13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Total</w:t>
            </w:r>
          </w:p>
        </w:tc>
      </w:tr>
      <w:tr>
        <w:trPr>
          <w:trHeight w:val="160"/>
        </w:trPr>
        <w:tc>
          <w:tcPr>
            <w:tcW w:w="3540" w:type="dxa"/>
            <w:vAlign w:val="bottom"/>
            <w:shd w:val="clear" w:color="auto" w:fill="000000"/>
          </w:tcPr>
          <w:p>
            <w:pPr>
              <w:spacing w:after="0"/>
              <w:rPr>
                <w:sz w:val="13"/>
                <w:szCs w:val="13"/>
                <w:color w:val="auto"/>
              </w:rPr>
            </w:pPr>
          </w:p>
        </w:tc>
        <w:tc>
          <w:tcPr>
            <w:tcW w:w="1860" w:type="dxa"/>
            <w:vAlign w:val="bottom"/>
            <w:shd w:val="clear" w:color="auto" w:fill="000000"/>
          </w:tcPr>
          <w:p>
            <w:pPr>
              <w:ind w:left="740"/>
              <w:spacing w:after="0" w:line="159" w:lineRule="exact"/>
              <w:rPr>
                <w:sz w:val="20"/>
                <w:szCs w:val="20"/>
                <w:color w:val="auto"/>
              </w:rPr>
            </w:pPr>
            <w:r>
              <w:rPr>
                <w:rFonts w:ascii="Arial" w:cs="Arial" w:eastAsia="Arial" w:hAnsi="Arial"/>
                <w:sz w:val="14"/>
                <w:szCs w:val="14"/>
                <w:color w:val="FFFFFF"/>
              </w:rPr>
              <w:t>Paid in Cash</w:t>
            </w:r>
          </w:p>
        </w:tc>
        <w:tc>
          <w:tcPr>
            <w:tcW w:w="1180" w:type="dxa"/>
            <w:vAlign w:val="bottom"/>
            <w:shd w:val="clear" w:color="auto" w:fill="000000"/>
          </w:tcPr>
          <w:p>
            <w:pPr>
              <w:ind w:left="120"/>
              <w:spacing w:after="0" w:line="160" w:lineRule="exact"/>
              <w:rPr>
                <w:sz w:val="20"/>
                <w:szCs w:val="20"/>
                <w:color w:val="auto"/>
              </w:rPr>
            </w:pPr>
            <w:r>
              <w:rPr>
                <w:rFonts w:ascii="Arial" w:cs="Arial" w:eastAsia="Arial" w:hAnsi="Arial"/>
                <w:sz w:val="18"/>
                <w:szCs w:val="18"/>
                <w:color w:val="FFFFFF"/>
                <w:vertAlign w:val="subscript"/>
              </w:rPr>
              <w:t>($)</w:t>
            </w:r>
            <w:r>
              <w:rPr>
                <w:rFonts w:ascii="Arial" w:cs="Arial" w:eastAsia="Arial" w:hAnsi="Arial"/>
                <w:sz w:val="7"/>
                <w:szCs w:val="7"/>
                <w:color w:val="FFFFFF"/>
              </w:rPr>
              <w:t>(1)(4)</w:t>
            </w:r>
          </w:p>
        </w:tc>
        <w:tc>
          <w:tcPr>
            <w:tcW w:w="1240" w:type="dxa"/>
            <w:vAlign w:val="bottom"/>
            <w:shd w:val="clear" w:color="auto" w:fill="000000"/>
          </w:tcPr>
          <w:p>
            <w:pPr>
              <w:ind w:left="120"/>
              <w:spacing w:after="0" w:line="159" w:lineRule="exact"/>
              <w:rPr>
                <w:sz w:val="20"/>
                <w:szCs w:val="20"/>
                <w:color w:val="auto"/>
              </w:rPr>
            </w:pPr>
            <w:r>
              <w:rPr>
                <w:rFonts w:ascii="Arial" w:cs="Arial" w:eastAsia="Arial" w:hAnsi="Arial"/>
                <w:sz w:val="14"/>
                <w:szCs w:val="14"/>
                <w:color w:val="FFFFFF"/>
              </w:rPr>
              <w:t>($)</w:t>
            </w:r>
          </w:p>
        </w:tc>
        <w:tc>
          <w:tcPr>
            <w:tcW w:w="1240" w:type="dxa"/>
            <w:vAlign w:val="bottom"/>
            <w:shd w:val="clear" w:color="auto" w:fill="000000"/>
          </w:tcPr>
          <w:p>
            <w:pPr>
              <w:ind w:left="120"/>
              <w:spacing w:after="0" w:line="159" w:lineRule="exact"/>
              <w:rPr>
                <w:sz w:val="20"/>
                <w:szCs w:val="20"/>
                <w:color w:val="auto"/>
              </w:rPr>
            </w:pPr>
            <w:r>
              <w:rPr>
                <w:rFonts w:ascii="Arial" w:cs="Arial" w:eastAsia="Arial" w:hAnsi="Arial"/>
                <w:sz w:val="14"/>
                <w:szCs w:val="14"/>
                <w:color w:val="FFFFFF"/>
              </w:rPr>
              <w:t>Compensation</w:t>
            </w:r>
          </w:p>
        </w:tc>
        <w:tc>
          <w:tcPr>
            <w:tcW w:w="1360" w:type="dxa"/>
            <w:vAlign w:val="bottom"/>
            <w:shd w:val="clear" w:color="auto" w:fill="000000"/>
          </w:tcPr>
          <w:p>
            <w:pPr>
              <w:ind w:left="120"/>
              <w:spacing w:after="0" w:line="159" w:lineRule="exact"/>
              <w:rPr>
                <w:sz w:val="20"/>
                <w:szCs w:val="20"/>
                <w:color w:val="auto"/>
              </w:rPr>
            </w:pPr>
            <w:r>
              <w:rPr>
                <w:rFonts w:ascii="Arial" w:cs="Arial" w:eastAsia="Arial" w:hAnsi="Arial"/>
                <w:sz w:val="14"/>
                <w:szCs w:val="14"/>
                <w:color w:val="FFFFFF"/>
              </w:rPr>
              <w:t>Compensation</w:t>
            </w:r>
          </w:p>
        </w:tc>
      </w:tr>
      <w:tr>
        <w:trPr>
          <w:trHeight w:val="241"/>
        </w:trPr>
        <w:tc>
          <w:tcPr>
            <w:tcW w:w="3540" w:type="dxa"/>
            <w:vAlign w:val="bottom"/>
            <w:shd w:val="clear" w:color="auto" w:fill="000000"/>
          </w:tcPr>
          <w:p>
            <w:pPr>
              <w:spacing w:after="0"/>
              <w:rPr>
                <w:sz w:val="20"/>
                <w:szCs w:val="20"/>
                <w:color w:val="auto"/>
              </w:rPr>
            </w:pPr>
          </w:p>
        </w:tc>
        <w:tc>
          <w:tcPr>
            <w:tcW w:w="1860" w:type="dxa"/>
            <w:vAlign w:val="bottom"/>
            <w:shd w:val="clear" w:color="auto" w:fill="000000"/>
          </w:tcPr>
          <w:p>
            <w:pPr>
              <w:ind w:left="740"/>
              <w:spacing w:after="0"/>
              <w:rPr>
                <w:sz w:val="20"/>
                <w:szCs w:val="20"/>
                <w:color w:val="auto"/>
              </w:rPr>
            </w:pPr>
            <w:r>
              <w:rPr>
                <w:rFonts w:ascii="Arial" w:cs="Arial" w:eastAsia="Arial" w:hAnsi="Arial"/>
                <w:sz w:val="14"/>
                <w:szCs w:val="14"/>
                <w:color w:val="FFFFFF"/>
              </w:rPr>
              <w:t>($)</w:t>
            </w:r>
          </w:p>
        </w:tc>
        <w:tc>
          <w:tcPr>
            <w:tcW w:w="1180" w:type="dxa"/>
            <w:vAlign w:val="bottom"/>
            <w:shd w:val="clear" w:color="auto" w:fill="000000"/>
          </w:tcPr>
          <w:p>
            <w:pPr>
              <w:spacing w:after="0"/>
              <w:rPr>
                <w:sz w:val="20"/>
                <w:szCs w:val="20"/>
                <w:color w:val="auto"/>
              </w:rPr>
            </w:pPr>
          </w:p>
        </w:tc>
        <w:tc>
          <w:tcPr>
            <w:tcW w:w="1240" w:type="dxa"/>
            <w:vAlign w:val="bottom"/>
            <w:shd w:val="clear" w:color="auto" w:fill="000000"/>
          </w:tcPr>
          <w:p>
            <w:pPr>
              <w:spacing w:after="0"/>
              <w:rPr>
                <w:sz w:val="20"/>
                <w:szCs w:val="20"/>
                <w:color w:val="auto"/>
              </w:rPr>
            </w:pPr>
          </w:p>
        </w:tc>
        <w:tc>
          <w:tcPr>
            <w:tcW w:w="124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(2)</w:t>
            </w:r>
          </w:p>
        </w:tc>
        <w:tc>
          <w:tcPr>
            <w:tcW w:w="13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r>
      <w:tr>
        <w:trPr>
          <w:trHeight w:val="86"/>
        </w:trPr>
        <w:tc>
          <w:tcPr>
            <w:tcW w:w="3540" w:type="dxa"/>
            <w:vAlign w:val="bottom"/>
            <w:shd w:val="clear" w:color="auto" w:fill="000000"/>
          </w:tcPr>
          <w:p>
            <w:pPr>
              <w:spacing w:after="0"/>
              <w:rPr>
                <w:sz w:val="7"/>
                <w:szCs w:val="7"/>
                <w:color w:val="auto"/>
              </w:rPr>
            </w:pPr>
          </w:p>
        </w:tc>
        <w:tc>
          <w:tcPr>
            <w:tcW w:w="186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1240" w:type="dxa"/>
            <w:vAlign w:val="bottom"/>
            <w:shd w:val="clear" w:color="auto" w:fill="000000"/>
          </w:tcPr>
          <w:p>
            <w:pPr>
              <w:spacing w:after="0"/>
              <w:rPr>
                <w:sz w:val="7"/>
                <w:szCs w:val="7"/>
                <w:color w:val="auto"/>
              </w:rPr>
            </w:pPr>
          </w:p>
        </w:tc>
        <w:tc>
          <w:tcPr>
            <w:tcW w:w="1240" w:type="dxa"/>
            <w:vAlign w:val="bottom"/>
            <w:shd w:val="clear" w:color="auto" w:fill="000000"/>
          </w:tcPr>
          <w:p>
            <w:pPr>
              <w:spacing w:after="0"/>
              <w:rPr>
                <w:sz w:val="7"/>
                <w:szCs w:val="7"/>
                <w:color w:val="auto"/>
              </w:rPr>
            </w:pPr>
          </w:p>
        </w:tc>
        <w:tc>
          <w:tcPr>
            <w:tcW w:w="1360" w:type="dxa"/>
            <w:vAlign w:val="bottom"/>
            <w:shd w:val="clear" w:color="auto" w:fill="000000"/>
          </w:tcPr>
          <w:p>
            <w:pPr>
              <w:spacing w:after="0"/>
              <w:rPr>
                <w:sz w:val="7"/>
                <w:szCs w:val="7"/>
                <w:color w:val="auto"/>
              </w:rPr>
            </w:pPr>
          </w:p>
        </w:tc>
      </w:tr>
      <w:tr>
        <w:trPr>
          <w:trHeight w:val="326"/>
        </w:trPr>
        <w:tc>
          <w:tcPr>
            <w:tcW w:w="3540" w:type="dxa"/>
            <w:vAlign w:val="bottom"/>
          </w:tcPr>
          <w:p>
            <w:pPr>
              <w:ind w:left="180"/>
              <w:spacing w:after="0"/>
              <w:rPr>
                <w:sz w:val="20"/>
                <w:szCs w:val="20"/>
                <w:color w:val="auto"/>
              </w:rPr>
            </w:pPr>
            <w:r>
              <w:rPr>
                <w:rFonts w:ascii="Arial" w:cs="Arial" w:eastAsia="Arial" w:hAnsi="Arial"/>
                <w:sz w:val="16"/>
                <w:szCs w:val="16"/>
                <w:color w:val="auto"/>
              </w:rPr>
              <w:t>Turqi Alnowaiser</w:t>
            </w:r>
          </w:p>
        </w:tc>
        <w:tc>
          <w:tcPr>
            <w:tcW w:w="1860" w:type="dxa"/>
            <w:vAlign w:val="bottom"/>
          </w:tcPr>
          <w:p>
            <w:pPr>
              <w:ind w:left="740"/>
              <w:spacing w:after="0"/>
              <w:rPr>
                <w:sz w:val="20"/>
                <w:szCs w:val="20"/>
                <w:color w:val="auto"/>
              </w:rPr>
            </w:pPr>
            <w:r>
              <w:rPr>
                <w:rFonts w:ascii="Arial" w:cs="Arial" w:eastAsia="Arial" w:hAnsi="Arial"/>
                <w:sz w:val="16"/>
                <w:szCs w:val="16"/>
                <w:color w:val="auto"/>
              </w:rPr>
              <w:t>89,148</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ind w:left="120"/>
              <w:spacing w:after="0"/>
              <w:rPr>
                <w:sz w:val="20"/>
                <w:szCs w:val="20"/>
                <w:color w:val="auto"/>
              </w:rPr>
            </w:pPr>
            <w:r>
              <w:rPr>
                <w:rFonts w:ascii="Arial" w:cs="Arial" w:eastAsia="Arial" w:hAnsi="Arial"/>
                <w:sz w:val="16"/>
                <w:szCs w:val="16"/>
                <w:color w:val="auto"/>
              </w:rPr>
              <w:t>365,091</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Andrew Liveris</w:t>
            </w:r>
          </w:p>
        </w:tc>
        <w:tc>
          <w:tcPr>
            <w:tcW w:w="1860" w:type="dxa"/>
            <w:vAlign w:val="bottom"/>
          </w:tcPr>
          <w:p>
            <w:pPr>
              <w:ind w:left="740"/>
              <w:spacing w:after="0"/>
              <w:rPr>
                <w:sz w:val="20"/>
                <w:szCs w:val="20"/>
                <w:color w:val="auto"/>
              </w:rPr>
            </w:pPr>
            <w:r>
              <w:rPr>
                <w:rFonts w:ascii="Arial" w:cs="Arial" w:eastAsia="Arial" w:hAnsi="Arial"/>
                <w:sz w:val="16"/>
                <w:szCs w:val="16"/>
                <w:color w:val="auto"/>
              </w:rPr>
              <w:t>55,000</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19,220</w:t>
            </w:r>
          </w:p>
        </w:tc>
        <w:tc>
          <w:tcPr>
            <w:tcW w:w="1360" w:type="dxa"/>
            <w:vAlign w:val="bottom"/>
          </w:tcPr>
          <w:p>
            <w:pPr>
              <w:ind w:left="120"/>
              <w:spacing w:after="0"/>
              <w:rPr>
                <w:sz w:val="20"/>
                <w:szCs w:val="20"/>
                <w:color w:val="auto"/>
              </w:rPr>
            </w:pPr>
            <w:r>
              <w:rPr>
                <w:rFonts w:ascii="Arial" w:cs="Arial" w:eastAsia="Arial" w:hAnsi="Arial"/>
                <w:sz w:val="16"/>
                <w:szCs w:val="16"/>
                <w:color w:val="auto"/>
              </w:rPr>
              <w:t>350,163</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68"/>
        </w:trPr>
        <w:tc>
          <w:tcPr>
            <w:tcW w:w="3540" w:type="dxa"/>
            <w:vAlign w:val="bottom"/>
          </w:tcPr>
          <w:p>
            <w:pPr>
              <w:ind w:left="180"/>
              <w:spacing w:after="0"/>
              <w:rPr>
                <w:sz w:val="20"/>
                <w:szCs w:val="20"/>
                <w:color w:val="auto"/>
              </w:rPr>
            </w:pPr>
            <w:r>
              <w:rPr>
                <w:rFonts w:ascii="Arial" w:cs="Arial" w:eastAsia="Arial" w:hAnsi="Arial"/>
                <w:sz w:val="16"/>
                <w:szCs w:val="16"/>
                <w:color w:val="auto"/>
              </w:rPr>
              <w:t>Sherif Marakby</w:t>
            </w:r>
            <w:r>
              <w:rPr>
                <w:rFonts w:ascii="Arial" w:cs="Arial" w:eastAsia="Arial" w:hAnsi="Arial"/>
                <w:sz w:val="19"/>
                <w:szCs w:val="19"/>
                <w:color w:val="auto"/>
                <w:vertAlign w:val="superscript"/>
              </w:rPr>
              <w:t>(3)</w:t>
            </w:r>
          </w:p>
        </w:tc>
        <w:tc>
          <w:tcPr>
            <w:tcW w:w="1860" w:type="dxa"/>
            <w:vAlign w:val="bottom"/>
          </w:tcPr>
          <w:p>
            <w:pPr>
              <w:ind w:left="740"/>
              <w:spacing w:after="0"/>
              <w:rPr>
                <w:sz w:val="20"/>
                <w:szCs w:val="20"/>
                <w:color w:val="auto"/>
              </w:rPr>
            </w:pPr>
            <w:r>
              <w:rPr>
                <w:rFonts w:ascii="Arial" w:cs="Arial" w:eastAsia="Arial" w:hAnsi="Arial"/>
                <w:sz w:val="16"/>
                <w:szCs w:val="16"/>
                <w:color w:val="auto"/>
              </w:rPr>
              <w:t>40,000</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19,220</w:t>
            </w:r>
          </w:p>
        </w:tc>
        <w:tc>
          <w:tcPr>
            <w:tcW w:w="1360" w:type="dxa"/>
            <w:vAlign w:val="bottom"/>
          </w:tcPr>
          <w:p>
            <w:pPr>
              <w:ind w:left="120"/>
              <w:spacing w:after="0"/>
              <w:rPr>
                <w:sz w:val="20"/>
                <w:szCs w:val="20"/>
                <w:color w:val="auto"/>
              </w:rPr>
            </w:pPr>
            <w:r>
              <w:rPr>
                <w:rFonts w:ascii="Arial" w:cs="Arial" w:eastAsia="Arial" w:hAnsi="Arial"/>
                <w:sz w:val="16"/>
                <w:szCs w:val="16"/>
                <w:color w:val="auto"/>
              </w:rPr>
              <w:t>335,163</w:t>
            </w:r>
          </w:p>
        </w:tc>
      </w:tr>
      <w:tr>
        <w:trPr>
          <w:trHeight w:val="71"/>
        </w:trPr>
        <w:tc>
          <w:tcPr>
            <w:tcW w:w="35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Nichelle Maynard-Elliott</w:t>
            </w:r>
          </w:p>
        </w:tc>
        <w:tc>
          <w:tcPr>
            <w:tcW w:w="1860" w:type="dxa"/>
            <w:vAlign w:val="bottom"/>
          </w:tcPr>
          <w:p>
            <w:pPr>
              <w:ind w:left="740"/>
              <w:spacing w:after="0"/>
              <w:rPr>
                <w:sz w:val="20"/>
                <w:szCs w:val="20"/>
                <w:color w:val="auto"/>
              </w:rPr>
            </w:pPr>
            <w:r>
              <w:rPr>
                <w:rFonts w:ascii="Arial" w:cs="Arial" w:eastAsia="Arial" w:hAnsi="Arial"/>
                <w:sz w:val="16"/>
                <w:szCs w:val="16"/>
                <w:color w:val="auto"/>
              </w:rPr>
              <w:t>47,816</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21,254</w:t>
            </w:r>
          </w:p>
        </w:tc>
        <w:tc>
          <w:tcPr>
            <w:tcW w:w="1360" w:type="dxa"/>
            <w:vAlign w:val="bottom"/>
          </w:tcPr>
          <w:p>
            <w:pPr>
              <w:ind w:left="120"/>
              <w:spacing w:after="0"/>
              <w:rPr>
                <w:sz w:val="20"/>
                <w:szCs w:val="20"/>
                <w:color w:val="auto"/>
              </w:rPr>
            </w:pPr>
            <w:r>
              <w:rPr>
                <w:rFonts w:ascii="Arial" w:cs="Arial" w:eastAsia="Arial" w:hAnsi="Arial"/>
                <w:sz w:val="16"/>
                <w:szCs w:val="16"/>
                <w:color w:val="auto"/>
              </w:rPr>
              <w:t>345,013</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Chabi Nouri</w:t>
            </w:r>
          </w:p>
        </w:tc>
        <w:tc>
          <w:tcPr>
            <w:tcW w:w="1860" w:type="dxa"/>
            <w:vAlign w:val="bottom"/>
          </w:tcPr>
          <w:p>
            <w:pPr>
              <w:ind w:left="740"/>
              <w:spacing w:after="0"/>
              <w:rPr>
                <w:sz w:val="20"/>
                <w:szCs w:val="20"/>
                <w:color w:val="auto"/>
              </w:rPr>
            </w:pPr>
            <w:r>
              <w:rPr>
                <w:rFonts w:ascii="Arial" w:cs="Arial" w:eastAsia="Arial" w:hAnsi="Arial"/>
                <w:sz w:val="16"/>
                <w:szCs w:val="16"/>
                <w:color w:val="auto"/>
              </w:rPr>
              <w:t>42,871</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ind w:left="120"/>
              <w:spacing w:after="0"/>
              <w:rPr>
                <w:sz w:val="20"/>
                <w:szCs w:val="20"/>
                <w:color w:val="auto"/>
              </w:rPr>
            </w:pPr>
            <w:r>
              <w:rPr>
                <w:rFonts w:ascii="Arial" w:cs="Arial" w:eastAsia="Arial" w:hAnsi="Arial"/>
                <w:sz w:val="16"/>
                <w:szCs w:val="16"/>
                <w:color w:val="auto"/>
              </w:rPr>
              <w:t>318,814</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Ori Winitzer</w:t>
            </w:r>
          </w:p>
        </w:tc>
        <w:tc>
          <w:tcPr>
            <w:tcW w:w="1860" w:type="dxa"/>
            <w:vAlign w:val="bottom"/>
          </w:tcPr>
          <w:p>
            <w:pPr>
              <w:ind w:left="740"/>
              <w:spacing w:after="0"/>
              <w:rPr>
                <w:sz w:val="20"/>
                <w:szCs w:val="20"/>
                <w:color w:val="auto"/>
              </w:rPr>
            </w:pPr>
            <w:r>
              <w:rPr>
                <w:rFonts w:ascii="Arial" w:cs="Arial" w:eastAsia="Arial" w:hAnsi="Arial"/>
                <w:sz w:val="16"/>
                <w:szCs w:val="16"/>
                <w:color w:val="auto"/>
              </w:rPr>
              <w:t>41,758</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17,318</w:t>
            </w:r>
          </w:p>
        </w:tc>
        <w:tc>
          <w:tcPr>
            <w:tcW w:w="1360" w:type="dxa"/>
            <w:vAlign w:val="bottom"/>
          </w:tcPr>
          <w:p>
            <w:pPr>
              <w:ind w:left="120"/>
              <w:spacing w:after="0"/>
              <w:rPr>
                <w:sz w:val="20"/>
                <w:szCs w:val="20"/>
                <w:color w:val="auto"/>
              </w:rPr>
            </w:pPr>
            <w:r>
              <w:rPr>
                <w:rFonts w:ascii="Arial" w:cs="Arial" w:eastAsia="Arial" w:hAnsi="Arial"/>
                <w:sz w:val="16"/>
                <w:szCs w:val="16"/>
                <w:color w:val="auto"/>
              </w:rPr>
              <w:t>335,019</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Janet S. Wong</w:t>
            </w:r>
          </w:p>
        </w:tc>
        <w:tc>
          <w:tcPr>
            <w:tcW w:w="1860" w:type="dxa"/>
            <w:vAlign w:val="bottom"/>
          </w:tcPr>
          <w:p>
            <w:pPr>
              <w:ind w:left="740"/>
              <w:spacing w:after="0"/>
              <w:rPr>
                <w:sz w:val="20"/>
                <w:szCs w:val="20"/>
                <w:color w:val="auto"/>
              </w:rPr>
            </w:pPr>
            <w:r>
              <w:rPr>
                <w:rFonts w:ascii="Arial" w:cs="Arial" w:eastAsia="Arial" w:hAnsi="Arial"/>
                <w:sz w:val="16"/>
                <w:szCs w:val="16"/>
                <w:color w:val="auto"/>
              </w:rPr>
              <w:t>50,000</w:t>
            </w:r>
          </w:p>
        </w:tc>
        <w:tc>
          <w:tcPr>
            <w:tcW w:w="1180" w:type="dxa"/>
            <w:vAlign w:val="bottom"/>
          </w:tcPr>
          <w:p>
            <w:pPr>
              <w:ind w:left="120"/>
              <w:spacing w:after="0"/>
              <w:rPr>
                <w:sz w:val="20"/>
                <w:szCs w:val="20"/>
                <w:color w:val="auto"/>
              </w:rPr>
            </w:pPr>
            <w:r>
              <w:rPr>
                <w:rFonts w:ascii="Arial" w:cs="Arial" w:eastAsia="Arial" w:hAnsi="Arial"/>
                <w:sz w:val="16"/>
                <w:szCs w:val="16"/>
                <w:color w:val="auto"/>
              </w:rPr>
              <w:t>275,943</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21,004</w:t>
            </w:r>
          </w:p>
        </w:tc>
        <w:tc>
          <w:tcPr>
            <w:tcW w:w="1360" w:type="dxa"/>
            <w:vAlign w:val="bottom"/>
          </w:tcPr>
          <w:p>
            <w:pPr>
              <w:ind w:left="120"/>
              <w:spacing w:after="0"/>
              <w:rPr>
                <w:sz w:val="20"/>
                <w:szCs w:val="20"/>
                <w:color w:val="auto"/>
              </w:rPr>
            </w:pPr>
            <w:r>
              <w:rPr>
                <w:rFonts w:ascii="Arial" w:cs="Arial" w:eastAsia="Arial" w:hAnsi="Arial"/>
                <w:sz w:val="16"/>
                <w:szCs w:val="16"/>
                <w:color w:val="auto"/>
              </w:rPr>
              <w:t>346,947</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04"/>
        </w:trPr>
        <w:tc>
          <w:tcPr>
            <w:tcW w:w="3540" w:type="dxa"/>
            <w:vAlign w:val="bottom"/>
          </w:tcPr>
          <w:p>
            <w:pPr>
              <w:ind w:left="180"/>
              <w:spacing w:after="0"/>
              <w:rPr>
                <w:sz w:val="20"/>
                <w:szCs w:val="20"/>
                <w:color w:val="auto"/>
              </w:rPr>
            </w:pPr>
            <w:r>
              <w:rPr>
                <w:rFonts w:ascii="Arial" w:cs="Arial" w:eastAsia="Arial" w:hAnsi="Arial"/>
                <w:sz w:val="16"/>
                <w:szCs w:val="16"/>
                <w:color w:val="auto"/>
              </w:rPr>
              <w:t>Lisa M. Lambert</w:t>
            </w:r>
          </w:p>
        </w:tc>
        <w:tc>
          <w:tcPr>
            <w:tcW w:w="1860" w:type="dxa"/>
            <w:vAlign w:val="bottom"/>
          </w:tcPr>
          <w:p>
            <w:pPr>
              <w:ind w:left="740"/>
              <w:spacing w:after="0"/>
              <w:rPr>
                <w:sz w:val="20"/>
                <w:szCs w:val="20"/>
                <w:color w:val="auto"/>
              </w:rPr>
            </w:pPr>
            <w:r>
              <w:rPr>
                <w:rFonts w:ascii="Arial" w:cs="Arial" w:eastAsia="Arial" w:hAnsi="Arial"/>
                <w:sz w:val="16"/>
                <w:szCs w:val="16"/>
                <w:color w:val="auto"/>
              </w:rPr>
              <w:t>22,967</w:t>
            </w:r>
          </w:p>
        </w:tc>
        <w:tc>
          <w:tcPr>
            <w:tcW w:w="1180" w:type="dxa"/>
            <w:vAlign w:val="bottom"/>
          </w:tcPr>
          <w:p>
            <w:pPr>
              <w:ind w:left="120"/>
              <w:spacing w:after="0"/>
              <w:rPr>
                <w:sz w:val="20"/>
                <w:szCs w:val="20"/>
                <w:color w:val="auto"/>
              </w:rPr>
            </w:pPr>
            <w:r>
              <w:rPr>
                <w:rFonts w:ascii="Arial" w:cs="Arial" w:eastAsia="Arial" w:hAnsi="Arial"/>
                <w:sz w:val="16"/>
                <w:szCs w:val="16"/>
                <w:color w:val="auto"/>
              </w:rPr>
              <w:t>383,257</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6,655</w:t>
            </w:r>
          </w:p>
        </w:tc>
        <w:tc>
          <w:tcPr>
            <w:tcW w:w="1360" w:type="dxa"/>
            <w:vAlign w:val="bottom"/>
          </w:tcPr>
          <w:p>
            <w:pPr>
              <w:ind w:left="120"/>
              <w:spacing w:after="0"/>
              <w:rPr>
                <w:sz w:val="20"/>
                <w:szCs w:val="20"/>
                <w:color w:val="auto"/>
              </w:rPr>
            </w:pPr>
            <w:r>
              <w:rPr>
                <w:rFonts w:ascii="Arial" w:cs="Arial" w:eastAsia="Arial" w:hAnsi="Arial"/>
                <w:sz w:val="16"/>
                <w:szCs w:val="16"/>
                <w:color w:val="auto"/>
              </w:rPr>
              <w:t>412,879</w:t>
            </w:r>
          </w:p>
        </w:tc>
      </w:tr>
      <w:tr>
        <w:trPr>
          <w:trHeight w:val="135"/>
        </w:trPr>
        <w:tc>
          <w:tcPr>
            <w:tcW w:w="3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368"/>
        </w:trPr>
        <w:tc>
          <w:tcPr>
            <w:tcW w:w="3540" w:type="dxa"/>
            <w:vAlign w:val="bottom"/>
          </w:tcPr>
          <w:p>
            <w:pPr>
              <w:ind w:left="180"/>
              <w:spacing w:after="0"/>
              <w:rPr>
                <w:sz w:val="20"/>
                <w:szCs w:val="20"/>
                <w:color w:val="auto"/>
              </w:rPr>
            </w:pPr>
            <w:r>
              <w:rPr>
                <w:rFonts w:ascii="Arial" w:cs="Arial" w:eastAsia="Arial" w:hAnsi="Arial"/>
                <w:sz w:val="16"/>
                <w:szCs w:val="16"/>
                <w:color w:val="auto"/>
              </w:rPr>
              <w:t>Glenn R. August, former director</w:t>
            </w:r>
            <w:r>
              <w:rPr>
                <w:rFonts w:ascii="Arial" w:cs="Arial" w:eastAsia="Arial" w:hAnsi="Arial"/>
                <w:sz w:val="19"/>
                <w:szCs w:val="19"/>
                <w:color w:val="auto"/>
                <w:vertAlign w:val="superscript"/>
              </w:rPr>
              <w:t>(3)</w:t>
            </w:r>
          </w:p>
        </w:tc>
        <w:tc>
          <w:tcPr>
            <w:tcW w:w="1860" w:type="dxa"/>
            <w:vAlign w:val="bottom"/>
          </w:tcPr>
          <w:p>
            <w:pPr>
              <w:ind w:left="740"/>
              <w:spacing w:after="0"/>
              <w:rPr>
                <w:sz w:val="20"/>
                <w:szCs w:val="20"/>
                <w:color w:val="auto"/>
              </w:rPr>
            </w:pPr>
            <w:r>
              <w:rPr>
                <w:rFonts w:ascii="Arial" w:cs="Arial" w:eastAsia="Arial" w:hAnsi="Arial"/>
                <w:sz w:val="16"/>
                <w:szCs w:val="16"/>
                <w:color w:val="auto"/>
              </w:rPr>
              <w:t>18,736</w:t>
            </w:r>
          </w:p>
        </w:tc>
        <w:tc>
          <w:tcPr>
            <w:tcW w:w="118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ind w:left="120"/>
              <w:spacing w:after="0"/>
              <w:rPr>
                <w:sz w:val="20"/>
                <w:szCs w:val="20"/>
                <w:color w:val="auto"/>
              </w:rPr>
            </w:pPr>
            <w:r>
              <w:rPr>
                <w:rFonts w:ascii="Arial" w:cs="Arial" w:eastAsia="Arial" w:hAnsi="Arial"/>
                <w:sz w:val="16"/>
                <w:szCs w:val="16"/>
                <w:color w:val="auto"/>
              </w:rPr>
              <w:t>18,736</w:t>
            </w:r>
          </w:p>
        </w:tc>
      </w:tr>
      <w:tr>
        <w:trPr>
          <w:trHeight w:val="74"/>
        </w:trPr>
        <w:tc>
          <w:tcPr>
            <w:tcW w:w="35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bl>
    <w:p>
      <w:pPr>
        <w:spacing w:after="0" w:line="313" w:lineRule="exact"/>
        <w:rPr>
          <w:sz w:val="20"/>
          <w:szCs w:val="20"/>
          <w:color w:val="auto"/>
        </w:rPr>
      </w:pPr>
    </w:p>
    <w:p>
      <w:pPr>
        <w:ind w:left="142" w:right="100" w:hanging="142"/>
        <w:spacing w:after="0" w:line="212" w:lineRule="auto"/>
        <w:tabs>
          <w:tab w:leader="none" w:pos="142"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The amounts in this column reflect the grant date fair values of the RSUs granted to our non-employee directors during 2024, calculated in accordance with FASB ASC Topic 718. Messrs. Liveris, and Marakby, and Ms. Maynard-Elliott have elected to defer settlement of the RSUs.</w:t>
      </w:r>
    </w:p>
    <w:p>
      <w:pPr>
        <w:spacing w:after="0" w:line="55"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Represents the value of the personal usage of Company-owned Lucid Air vehicles and the related tax reimbursement attributable to this perquisite.</w:t>
      </w:r>
    </w:p>
    <w:p>
      <w:pPr>
        <w:spacing w:after="0" w:line="103" w:lineRule="exact"/>
        <w:rPr>
          <w:rFonts w:ascii="Arial" w:cs="Arial" w:eastAsia="Arial" w:hAnsi="Arial"/>
          <w:sz w:val="17"/>
          <w:szCs w:val="17"/>
          <w:color w:val="auto"/>
          <w:vertAlign w:val="superscript"/>
        </w:rPr>
      </w:pPr>
    </w:p>
    <w:p>
      <w:pPr>
        <w:ind w:left="142" w:right="140" w:hanging="142"/>
        <w:spacing w:after="0" w:line="212" w:lineRule="auto"/>
        <w:tabs>
          <w:tab w:leader="none" w:pos="142"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Mr. Marakby will not stand for reelection at the Annual Meeting and will complete his service on June 5, 2025. Mr. August did not stand for reelection at the 2024 annual meeting of stockholders and completed his service on June 4, 2024.</w:t>
      </w:r>
    </w:p>
    <w:p>
      <w:pPr>
        <w:spacing w:after="0" w:line="104" w:lineRule="exact"/>
        <w:rPr>
          <w:rFonts w:ascii="Arial" w:cs="Arial" w:eastAsia="Arial" w:hAnsi="Arial"/>
          <w:sz w:val="17"/>
          <w:szCs w:val="17"/>
          <w:color w:val="auto"/>
          <w:vertAlign w:val="superscript"/>
        </w:rPr>
      </w:pPr>
    </w:p>
    <w:p>
      <w:pPr>
        <w:ind w:left="142" w:right="480" w:hanging="142"/>
        <w:spacing w:after="0"/>
        <w:tabs>
          <w:tab w:leader="none" w:pos="142"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The following table provides information on the number of shares of unvested RSUs and the number of shares of vested RSUs for which payment has been deferred as of December 31, 2024.</w:t>
      </w:r>
    </w:p>
    <w:p>
      <w:pPr>
        <w:spacing w:after="0" w:line="359" w:lineRule="exact"/>
        <w:rPr>
          <w:sz w:val="20"/>
          <w:szCs w:val="20"/>
          <w:color w:val="auto"/>
        </w:rPr>
      </w:pPr>
    </w:p>
    <w:tbl>
      <w:tblPr>
        <w:tblLayout w:type="fixed"/>
        <w:tblInd w:w="2702" w:type="dxa"/>
        <w:tblCellMar>
          <w:top w:w="0" w:type="dxa"/>
          <w:left w:w="0" w:type="dxa"/>
          <w:bottom w:w="0" w:type="dxa"/>
          <w:right w:w="0" w:type="dxa"/>
        </w:tblCellMar>
      </w:tblPr>
      <w:tr>
        <w:trPr>
          <w:trHeight w:val="315"/>
        </w:trPr>
        <w:tc>
          <w:tcPr>
            <w:tcW w:w="33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w:t>
            </w:r>
          </w:p>
        </w:tc>
        <w:tc>
          <w:tcPr>
            <w:tcW w:w="1640" w:type="dxa"/>
            <w:vAlign w:val="bottom"/>
            <w:shd w:val="clear" w:color="auto" w:fill="000000"/>
          </w:tcPr>
          <w:p>
            <w:pPr>
              <w:ind w:left="740"/>
              <w:spacing w:after="0"/>
              <w:rPr>
                <w:sz w:val="20"/>
                <w:szCs w:val="20"/>
                <w:color w:val="auto"/>
              </w:rPr>
            </w:pPr>
            <w:r>
              <w:rPr>
                <w:rFonts w:ascii="Arial" w:cs="Arial" w:eastAsia="Arial" w:hAnsi="Arial"/>
                <w:sz w:val="14"/>
                <w:szCs w:val="14"/>
                <w:color w:val="FFFFFF"/>
              </w:rPr>
              <w:t>RSUs (#)</w:t>
            </w:r>
          </w:p>
        </w:tc>
      </w:tr>
      <w:tr>
        <w:trPr>
          <w:trHeight w:val="149"/>
        </w:trPr>
        <w:tc>
          <w:tcPr>
            <w:tcW w:w="3380" w:type="dxa"/>
            <w:vAlign w:val="bottom"/>
            <w:shd w:val="clear" w:color="auto" w:fill="000000"/>
          </w:tcPr>
          <w:p>
            <w:pPr>
              <w:spacing w:after="0"/>
              <w:rPr>
                <w:sz w:val="12"/>
                <w:szCs w:val="12"/>
                <w:color w:val="auto"/>
              </w:rPr>
            </w:pPr>
          </w:p>
        </w:tc>
        <w:tc>
          <w:tcPr>
            <w:tcW w:w="1640" w:type="dxa"/>
            <w:vAlign w:val="bottom"/>
            <w:shd w:val="clear" w:color="auto" w:fill="000000"/>
          </w:tcPr>
          <w:p>
            <w:pPr>
              <w:spacing w:after="0"/>
              <w:rPr>
                <w:sz w:val="12"/>
                <w:szCs w:val="12"/>
                <w:color w:val="auto"/>
              </w:rPr>
            </w:pPr>
          </w:p>
        </w:tc>
      </w:tr>
      <w:tr>
        <w:trPr>
          <w:trHeight w:val="326"/>
        </w:trPr>
        <w:tc>
          <w:tcPr>
            <w:tcW w:w="3380" w:type="dxa"/>
            <w:vAlign w:val="bottom"/>
          </w:tcPr>
          <w:p>
            <w:pPr>
              <w:ind w:left="180"/>
              <w:spacing w:after="0"/>
              <w:rPr>
                <w:sz w:val="20"/>
                <w:szCs w:val="20"/>
                <w:color w:val="auto"/>
              </w:rPr>
            </w:pPr>
            <w:r>
              <w:rPr>
                <w:rFonts w:ascii="Arial" w:cs="Arial" w:eastAsia="Arial" w:hAnsi="Arial"/>
                <w:sz w:val="16"/>
                <w:szCs w:val="16"/>
                <w:color w:val="auto"/>
              </w:rPr>
              <w:t>Turqi Alnowaiser</w:t>
            </w:r>
          </w:p>
        </w:tc>
        <w:tc>
          <w:tcPr>
            <w:tcW w:w="1640" w:type="dxa"/>
            <w:vAlign w:val="bottom"/>
          </w:tcPr>
          <w:p>
            <w:pPr>
              <w:ind w:left="740"/>
              <w:spacing w:after="0"/>
              <w:rPr>
                <w:sz w:val="20"/>
                <w:szCs w:val="20"/>
                <w:color w:val="auto"/>
              </w:rPr>
            </w:pPr>
            <w:r>
              <w:rPr>
                <w:rFonts w:ascii="Arial" w:cs="Arial" w:eastAsia="Arial" w:hAnsi="Arial"/>
                <w:sz w:val="16"/>
                <w:szCs w:val="16"/>
                <w:color w:val="auto"/>
              </w:rPr>
              <w:t>96,822</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Andrew Liveris</w:t>
            </w:r>
          </w:p>
        </w:tc>
        <w:tc>
          <w:tcPr>
            <w:tcW w:w="1640" w:type="dxa"/>
            <w:vAlign w:val="bottom"/>
          </w:tcPr>
          <w:p>
            <w:pPr>
              <w:ind w:left="740"/>
              <w:spacing w:after="0"/>
              <w:rPr>
                <w:sz w:val="20"/>
                <w:szCs w:val="20"/>
                <w:color w:val="auto"/>
              </w:rPr>
            </w:pPr>
            <w:r>
              <w:rPr>
                <w:rFonts w:ascii="Arial" w:cs="Arial" w:eastAsia="Arial" w:hAnsi="Arial"/>
                <w:sz w:val="16"/>
                <w:szCs w:val="16"/>
                <w:color w:val="auto"/>
              </w:rPr>
              <w:t>138,905</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Sherif Marakby</w:t>
            </w:r>
          </w:p>
        </w:tc>
        <w:tc>
          <w:tcPr>
            <w:tcW w:w="1640" w:type="dxa"/>
            <w:vAlign w:val="bottom"/>
          </w:tcPr>
          <w:p>
            <w:pPr>
              <w:ind w:left="740"/>
              <w:spacing w:after="0"/>
              <w:rPr>
                <w:sz w:val="20"/>
                <w:szCs w:val="20"/>
                <w:color w:val="auto"/>
              </w:rPr>
            </w:pPr>
            <w:r>
              <w:rPr>
                <w:rFonts w:ascii="Arial" w:cs="Arial" w:eastAsia="Arial" w:hAnsi="Arial"/>
                <w:sz w:val="16"/>
                <w:szCs w:val="16"/>
                <w:color w:val="auto"/>
              </w:rPr>
              <w:t>145,209</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Nichelle Maynard-Elliott</w:t>
            </w:r>
          </w:p>
        </w:tc>
        <w:tc>
          <w:tcPr>
            <w:tcW w:w="1640" w:type="dxa"/>
            <w:vAlign w:val="bottom"/>
          </w:tcPr>
          <w:p>
            <w:pPr>
              <w:ind w:left="740"/>
              <w:spacing w:after="0"/>
              <w:rPr>
                <w:sz w:val="20"/>
                <w:szCs w:val="20"/>
                <w:color w:val="auto"/>
              </w:rPr>
            </w:pPr>
            <w:r>
              <w:rPr>
                <w:rFonts w:ascii="Arial" w:cs="Arial" w:eastAsia="Arial" w:hAnsi="Arial"/>
                <w:sz w:val="16"/>
                <w:szCs w:val="16"/>
                <w:color w:val="auto"/>
              </w:rPr>
              <w:t>138,905</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Chabi Nouri</w:t>
            </w:r>
          </w:p>
        </w:tc>
        <w:tc>
          <w:tcPr>
            <w:tcW w:w="1640" w:type="dxa"/>
            <w:vAlign w:val="bottom"/>
          </w:tcPr>
          <w:p>
            <w:pPr>
              <w:ind w:left="740"/>
              <w:spacing w:after="0"/>
              <w:rPr>
                <w:sz w:val="20"/>
                <w:szCs w:val="20"/>
                <w:color w:val="auto"/>
              </w:rPr>
            </w:pPr>
            <w:r>
              <w:rPr>
                <w:rFonts w:ascii="Arial" w:cs="Arial" w:eastAsia="Arial" w:hAnsi="Arial"/>
                <w:sz w:val="16"/>
                <w:szCs w:val="16"/>
                <w:color w:val="auto"/>
              </w:rPr>
              <w:t>129,080</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Ori Winitzer</w:t>
            </w:r>
          </w:p>
        </w:tc>
        <w:tc>
          <w:tcPr>
            <w:tcW w:w="1640" w:type="dxa"/>
            <w:vAlign w:val="bottom"/>
          </w:tcPr>
          <w:p>
            <w:pPr>
              <w:ind w:left="740"/>
              <w:spacing w:after="0"/>
              <w:rPr>
                <w:sz w:val="20"/>
                <w:szCs w:val="20"/>
                <w:color w:val="auto"/>
              </w:rPr>
            </w:pPr>
            <w:r>
              <w:rPr>
                <w:rFonts w:ascii="Arial" w:cs="Arial" w:eastAsia="Arial" w:hAnsi="Arial"/>
                <w:sz w:val="16"/>
                <w:szCs w:val="16"/>
                <w:color w:val="auto"/>
              </w:rPr>
              <w:t>129,080</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Janet S. Wong</w:t>
            </w:r>
          </w:p>
        </w:tc>
        <w:tc>
          <w:tcPr>
            <w:tcW w:w="1640" w:type="dxa"/>
            <w:vAlign w:val="bottom"/>
          </w:tcPr>
          <w:p>
            <w:pPr>
              <w:ind w:left="740"/>
              <w:spacing w:after="0"/>
              <w:rPr>
                <w:sz w:val="20"/>
                <w:szCs w:val="20"/>
                <w:color w:val="auto"/>
              </w:rPr>
            </w:pPr>
            <w:r>
              <w:rPr>
                <w:rFonts w:ascii="Arial" w:cs="Arial" w:eastAsia="Arial" w:hAnsi="Arial"/>
                <w:sz w:val="16"/>
                <w:szCs w:val="16"/>
                <w:color w:val="auto"/>
              </w:rPr>
              <w:t>96,822</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Lisa M. Lambert</w:t>
            </w:r>
          </w:p>
        </w:tc>
        <w:tc>
          <w:tcPr>
            <w:tcW w:w="1640" w:type="dxa"/>
            <w:vAlign w:val="bottom"/>
          </w:tcPr>
          <w:p>
            <w:pPr>
              <w:ind w:left="740"/>
              <w:spacing w:after="0"/>
              <w:rPr>
                <w:sz w:val="20"/>
                <w:szCs w:val="20"/>
                <w:color w:val="auto"/>
              </w:rPr>
            </w:pPr>
            <w:r>
              <w:rPr>
                <w:rFonts w:ascii="Arial" w:cs="Arial" w:eastAsia="Arial" w:hAnsi="Arial"/>
                <w:sz w:val="16"/>
                <w:szCs w:val="16"/>
                <w:color w:val="auto"/>
              </w:rPr>
              <w:t>134,476</w:t>
            </w:r>
          </w:p>
        </w:tc>
      </w:tr>
      <w:tr>
        <w:trPr>
          <w:trHeight w:val="135"/>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304"/>
        </w:trPr>
        <w:tc>
          <w:tcPr>
            <w:tcW w:w="3380" w:type="dxa"/>
            <w:vAlign w:val="bottom"/>
          </w:tcPr>
          <w:p>
            <w:pPr>
              <w:ind w:left="180"/>
              <w:spacing w:after="0"/>
              <w:rPr>
                <w:sz w:val="20"/>
                <w:szCs w:val="20"/>
                <w:color w:val="auto"/>
              </w:rPr>
            </w:pPr>
            <w:r>
              <w:rPr>
                <w:rFonts w:ascii="Arial" w:cs="Arial" w:eastAsia="Arial" w:hAnsi="Arial"/>
                <w:sz w:val="16"/>
                <w:szCs w:val="16"/>
                <w:color w:val="auto"/>
              </w:rPr>
              <w:t>Glenn R. August, former director</w:t>
            </w:r>
          </w:p>
        </w:tc>
        <w:tc>
          <w:tcPr>
            <w:tcW w:w="1640" w:type="dxa"/>
            <w:vAlign w:val="bottom"/>
          </w:tcPr>
          <w:p>
            <w:pPr>
              <w:ind w:left="740"/>
              <w:spacing w:after="0"/>
              <w:rPr>
                <w:sz w:val="20"/>
                <w:szCs w:val="20"/>
                <w:color w:val="auto"/>
              </w:rPr>
            </w:pPr>
            <w:r>
              <w:rPr>
                <w:rFonts w:ascii="Arial" w:cs="Arial" w:eastAsia="Arial" w:hAnsi="Arial"/>
                <w:sz w:val="16"/>
                <w:szCs w:val="16"/>
                <w:color w:val="auto"/>
              </w:rPr>
              <w:t>0</w:t>
            </w:r>
          </w:p>
        </w:tc>
      </w:tr>
      <w:tr>
        <w:trPr>
          <w:trHeight w:val="138"/>
        </w:trPr>
        <w:tc>
          <w:tcPr>
            <w:tcW w:w="33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71</w:t>
      </w:r>
    </w:p>
    <w:p>
      <w:pPr>
        <w:sectPr>
          <w:pgSz w:w="11880" w:h="15480" w:orient="portrait"/>
          <w:cols w:equalWidth="0" w:num="1">
            <w:col w:w="10422"/>
          </w:cols>
          <w:pgMar w:left="718" w:top="943" w:right="7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40"/>
          <w:szCs w:val="40"/>
          <w:color w:val="auto"/>
        </w:rPr>
        <w:t>CEO Pay Ratio</w:t>
      </w:r>
    </w:p>
    <w:p>
      <w:pPr>
        <w:spacing w:after="0" w:line="200" w:lineRule="exact"/>
        <w:rPr>
          <w:sz w:val="20"/>
          <w:szCs w:val="20"/>
          <w:color w:val="auto"/>
        </w:rPr>
      </w:pPr>
    </w:p>
    <w:p>
      <w:pPr>
        <w:spacing w:after="0" w:line="246"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 accordance with the requirements of Section 953(b) of the Dodd-Frank Act and Item 402(u) of Regulation S-K (which we collectively refer to as the “Pay Ratio Rule”), we are providing the following estimated information for 2024:</w:t>
      </w:r>
    </w:p>
    <w:p>
      <w:pPr>
        <w:spacing w:after="0" w:line="125" w:lineRule="exact"/>
        <w:rPr>
          <w:sz w:val="20"/>
          <w:szCs w:val="20"/>
          <w:color w:val="auto"/>
        </w:rPr>
      </w:pPr>
    </w:p>
    <w:p>
      <w:pPr>
        <w:ind w:left="180" w:right="3100"/>
        <w:spacing w:after="0" w:line="451" w:lineRule="auto"/>
        <w:rPr>
          <w:sz w:val="20"/>
          <w:szCs w:val="20"/>
          <w:color w:val="auto"/>
        </w:rPr>
      </w:pPr>
      <w:r>
        <w:rPr>
          <w:rFonts w:ascii="Arial" w:cs="Arial" w:eastAsia="Arial" w:hAnsi="Arial"/>
          <w:sz w:val="18"/>
          <w:szCs w:val="18"/>
          <w:color w:val="auto"/>
        </w:rPr>
        <w:t>the Annual Total Compensation of Mr. Rawlinson, our former CEO, was $1,498,241; the Annual Total Compensation of our median employee was $120,394; and</w:t>
      </w:r>
    </w:p>
    <w:p>
      <w:pPr>
        <w:ind w:left="180" w:right="220"/>
        <w:spacing w:after="0" w:line="292" w:lineRule="auto"/>
        <w:rPr>
          <w:sz w:val="20"/>
          <w:szCs w:val="20"/>
          <w:color w:val="auto"/>
        </w:rPr>
      </w:pPr>
      <w:r>
        <w:rPr>
          <w:rFonts w:ascii="Arial" w:cs="Arial" w:eastAsia="Arial" w:hAnsi="Arial"/>
          <w:sz w:val="18"/>
          <w:szCs w:val="18"/>
          <w:color w:val="auto"/>
        </w:rPr>
        <w:t>the ratio of these two amounts was 12 to 1. We believe that this ratio is a reasonable estimate calculated in a manner consistent with the requirements of the Pay Ratio Rule.</w:t>
      </w:r>
    </w:p>
    <w:p>
      <w:pPr>
        <w:spacing w:after="0" w:line="21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“Annual Total Compensation” of our CEO and median employee for purposes of the Pay Ratio Rule was calculated using the same methodology we used for purposes of determining the annual total compensation for our NEOs for 2024 (as set forth in the Summary Compensation Table), adjusted to include the cost to the Company in 2024 of group medical, dental, and vision coverages, which are provided to all employees on a non-discriminatory basis. SEC rules for identifying the median employee and calculating the pay ratio allow companies to apply various methodologies and apply various assumptions and, as result, the pay ratio reported by us may not be comparable to the pay ratio reported by other companies.</w:t>
      </w:r>
    </w:p>
    <w:p>
      <w:pPr>
        <w:spacing w:after="0" w:line="200" w:lineRule="exact"/>
        <w:rPr>
          <w:sz w:val="20"/>
          <w:szCs w:val="20"/>
          <w:color w:val="auto"/>
        </w:rPr>
      </w:pPr>
    </w:p>
    <w:p>
      <w:pPr>
        <w:spacing w:after="0" w:line="261"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used December 31, 2024, as the date for determining the employees to be considered in computing the pay ratio. As of December 31, 2024, our employee population consisted of approximately 6,800 individuals excluding the CEO (of which approximately 88% were located in the United States and approximately 12% were located in jurisdictions outside the United States). Our employee population consisted of our global workforce of full-time, part-time, seasonal, and temporary employees.</w:t>
      </w:r>
    </w:p>
    <w:p>
      <w:pPr>
        <w:spacing w:after="0" w:line="200" w:lineRule="exact"/>
        <w:rPr>
          <w:sz w:val="20"/>
          <w:szCs w:val="20"/>
          <w:color w:val="auto"/>
        </w:rPr>
      </w:pPr>
    </w:p>
    <w:p>
      <w:pPr>
        <w:spacing w:after="0" w:line="257"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To identify our median employee from our total employee population (excluding our CEO), we used “base pay” for the full 2024 calendar year as our consistently applied compensation measure, which was determined using base salary or base hourly wage as reflected in our payroll records. Based on our consistently applied compensation measure, several employees were at the median compensation level. The median employee was determined by calculating Annual Total Compensation for all such employees and identifying the median compensated employee from this group. Using the methodologies described above, our median employee was a full-time employee located in Germany with Annual Total Compensation of $120,394.</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78" w:name="page79"/>
    <w:bookmarkEnd w:id="78"/>
    <w:p>
      <w:pPr>
        <w:ind w:left="2"/>
        <w:spacing w:after="0"/>
        <w:rPr>
          <w:sz w:val="20"/>
          <w:szCs w:val="20"/>
          <w:color w:val="auto"/>
        </w:rPr>
      </w:pPr>
      <w:r>
        <w:rPr>
          <w:rFonts w:ascii="Times New Roman" w:cs="Times New Roman" w:eastAsia="Times New Roman" w:hAnsi="Times New Roman"/>
          <w:sz w:val="40"/>
          <w:szCs w:val="40"/>
          <w:color w:val="auto"/>
        </w:rPr>
        <w:t>Pay Versus Performance</w:t>
      </w:r>
    </w:p>
    <w:p>
      <w:pPr>
        <w:spacing w:after="0" w:line="200" w:lineRule="exact"/>
        <w:rPr>
          <w:sz w:val="20"/>
          <w:szCs w:val="20"/>
          <w:color w:val="auto"/>
        </w:rPr>
      </w:pPr>
    </w:p>
    <w:p>
      <w:pPr>
        <w:spacing w:after="0" w:line="246" w:lineRule="exact"/>
        <w:rPr>
          <w:sz w:val="20"/>
          <w:szCs w:val="20"/>
          <w:color w:val="auto"/>
        </w:rPr>
      </w:pPr>
    </w:p>
    <w:p>
      <w:pPr>
        <w:ind w:left="2" w:right="40"/>
        <w:spacing w:after="0" w:line="281" w:lineRule="auto"/>
        <w:rPr>
          <w:sz w:val="20"/>
          <w:szCs w:val="20"/>
          <w:color w:val="auto"/>
        </w:rPr>
      </w:pPr>
      <w:r>
        <w:rPr>
          <w:rFonts w:ascii="Arial" w:cs="Arial" w:eastAsia="Arial" w:hAnsi="Arial"/>
          <w:sz w:val="18"/>
          <w:szCs w:val="18"/>
          <w:color w:val="auto"/>
        </w:rPr>
        <w:t>The following table sets forth the compensation for our former CEO (also referred to as “PEO”) and the average compensation for our other NEOs, both as reported in the Summary Compensation Table and with certain adjustments to reflect the “compensation actually paid” to such individuals, as defined under SEC rules, for each of 2024, 2023, 2022 and 2021. The table also provides information on our cumulative total shareholder return (“TSR”), the cumulative TSR of our peer group, Net Income and Free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6614795" cy="19043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795" cy="1904365"/>
                        </a:xfrm>
                        <a:prstGeom prst="rect">
                          <a:avLst/>
                        </a:prstGeom>
                        <a:solidFill>
                          <a:srgbClr val="000000"/>
                        </a:solidFill>
                      </wps:spPr>
                      <wps:bodyPr/>
                    </wps:wsp>
                  </a:graphicData>
                </a:graphic>
              </wp:anchor>
            </w:drawing>
          </mc:Choice>
          <mc:Fallback>
            <w:pict>
              <v:rect id="Shape 95" o:spid="_x0000_s1120" style="position:absolute;margin-left:0pt;margin-top:13.95pt;width:520.85pt;height:14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3" w:lineRule="exact"/>
        <w:rPr>
          <w:sz w:val="20"/>
          <w:szCs w:val="20"/>
          <w:color w:val="auto"/>
        </w:rPr>
      </w:pPr>
    </w:p>
    <w:p>
      <w:pPr>
        <w:jc w:val="center"/>
        <w:ind w:right="78"/>
        <w:spacing w:after="0"/>
        <w:rPr>
          <w:sz w:val="20"/>
          <w:szCs w:val="20"/>
          <w:color w:val="auto"/>
        </w:rPr>
      </w:pPr>
      <w:r>
        <w:rPr>
          <w:rFonts w:ascii="Arial" w:cs="Arial" w:eastAsia="Arial" w:hAnsi="Arial"/>
          <w:sz w:val="14"/>
          <w:szCs w:val="14"/>
          <w:color w:val="FFFFFF"/>
        </w:rPr>
        <w:t>Pay Versus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100965</wp:posOffset>
                </wp:positionV>
                <wp:extent cx="634873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873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5pt,7.95pt" to="508.85pt,7.95pt" o:allowincell="f" strokecolor="#FFFFFF" strokeweight="0.499pt"/>
            </w:pict>
          </mc:Fallback>
        </mc:AlternateContent>
      </w:r>
    </w:p>
    <w:p>
      <w:pPr>
        <w:spacing w:after="0" w:line="28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Arial" w:cs="Arial" w:eastAsia="Arial" w:hAnsi="Arial"/>
                <w:sz w:val="14"/>
                <w:szCs w:val="14"/>
                <w:color w:val="FFFFFF"/>
              </w:rPr>
              <w:t>Value of Initial Fixed</w:t>
            </w: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0"/>
        </w:trPr>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20" w:type="dxa"/>
            <w:vAlign w:val="bottom"/>
            <w:gridSpan w:val="2"/>
          </w:tcPr>
          <w:p>
            <w:pPr>
              <w:ind w:left="100"/>
              <w:spacing w:after="0" w:line="160" w:lineRule="exact"/>
              <w:rPr>
                <w:sz w:val="20"/>
                <w:szCs w:val="20"/>
                <w:color w:val="auto"/>
              </w:rPr>
            </w:pPr>
            <w:r>
              <w:rPr>
                <w:rFonts w:ascii="Arial" w:cs="Arial" w:eastAsia="Arial" w:hAnsi="Arial"/>
                <w:sz w:val="14"/>
                <w:szCs w:val="14"/>
                <w:color w:val="FFFFFF"/>
              </w:rPr>
              <w:t>$100 Investment Based</w:t>
            </w: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2"/>
        </w:trPr>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Arial" w:cs="Arial" w:eastAsia="Arial" w:hAnsi="Arial"/>
                <w:sz w:val="14"/>
                <w:szCs w:val="14"/>
                <w:color w:val="FFFFFF"/>
              </w:rPr>
              <w:t>On:</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457"/>
        </w:trPr>
        <w:tc>
          <w:tcPr>
            <w:tcW w:w="680" w:type="dxa"/>
            <w:vAlign w:val="bottom"/>
          </w:tcPr>
          <w:p>
            <w:pPr>
              <w:ind w:left="180"/>
              <w:spacing w:after="0"/>
              <w:rPr>
                <w:sz w:val="20"/>
                <w:szCs w:val="20"/>
                <w:color w:val="auto"/>
              </w:rPr>
            </w:pPr>
            <w:r>
              <w:rPr>
                <w:rFonts w:ascii="Arial" w:cs="Arial" w:eastAsia="Arial" w:hAnsi="Arial"/>
                <w:sz w:val="14"/>
                <w:szCs w:val="14"/>
                <w:color w:val="FFFFFF"/>
              </w:rPr>
              <w:t>Year</w:t>
            </w:r>
          </w:p>
        </w:tc>
        <w:tc>
          <w:tcPr>
            <w:tcW w:w="1200" w:type="dxa"/>
            <w:vAlign w:val="bottom"/>
          </w:tcPr>
          <w:p>
            <w:pPr>
              <w:ind w:left="80"/>
              <w:spacing w:after="0"/>
              <w:rPr>
                <w:sz w:val="20"/>
                <w:szCs w:val="20"/>
                <w:color w:val="auto"/>
              </w:rPr>
            </w:pPr>
            <w:r>
              <w:rPr>
                <w:rFonts w:ascii="Arial" w:cs="Arial" w:eastAsia="Arial" w:hAnsi="Arial"/>
                <w:sz w:val="14"/>
                <w:szCs w:val="14"/>
                <w:color w:val="FFFFFF"/>
              </w:rPr>
              <w:t>Summary</w:t>
            </w:r>
          </w:p>
        </w:tc>
        <w:tc>
          <w:tcPr>
            <w:tcW w:w="1340" w:type="dxa"/>
            <w:vAlign w:val="bottom"/>
          </w:tcPr>
          <w:p>
            <w:pPr>
              <w:ind w:left="80"/>
              <w:spacing w:after="0"/>
              <w:rPr>
                <w:sz w:val="20"/>
                <w:szCs w:val="20"/>
                <w:color w:val="auto"/>
              </w:rPr>
            </w:pPr>
            <w:r>
              <w:rPr>
                <w:rFonts w:ascii="Arial" w:cs="Arial" w:eastAsia="Arial" w:hAnsi="Arial"/>
                <w:sz w:val="14"/>
                <w:szCs w:val="14"/>
                <w:color w:val="FFFFFF"/>
              </w:rPr>
              <w:t>Compensation</w:t>
            </w:r>
          </w:p>
        </w:tc>
        <w:tc>
          <w:tcPr>
            <w:tcW w:w="1180" w:type="dxa"/>
            <w:vAlign w:val="bottom"/>
          </w:tcPr>
          <w:p>
            <w:pPr>
              <w:ind w:left="100"/>
              <w:spacing w:after="0"/>
              <w:rPr>
                <w:sz w:val="20"/>
                <w:szCs w:val="20"/>
                <w:color w:val="auto"/>
              </w:rPr>
            </w:pPr>
            <w:r>
              <w:rPr>
                <w:rFonts w:ascii="Arial" w:cs="Arial" w:eastAsia="Arial" w:hAnsi="Arial"/>
                <w:sz w:val="14"/>
                <w:szCs w:val="14"/>
                <w:color w:val="FFFFFF"/>
              </w:rPr>
              <w:t>Average</w:t>
            </w:r>
          </w:p>
        </w:tc>
        <w:tc>
          <w:tcPr>
            <w:tcW w:w="1240" w:type="dxa"/>
            <w:vAlign w:val="bottom"/>
          </w:tcPr>
          <w:p>
            <w:pPr>
              <w:ind w:left="100"/>
              <w:spacing w:after="0"/>
              <w:rPr>
                <w:sz w:val="20"/>
                <w:szCs w:val="20"/>
                <w:color w:val="auto"/>
              </w:rPr>
            </w:pPr>
            <w:r>
              <w:rPr>
                <w:rFonts w:ascii="Arial" w:cs="Arial" w:eastAsia="Arial" w:hAnsi="Arial"/>
                <w:sz w:val="14"/>
                <w:szCs w:val="14"/>
                <w:color w:val="FFFFFF"/>
              </w:rPr>
              <w:t>Average</w:t>
            </w:r>
          </w:p>
        </w:tc>
        <w:tc>
          <w:tcPr>
            <w:tcW w:w="1020" w:type="dxa"/>
            <w:vAlign w:val="bottom"/>
          </w:tcPr>
          <w:p>
            <w:pPr>
              <w:ind w:left="100"/>
              <w:spacing w:after="0"/>
              <w:rPr>
                <w:sz w:val="20"/>
                <w:szCs w:val="20"/>
                <w:color w:val="auto"/>
              </w:rPr>
            </w:pPr>
            <w:r>
              <w:rPr>
                <w:rFonts w:ascii="Arial" w:cs="Arial" w:eastAsia="Arial" w:hAnsi="Arial"/>
                <w:sz w:val="14"/>
                <w:szCs w:val="14"/>
                <w:color w:val="FFFFFF"/>
              </w:rPr>
              <w:t>Total</w:t>
            </w:r>
          </w:p>
        </w:tc>
        <w:tc>
          <w:tcPr>
            <w:tcW w:w="1000" w:type="dxa"/>
            <w:vAlign w:val="bottom"/>
          </w:tcPr>
          <w:p>
            <w:pPr>
              <w:ind w:left="80"/>
              <w:spacing w:after="0"/>
              <w:rPr>
                <w:sz w:val="20"/>
                <w:szCs w:val="20"/>
                <w:color w:val="auto"/>
              </w:rPr>
            </w:pPr>
            <w:r>
              <w:rPr>
                <w:rFonts w:ascii="Arial" w:cs="Arial" w:eastAsia="Arial" w:hAnsi="Arial"/>
                <w:sz w:val="14"/>
                <w:szCs w:val="14"/>
                <w:color w:val="FFFFFF"/>
              </w:rPr>
              <w:t>Peer Group</w:t>
            </w:r>
          </w:p>
        </w:tc>
        <w:tc>
          <w:tcPr>
            <w:tcW w:w="1180" w:type="dxa"/>
            <w:vAlign w:val="bottom"/>
          </w:tcPr>
          <w:p>
            <w:pPr>
              <w:ind w:left="100"/>
              <w:spacing w:after="0"/>
              <w:rPr>
                <w:sz w:val="20"/>
                <w:szCs w:val="20"/>
                <w:color w:val="auto"/>
              </w:rPr>
            </w:pPr>
            <w:r>
              <w:rPr>
                <w:rFonts w:ascii="Arial" w:cs="Arial" w:eastAsia="Arial" w:hAnsi="Arial"/>
                <w:sz w:val="14"/>
                <w:szCs w:val="14"/>
                <w:color w:val="FFFFFF"/>
              </w:rPr>
              <w:t>Net Income (in</w:t>
            </w:r>
          </w:p>
        </w:tc>
        <w:tc>
          <w:tcPr>
            <w:tcW w:w="1580" w:type="dxa"/>
            <w:vAlign w:val="bottom"/>
          </w:tcPr>
          <w:p>
            <w:pPr>
              <w:ind w:left="100"/>
              <w:spacing w:after="0"/>
              <w:rPr>
                <w:sz w:val="20"/>
                <w:szCs w:val="20"/>
                <w:color w:val="auto"/>
              </w:rPr>
            </w:pPr>
            <w:r>
              <w:rPr>
                <w:rFonts w:ascii="Arial" w:cs="Arial" w:eastAsia="Arial" w:hAnsi="Arial"/>
                <w:sz w:val="14"/>
                <w:szCs w:val="14"/>
                <w:color w:val="FFFFFF"/>
              </w:rPr>
              <w:t>Free Cash Flow (in</w:t>
            </w:r>
          </w:p>
        </w:tc>
      </w:tr>
      <w:tr>
        <w:trPr>
          <w:trHeight w:val="153"/>
        </w:trPr>
        <w:tc>
          <w:tcPr>
            <w:tcW w:w="680" w:type="dxa"/>
            <w:vAlign w:val="bottom"/>
          </w:tcPr>
          <w:p>
            <w:pPr>
              <w:spacing w:after="0"/>
              <w:rPr>
                <w:sz w:val="13"/>
                <w:szCs w:val="13"/>
                <w:color w:val="auto"/>
              </w:rPr>
            </w:pPr>
          </w:p>
        </w:tc>
        <w:tc>
          <w:tcPr>
            <w:tcW w:w="1200" w:type="dxa"/>
            <w:vAlign w:val="bottom"/>
          </w:tcPr>
          <w:p>
            <w:pPr>
              <w:ind w:left="80"/>
              <w:spacing w:after="0" w:line="153" w:lineRule="exact"/>
              <w:rPr>
                <w:sz w:val="20"/>
                <w:szCs w:val="20"/>
                <w:color w:val="auto"/>
              </w:rPr>
            </w:pPr>
            <w:r>
              <w:rPr>
                <w:rFonts w:ascii="Arial" w:cs="Arial" w:eastAsia="Arial" w:hAnsi="Arial"/>
                <w:sz w:val="14"/>
                <w:szCs w:val="14"/>
                <w:color w:val="FFFFFF"/>
              </w:rPr>
              <w:t>Compensation</w:t>
            </w:r>
          </w:p>
        </w:tc>
        <w:tc>
          <w:tcPr>
            <w:tcW w:w="1340" w:type="dxa"/>
            <w:vAlign w:val="bottom"/>
          </w:tcPr>
          <w:p>
            <w:pPr>
              <w:ind w:left="80"/>
              <w:spacing w:after="0" w:line="153" w:lineRule="exact"/>
              <w:rPr>
                <w:sz w:val="20"/>
                <w:szCs w:val="20"/>
                <w:color w:val="auto"/>
              </w:rPr>
            </w:pPr>
            <w:r>
              <w:rPr>
                <w:rFonts w:ascii="Arial" w:cs="Arial" w:eastAsia="Arial" w:hAnsi="Arial"/>
                <w:sz w:val="14"/>
                <w:szCs w:val="14"/>
                <w:color w:val="FFFFFF"/>
              </w:rPr>
              <w:t>Actually Paid to</w:t>
            </w:r>
          </w:p>
        </w:tc>
        <w:tc>
          <w:tcPr>
            <w:tcW w:w="1180" w:type="dxa"/>
            <w:vAlign w:val="bottom"/>
          </w:tcPr>
          <w:p>
            <w:pPr>
              <w:ind w:left="100"/>
              <w:spacing w:after="0" w:line="153" w:lineRule="exact"/>
              <w:rPr>
                <w:sz w:val="20"/>
                <w:szCs w:val="20"/>
                <w:color w:val="auto"/>
              </w:rPr>
            </w:pPr>
            <w:r>
              <w:rPr>
                <w:rFonts w:ascii="Arial" w:cs="Arial" w:eastAsia="Arial" w:hAnsi="Arial"/>
                <w:sz w:val="14"/>
                <w:szCs w:val="14"/>
                <w:color w:val="FFFFFF"/>
              </w:rPr>
              <w:t>Summary</w:t>
            </w:r>
          </w:p>
        </w:tc>
        <w:tc>
          <w:tcPr>
            <w:tcW w:w="1240" w:type="dxa"/>
            <w:vAlign w:val="bottom"/>
          </w:tcPr>
          <w:p>
            <w:pPr>
              <w:ind w:left="100"/>
              <w:spacing w:after="0" w:line="153" w:lineRule="exact"/>
              <w:rPr>
                <w:sz w:val="20"/>
                <w:szCs w:val="20"/>
                <w:color w:val="auto"/>
              </w:rPr>
            </w:pPr>
            <w:r>
              <w:rPr>
                <w:rFonts w:ascii="Arial" w:cs="Arial" w:eastAsia="Arial" w:hAnsi="Arial"/>
                <w:sz w:val="14"/>
                <w:szCs w:val="14"/>
                <w:color w:val="FFFFFF"/>
              </w:rPr>
              <w:t>Compensation</w:t>
            </w:r>
          </w:p>
        </w:tc>
        <w:tc>
          <w:tcPr>
            <w:tcW w:w="1020" w:type="dxa"/>
            <w:vAlign w:val="bottom"/>
          </w:tcPr>
          <w:p>
            <w:pPr>
              <w:ind w:left="100"/>
              <w:spacing w:after="0" w:line="153" w:lineRule="exact"/>
              <w:rPr>
                <w:sz w:val="20"/>
                <w:szCs w:val="20"/>
                <w:color w:val="auto"/>
              </w:rPr>
            </w:pPr>
            <w:r>
              <w:rPr>
                <w:rFonts w:ascii="Arial" w:cs="Arial" w:eastAsia="Arial" w:hAnsi="Arial"/>
                <w:sz w:val="14"/>
                <w:szCs w:val="14"/>
                <w:color w:val="FFFFFF"/>
              </w:rPr>
              <w:t>Shareholder</w:t>
            </w:r>
          </w:p>
        </w:tc>
        <w:tc>
          <w:tcPr>
            <w:tcW w:w="1000" w:type="dxa"/>
            <w:vAlign w:val="bottom"/>
          </w:tcPr>
          <w:p>
            <w:pPr>
              <w:ind w:left="80"/>
              <w:spacing w:after="0" w:line="153" w:lineRule="exact"/>
              <w:rPr>
                <w:sz w:val="20"/>
                <w:szCs w:val="20"/>
                <w:color w:val="auto"/>
              </w:rPr>
            </w:pPr>
            <w:r>
              <w:rPr>
                <w:rFonts w:ascii="Arial" w:cs="Arial" w:eastAsia="Arial" w:hAnsi="Arial"/>
                <w:sz w:val="14"/>
                <w:szCs w:val="14"/>
                <w:color w:val="FFFFFF"/>
              </w:rPr>
              <w:t>Total</w:t>
            </w:r>
          </w:p>
        </w:tc>
        <w:tc>
          <w:tcPr>
            <w:tcW w:w="1180" w:type="dxa"/>
            <w:vAlign w:val="bottom"/>
          </w:tcPr>
          <w:p>
            <w:pPr>
              <w:ind w:left="100"/>
              <w:spacing w:after="0" w:line="153" w:lineRule="exact"/>
              <w:rPr>
                <w:sz w:val="20"/>
                <w:szCs w:val="20"/>
                <w:color w:val="auto"/>
              </w:rPr>
            </w:pPr>
            <w:r>
              <w:rPr>
                <w:rFonts w:ascii="Arial" w:cs="Arial" w:eastAsia="Arial" w:hAnsi="Arial"/>
                <w:sz w:val="14"/>
                <w:szCs w:val="14"/>
                <w:color w:val="FFFFFF"/>
              </w:rPr>
              <w:t>Thousands)</w:t>
            </w:r>
          </w:p>
        </w:tc>
        <w:tc>
          <w:tcPr>
            <w:tcW w:w="1580" w:type="dxa"/>
            <w:vAlign w:val="bottom"/>
          </w:tcPr>
          <w:p>
            <w:pPr>
              <w:ind w:left="100"/>
              <w:spacing w:after="0" w:line="153" w:lineRule="exact"/>
              <w:rPr>
                <w:sz w:val="20"/>
                <w:szCs w:val="20"/>
                <w:color w:val="auto"/>
              </w:rPr>
            </w:pPr>
            <w:r>
              <w:rPr>
                <w:rFonts w:ascii="Arial" w:cs="Arial" w:eastAsia="Arial" w:hAnsi="Arial"/>
                <w:sz w:val="14"/>
                <w:szCs w:val="14"/>
                <w:color w:val="FFFFFF"/>
              </w:rPr>
              <w:t>Thousands)</w:t>
            </w:r>
          </w:p>
        </w:tc>
      </w:tr>
      <w:tr>
        <w:trPr>
          <w:trHeight w:val="160"/>
        </w:trPr>
        <w:tc>
          <w:tcPr>
            <w:tcW w:w="680" w:type="dxa"/>
            <w:vAlign w:val="bottom"/>
          </w:tcPr>
          <w:p>
            <w:pPr>
              <w:spacing w:after="0"/>
              <w:rPr>
                <w:sz w:val="13"/>
                <w:szCs w:val="13"/>
                <w:color w:val="auto"/>
              </w:rPr>
            </w:pPr>
          </w:p>
        </w:tc>
        <w:tc>
          <w:tcPr>
            <w:tcW w:w="1200" w:type="dxa"/>
            <w:vAlign w:val="bottom"/>
          </w:tcPr>
          <w:p>
            <w:pPr>
              <w:ind w:left="80"/>
              <w:spacing w:after="0" w:line="159" w:lineRule="exact"/>
              <w:rPr>
                <w:sz w:val="20"/>
                <w:szCs w:val="20"/>
                <w:color w:val="auto"/>
              </w:rPr>
            </w:pPr>
            <w:r>
              <w:rPr>
                <w:rFonts w:ascii="Arial" w:cs="Arial" w:eastAsia="Arial" w:hAnsi="Arial"/>
                <w:sz w:val="14"/>
                <w:szCs w:val="14"/>
                <w:color w:val="FFFFFF"/>
              </w:rPr>
              <w:t>Table Total for</w:t>
            </w:r>
          </w:p>
        </w:tc>
        <w:tc>
          <w:tcPr>
            <w:tcW w:w="1340" w:type="dxa"/>
            <w:vAlign w:val="bottom"/>
          </w:tcPr>
          <w:p>
            <w:pPr>
              <w:ind w:left="80"/>
              <w:spacing w:after="0" w:line="159" w:lineRule="exact"/>
              <w:rPr>
                <w:sz w:val="20"/>
                <w:szCs w:val="20"/>
                <w:color w:val="auto"/>
              </w:rPr>
            </w:pPr>
            <w:r>
              <w:rPr>
                <w:rFonts w:ascii="Arial" w:cs="Arial" w:eastAsia="Arial" w:hAnsi="Arial"/>
                <w:sz w:val="14"/>
                <w:szCs w:val="14"/>
                <w:color w:val="FFFFFF"/>
              </w:rPr>
              <w:t>PEO</w:t>
            </w: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FFFFFF"/>
              </w:rPr>
              <w:t>Compensation</w:t>
            </w:r>
          </w:p>
        </w:tc>
        <w:tc>
          <w:tcPr>
            <w:tcW w:w="1240" w:type="dxa"/>
            <w:vAlign w:val="bottom"/>
          </w:tcPr>
          <w:p>
            <w:pPr>
              <w:ind w:left="100"/>
              <w:spacing w:after="0" w:line="159" w:lineRule="exact"/>
              <w:rPr>
                <w:sz w:val="20"/>
                <w:szCs w:val="20"/>
                <w:color w:val="auto"/>
              </w:rPr>
            </w:pPr>
            <w:r>
              <w:rPr>
                <w:rFonts w:ascii="Arial" w:cs="Arial" w:eastAsia="Arial" w:hAnsi="Arial"/>
                <w:sz w:val="14"/>
                <w:szCs w:val="14"/>
                <w:color w:val="FFFFFF"/>
              </w:rPr>
              <w:t>Actually Paid to</w:t>
            </w:r>
          </w:p>
        </w:tc>
        <w:tc>
          <w:tcPr>
            <w:tcW w:w="1020" w:type="dxa"/>
            <w:vAlign w:val="bottom"/>
          </w:tcPr>
          <w:p>
            <w:pPr>
              <w:ind w:left="100"/>
              <w:spacing w:after="0" w:line="159" w:lineRule="exact"/>
              <w:rPr>
                <w:sz w:val="20"/>
                <w:szCs w:val="20"/>
                <w:color w:val="auto"/>
              </w:rPr>
            </w:pPr>
            <w:r>
              <w:rPr>
                <w:rFonts w:ascii="Arial" w:cs="Arial" w:eastAsia="Arial" w:hAnsi="Arial"/>
                <w:sz w:val="14"/>
                <w:szCs w:val="14"/>
                <w:color w:val="FFFFFF"/>
              </w:rPr>
              <w:t>Return</w:t>
            </w:r>
          </w:p>
        </w:tc>
        <w:tc>
          <w:tcPr>
            <w:tcW w:w="1000" w:type="dxa"/>
            <w:vAlign w:val="bottom"/>
          </w:tcPr>
          <w:p>
            <w:pPr>
              <w:ind w:left="80"/>
              <w:spacing w:after="0" w:line="159" w:lineRule="exact"/>
              <w:rPr>
                <w:sz w:val="20"/>
                <w:szCs w:val="20"/>
                <w:color w:val="auto"/>
              </w:rPr>
            </w:pPr>
            <w:r>
              <w:rPr>
                <w:rFonts w:ascii="Arial" w:cs="Arial" w:eastAsia="Arial" w:hAnsi="Arial"/>
                <w:sz w:val="14"/>
                <w:szCs w:val="14"/>
                <w:color w:val="FFFFFF"/>
              </w:rPr>
              <w:t>Shareholder</w:t>
            </w: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FFFFFF"/>
              </w:rPr>
              <w:t>($)</w:t>
            </w:r>
          </w:p>
        </w:tc>
        <w:tc>
          <w:tcPr>
            <w:tcW w:w="1580" w:type="dxa"/>
            <w:vAlign w:val="bottom"/>
          </w:tcPr>
          <w:p>
            <w:pPr>
              <w:ind w:left="100"/>
              <w:spacing w:after="0" w:line="160"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(3)</w:t>
            </w:r>
          </w:p>
        </w:tc>
      </w:tr>
      <w:tr>
        <w:trPr>
          <w:trHeight w:val="160"/>
        </w:trPr>
        <w:tc>
          <w:tcPr>
            <w:tcW w:w="680" w:type="dxa"/>
            <w:vAlign w:val="bottom"/>
          </w:tcPr>
          <w:p>
            <w:pPr>
              <w:spacing w:after="0"/>
              <w:rPr>
                <w:sz w:val="13"/>
                <w:szCs w:val="13"/>
                <w:color w:val="auto"/>
              </w:rPr>
            </w:pPr>
          </w:p>
        </w:tc>
        <w:tc>
          <w:tcPr>
            <w:tcW w:w="1200" w:type="dxa"/>
            <w:vAlign w:val="bottom"/>
          </w:tcPr>
          <w:p>
            <w:pPr>
              <w:ind w:left="80"/>
              <w:spacing w:after="0" w:line="159" w:lineRule="exact"/>
              <w:rPr>
                <w:sz w:val="20"/>
                <w:szCs w:val="20"/>
                <w:color w:val="auto"/>
              </w:rPr>
            </w:pPr>
            <w:r>
              <w:rPr>
                <w:rFonts w:ascii="Arial" w:cs="Arial" w:eastAsia="Arial" w:hAnsi="Arial"/>
                <w:sz w:val="14"/>
                <w:szCs w:val="14"/>
                <w:color w:val="FFFFFF"/>
              </w:rPr>
              <w:t>PEO</w:t>
            </w:r>
          </w:p>
        </w:tc>
        <w:tc>
          <w:tcPr>
            <w:tcW w:w="1340" w:type="dxa"/>
            <w:vAlign w:val="bottom"/>
          </w:tcPr>
          <w:p>
            <w:pPr>
              <w:ind w:left="80"/>
              <w:spacing w:after="0" w:line="160" w:lineRule="exact"/>
              <w:rPr>
                <w:sz w:val="20"/>
                <w:szCs w:val="20"/>
                <w:color w:val="auto"/>
              </w:rPr>
            </w:pPr>
            <w:r>
              <w:rPr>
                <w:rFonts w:ascii="Arial" w:cs="Arial" w:eastAsia="Arial" w:hAnsi="Arial"/>
                <w:sz w:val="18"/>
                <w:szCs w:val="18"/>
                <w:color w:val="FFFFFF"/>
                <w:vertAlign w:val="subscript"/>
              </w:rPr>
              <w:t>($)</w:t>
            </w:r>
            <w:r>
              <w:rPr>
                <w:rFonts w:ascii="Arial" w:cs="Arial" w:eastAsia="Arial" w:hAnsi="Arial"/>
                <w:sz w:val="7"/>
                <w:szCs w:val="7"/>
                <w:color w:val="FFFFFF"/>
              </w:rPr>
              <w:t>(1)(4)</w:t>
            </w: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FFFFFF"/>
              </w:rPr>
              <w:t>Table Total</w:t>
            </w:r>
          </w:p>
        </w:tc>
        <w:tc>
          <w:tcPr>
            <w:tcW w:w="1240" w:type="dxa"/>
            <w:vAlign w:val="bottom"/>
          </w:tcPr>
          <w:p>
            <w:pPr>
              <w:ind w:left="100"/>
              <w:spacing w:after="0" w:line="159" w:lineRule="exact"/>
              <w:rPr>
                <w:sz w:val="20"/>
                <w:szCs w:val="20"/>
                <w:color w:val="auto"/>
              </w:rPr>
            </w:pPr>
            <w:r>
              <w:rPr>
                <w:rFonts w:ascii="Arial" w:cs="Arial" w:eastAsia="Arial" w:hAnsi="Arial"/>
                <w:sz w:val="14"/>
                <w:szCs w:val="14"/>
                <w:color w:val="FFFFFF"/>
              </w:rPr>
              <w:t>Non-PEO</w:t>
            </w:r>
          </w:p>
        </w:tc>
        <w:tc>
          <w:tcPr>
            <w:tcW w:w="1020" w:type="dxa"/>
            <w:vAlign w:val="bottom"/>
          </w:tcPr>
          <w:p>
            <w:pPr>
              <w:ind w:left="100"/>
              <w:spacing w:after="0" w:line="159" w:lineRule="exact"/>
              <w:rPr>
                <w:sz w:val="20"/>
                <w:szCs w:val="20"/>
                <w:color w:val="auto"/>
              </w:rPr>
            </w:pPr>
            <w:r>
              <w:rPr>
                <w:rFonts w:ascii="Arial" w:cs="Arial" w:eastAsia="Arial" w:hAnsi="Arial"/>
                <w:sz w:val="14"/>
                <w:szCs w:val="14"/>
                <w:color w:val="FFFFFF"/>
              </w:rPr>
              <w:t>($)</w:t>
            </w:r>
          </w:p>
        </w:tc>
        <w:tc>
          <w:tcPr>
            <w:tcW w:w="1000" w:type="dxa"/>
            <w:vAlign w:val="bottom"/>
          </w:tcPr>
          <w:p>
            <w:pPr>
              <w:ind w:left="80"/>
              <w:spacing w:after="0" w:line="159" w:lineRule="exact"/>
              <w:rPr>
                <w:sz w:val="20"/>
                <w:szCs w:val="20"/>
                <w:color w:val="auto"/>
              </w:rPr>
            </w:pPr>
            <w:r>
              <w:rPr>
                <w:rFonts w:ascii="Arial" w:cs="Arial" w:eastAsia="Arial" w:hAnsi="Arial"/>
                <w:sz w:val="14"/>
                <w:szCs w:val="14"/>
                <w:color w:val="FFFFFF"/>
              </w:rPr>
              <w:t>Return</w:t>
            </w: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1200" w:type="dxa"/>
            <w:vAlign w:val="bottom"/>
          </w:tcPr>
          <w:p>
            <w:pPr>
              <w:ind w:left="80"/>
              <w:spacing w:after="0" w:line="166" w:lineRule="exact"/>
              <w:rPr>
                <w:sz w:val="20"/>
                <w:szCs w:val="20"/>
                <w:color w:val="auto"/>
              </w:rPr>
            </w:pPr>
            <w:r>
              <w:rPr>
                <w:rFonts w:ascii="Arial" w:cs="Arial" w:eastAsia="Arial" w:hAnsi="Arial"/>
                <w:sz w:val="14"/>
                <w:szCs w:val="14"/>
                <w:color w:val="FFFFFF"/>
              </w:rPr>
              <w:t>($)</w:t>
            </w:r>
            <w:r>
              <w:rPr>
                <w:rFonts w:ascii="Arial" w:cs="Arial" w:eastAsia="Arial" w:hAnsi="Arial"/>
                <w:sz w:val="17"/>
                <w:szCs w:val="17"/>
                <w:color w:val="FFFFFF"/>
                <w:vertAlign w:val="superscript"/>
              </w:rPr>
              <w:t>(1)</w:t>
            </w:r>
          </w:p>
        </w:tc>
        <w:tc>
          <w:tcPr>
            <w:tcW w:w="13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FFFFFF"/>
              </w:rPr>
              <w:t>for Non-PEO</w:t>
            </w:r>
          </w:p>
        </w:tc>
        <w:tc>
          <w:tcPr>
            <w:tcW w:w="1240" w:type="dxa"/>
            <w:vAlign w:val="bottom"/>
          </w:tcPr>
          <w:p>
            <w:pPr>
              <w:ind w:left="100"/>
              <w:spacing w:after="0"/>
              <w:rPr>
                <w:sz w:val="20"/>
                <w:szCs w:val="20"/>
                <w:color w:val="auto"/>
              </w:rPr>
            </w:pPr>
            <w:r>
              <w:rPr>
                <w:rFonts w:ascii="Arial" w:cs="Arial" w:eastAsia="Arial" w:hAnsi="Arial"/>
                <w:sz w:val="14"/>
                <w:szCs w:val="14"/>
                <w:color w:val="FFFFFF"/>
              </w:rPr>
              <w:t>Named</w:t>
            </w:r>
          </w:p>
        </w:tc>
        <w:tc>
          <w:tcPr>
            <w:tcW w:w="1020" w:type="dxa"/>
            <w:vAlign w:val="bottom"/>
          </w:tcPr>
          <w:p>
            <w:pPr>
              <w:spacing w:after="0"/>
              <w:rPr>
                <w:sz w:val="14"/>
                <w:szCs w:val="14"/>
                <w:color w:val="auto"/>
              </w:rPr>
            </w:pPr>
          </w:p>
        </w:tc>
        <w:tc>
          <w:tcPr>
            <w:tcW w:w="1000" w:type="dxa"/>
            <w:vAlign w:val="bottom"/>
          </w:tcPr>
          <w:p>
            <w:pPr>
              <w:ind w:left="80"/>
              <w:spacing w:after="0" w:line="166" w:lineRule="exact"/>
              <w:rPr>
                <w:sz w:val="20"/>
                <w:szCs w:val="20"/>
                <w:color w:val="auto"/>
              </w:rPr>
            </w:pPr>
            <w:r>
              <w:rPr>
                <w:rFonts w:ascii="Arial" w:cs="Arial" w:eastAsia="Arial" w:hAnsi="Arial"/>
                <w:sz w:val="19"/>
                <w:szCs w:val="19"/>
                <w:color w:val="FFFFFF"/>
                <w:vertAlign w:val="subscript"/>
              </w:rPr>
              <w:t>($)</w:t>
            </w:r>
            <w:r>
              <w:rPr>
                <w:rFonts w:ascii="Arial" w:cs="Arial" w:eastAsia="Arial" w:hAnsi="Arial"/>
                <w:sz w:val="8"/>
                <w:szCs w:val="8"/>
                <w:color w:val="FFFFFF"/>
              </w:rPr>
              <w:t>(2)</w:t>
            </w: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0"/>
        </w:trPr>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ind w:left="100"/>
              <w:spacing w:after="0" w:line="160" w:lineRule="exact"/>
              <w:rPr>
                <w:sz w:val="20"/>
                <w:szCs w:val="20"/>
                <w:color w:val="auto"/>
              </w:rPr>
            </w:pPr>
            <w:r>
              <w:rPr>
                <w:rFonts w:ascii="Arial" w:cs="Arial" w:eastAsia="Arial" w:hAnsi="Arial"/>
                <w:sz w:val="14"/>
                <w:szCs w:val="14"/>
                <w:color w:val="FFFFFF"/>
              </w:rPr>
              <w:t>Named</w:t>
            </w:r>
          </w:p>
        </w:tc>
        <w:tc>
          <w:tcPr>
            <w:tcW w:w="1240" w:type="dxa"/>
            <w:vAlign w:val="bottom"/>
          </w:tcPr>
          <w:p>
            <w:pPr>
              <w:ind w:left="100"/>
              <w:spacing w:after="0" w:line="160" w:lineRule="exact"/>
              <w:rPr>
                <w:sz w:val="20"/>
                <w:szCs w:val="20"/>
                <w:color w:val="auto"/>
              </w:rPr>
            </w:pPr>
            <w:r>
              <w:rPr>
                <w:rFonts w:ascii="Arial" w:cs="Arial" w:eastAsia="Arial" w:hAnsi="Arial"/>
                <w:sz w:val="14"/>
                <w:szCs w:val="14"/>
                <w:color w:val="FFFFFF"/>
              </w:rPr>
              <w:t>Executive</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ind w:left="100"/>
              <w:spacing w:after="0" w:line="153" w:lineRule="exact"/>
              <w:rPr>
                <w:sz w:val="20"/>
                <w:szCs w:val="20"/>
                <w:color w:val="auto"/>
              </w:rPr>
            </w:pPr>
            <w:r>
              <w:rPr>
                <w:rFonts w:ascii="Arial" w:cs="Arial" w:eastAsia="Arial" w:hAnsi="Arial"/>
                <w:sz w:val="14"/>
                <w:szCs w:val="14"/>
                <w:color w:val="FFFFFF"/>
              </w:rPr>
              <w:t>Executive</w:t>
            </w:r>
          </w:p>
        </w:tc>
        <w:tc>
          <w:tcPr>
            <w:tcW w:w="1240" w:type="dxa"/>
            <w:vAlign w:val="bottom"/>
          </w:tcPr>
          <w:p>
            <w:pPr>
              <w:ind w:left="100"/>
              <w:spacing w:after="0" w:line="153" w:lineRule="exact"/>
              <w:rPr>
                <w:sz w:val="20"/>
                <w:szCs w:val="20"/>
                <w:color w:val="auto"/>
              </w:rPr>
            </w:pPr>
            <w:r>
              <w:rPr>
                <w:rFonts w:ascii="Arial" w:cs="Arial" w:eastAsia="Arial" w:hAnsi="Arial"/>
                <w:sz w:val="14"/>
                <w:szCs w:val="14"/>
                <w:color w:val="FFFFFF"/>
              </w:rPr>
              <w:t>Officers</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FFFFFF"/>
              </w:rPr>
              <w:t>Officers</w:t>
            </w:r>
          </w:p>
        </w:tc>
        <w:tc>
          <w:tcPr>
            <w:tcW w:w="1240" w:type="dxa"/>
            <w:vAlign w:val="bottom"/>
          </w:tcPr>
          <w:p>
            <w:pPr>
              <w:ind w:left="100"/>
              <w:spacing w:after="0" w:line="160" w:lineRule="exact"/>
              <w:rPr>
                <w:sz w:val="20"/>
                <w:szCs w:val="20"/>
                <w:color w:val="auto"/>
              </w:rPr>
            </w:pPr>
            <w:r>
              <w:rPr>
                <w:rFonts w:ascii="Arial" w:cs="Arial" w:eastAsia="Arial" w:hAnsi="Arial"/>
                <w:sz w:val="18"/>
                <w:szCs w:val="18"/>
                <w:color w:val="FFFFFF"/>
                <w:vertAlign w:val="subscript"/>
              </w:rPr>
              <w:t>($)</w:t>
            </w:r>
            <w:r>
              <w:rPr>
                <w:rFonts w:ascii="Arial" w:cs="Arial" w:eastAsia="Arial" w:hAnsi="Arial"/>
                <w:sz w:val="7"/>
                <w:szCs w:val="7"/>
                <w:color w:val="FFFFFF"/>
              </w:rPr>
              <w:t>(1)(4)</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376"/>
        </w:trPr>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Arial" w:cs="Arial" w:eastAsia="Arial" w:hAnsi="Arial"/>
                <w:sz w:val="27"/>
                <w:szCs w:val="27"/>
                <w:color w:val="FFFFFF"/>
                <w:vertAlign w:val="subscript"/>
              </w:rPr>
              <w:t>($)</w:t>
            </w:r>
            <w:r>
              <w:rPr>
                <w:rFonts w:ascii="Arial" w:cs="Arial" w:eastAsia="Arial" w:hAnsi="Arial"/>
                <w:sz w:val="9"/>
                <w:szCs w:val="9"/>
                <w:color w:val="FFFFFF"/>
              </w:rPr>
              <w:t>(1)</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7"/>
        </w:trPr>
        <w:tc>
          <w:tcPr>
            <w:tcW w:w="680" w:type="dxa"/>
            <w:vAlign w:val="bottom"/>
          </w:tcPr>
          <w:p>
            <w:pPr>
              <w:ind w:left="180"/>
              <w:spacing w:after="0"/>
              <w:rPr>
                <w:sz w:val="20"/>
                <w:szCs w:val="20"/>
                <w:color w:val="auto"/>
              </w:rPr>
            </w:pPr>
            <w:r>
              <w:rPr>
                <w:rFonts w:ascii="Arial" w:cs="Arial" w:eastAsia="Arial" w:hAnsi="Arial"/>
                <w:sz w:val="16"/>
                <w:szCs w:val="16"/>
                <w:color w:val="auto"/>
              </w:rPr>
              <w:t>2024</w:t>
            </w:r>
          </w:p>
        </w:tc>
        <w:tc>
          <w:tcPr>
            <w:tcW w:w="1200" w:type="dxa"/>
            <w:vAlign w:val="bottom"/>
          </w:tcPr>
          <w:p>
            <w:pPr>
              <w:ind w:left="80"/>
              <w:spacing w:after="0"/>
              <w:rPr>
                <w:sz w:val="20"/>
                <w:szCs w:val="20"/>
                <w:color w:val="auto"/>
              </w:rPr>
            </w:pPr>
            <w:r>
              <w:rPr>
                <w:rFonts w:ascii="Arial" w:cs="Arial" w:eastAsia="Arial" w:hAnsi="Arial"/>
                <w:sz w:val="16"/>
                <w:szCs w:val="16"/>
                <w:color w:val="auto"/>
              </w:rPr>
              <w:t>1,490,490</w:t>
            </w:r>
          </w:p>
        </w:tc>
        <w:tc>
          <w:tcPr>
            <w:tcW w:w="1340" w:type="dxa"/>
            <w:vAlign w:val="bottom"/>
          </w:tcPr>
          <w:p>
            <w:pPr>
              <w:ind w:left="80"/>
              <w:spacing w:after="0"/>
              <w:rPr>
                <w:sz w:val="20"/>
                <w:szCs w:val="20"/>
                <w:color w:val="auto"/>
              </w:rPr>
            </w:pPr>
            <w:r>
              <w:rPr>
                <w:rFonts w:ascii="Arial" w:cs="Arial" w:eastAsia="Arial" w:hAnsi="Arial"/>
                <w:sz w:val="16"/>
                <w:szCs w:val="16"/>
                <w:color w:val="auto"/>
              </w:rPr>
              <w:t>(6,467,228)</w:t>
            </w:r>
          </w:p>
        </w:tc>
        <w:tc>
          <w:tcPr>
            <w:tcW w:w="1180" w:type="dxa"/>
            <w:vAlign w:val="bottom"/>
          </w:tcPr>
          <w:p>
            <w:pPr>
              <w:ind w:left="100"/>
              <w:spacing w:after="0"/>
              <w:rPr>
                <w:sz w:val="20"/>
                <w:szCs w:val="20"/>
                <w:color w:val="auto"/>
              </w:rPr>
            </w:pPr>
            <w:r>
              <w:rPr>
                <w:rFonts w:ascii="Arial" w:cs="Arial" w:eastAsia="Arial" w:hAnsi="Arial"/>
                <w:sz w:val="16"/>
                <w:szCs w:val="16"/>
                <w:color w:val="auto"/>
              </w:rPr>
              <w:t>5,869,874</w:t>
            </w:r>
          </w:p>
        </w:tc>
        <w:tc>
          <w:tcPr>
            <w:tcW w:w="1240" w:type="dxa"/>
            <w:vAlign w:val="bottom"/>
          </w:tcPr>
          <w:p>
            <w:pPr>
              <w:ind w:left="100"/>
              <w:spacing w:after="0"/>
              <w:rPr>
                <w:sz w:val="20"/>
                <w:szCs w:val="20"/>
                <w:color w:val="auto"/>
              </w:rPr>
            </w:pPr>
            <w:r>
              <w:rPr>
                <w:rFonts w:ascii="Arial" w:cs="Arial" w:eastAsia="Arial" w:hAnsi="Arial"/>
                <w:sz w:val="16"/>
                <w:szCs w:val="16"/>
                <w:color w:val="auto"/>
              </w:rPr>
              <w:t>3,898,596</w:t>
            </w:r>
          </w:p>
        </w:tc>
        <w:tc>
          <w:tcPr>
            <w:tcW w:w="1020" w:type="dxa"/>
            <w:vAlign w:val="bottom"/>
          </w:tcPr>
          <w:p>
            <w:pPr>
              <w:ind w:left="100"/>
              <w:spacing w:after="0"/>
              <w:rPr>
                <w:sz w:val="20"/>
                <w:szCs w:val="20"/>
                <w:color w:val="auto"/>
              </w:rPr>
            </w:pPr>
            <w:r>
              <w:rPr>
                <w:rFonts w:ascii="Arial" w:cs="Arial" w:eastAsia="Arial" w:hAnsi="Arial"/>
                <w:sz w:val="16"/>
                <w:szCs w:val="16"/>
                <w:color w:val="auto"/>
              </w:rPr>
              <w:t>12.45</w:t>
            </w:r>
          </w:p>
        </w:tc>
        <w:tc>
          <w:tcPr>
            <w:tcW w:w="1000" w:type="dxa"/>
            <w:vAlign w:val="bottom"/>
          </w:tcPr>
          <w:p>
            <w:pPr>
              <w:ind w:left="80"/>
              <w:spacing w:after="0"/>
              <w:rPr>
                <w:sz w:val="20"/>
                <w:szCs w:val="20"/>
                <w:color w:val="auto"/>
              </w:rPr>
            </w:pPr>
            <w:r>
              <w:rPr>
                <w:rFonts w:ascii="Arial" w:cs="Arial" w:eastAsia="Arial" w:hAnsi="Arial"/>
                <w:sz w:val="16"/>
                <w:szCs w:val="16"/>
                <w:color w:val="auto"/>
              </w:rPr>
              <w:t>224.42</w:t>
            </w:r>
          </w:p>
        </w:tc>
        <w:tc>
          <w:tcPr>
            <w:tcW w:w="1180" w:type="dxa"/>
            <w:vAlign w:val="bottom"/>
          </w:tcPr>
          <w:p>
            <w:pPr>
              <w:ind w:left="100"/>
              <w:spacing w:after="0"/>
              <w:rPr>
                <w:sz w:val="20"/>
                <w:szCs w:val="20"/>
                <w:color w:val="auto"/>
              </w:rPr>
            </w:pPr>
            <w:r>
              <w:rPr>
                <w:rFonts w:ascii="Arial" w:cs="Arial" w:eastAsia="Arial" w:hAnsi="Arial"/>
                <w:sz w:val="16"/>
                <w:szCs w:val="16"/>
                <w:color w:val="auto"/>
              </w:rPr>
              <w:t>(2,713,942)</w:t>
            </w:r>
          </w:p>
        </w:tc>
        <w:tc>
          <w:tcPr>
            <w:tcW w:w="1580" w:type="dxa"/>
            <w:vAlign w:val="bottom"/>
          </w:tcPr>
          <w:p>
            <w:pPr>
              <w:ind w:left="100"/>
              <w:spacing w:after="0"/>
              <w:rPr>
                <w:sz w:val="20"/>
                <w:szCs w:val="20"/>
                <w:color w:val="auto"/>
              </w:rPr>
            </w:pPr>
            <w:r>
              <w:rPr>
                <w:rFonts w:ascii="Arial" w:cs="Arial" w:eastAsia="Arial" w:hAnsi="Arial"/>
                <w:sz w:val="16"/>
                <w:szCs w:val="16"/>
                <w:color w:val="auto"/>
              </w:rPr>
              <w:t>(2,903,515)</w:t>
            </w:r>
          </w:p>
        </w:tc>
      </w:tr>
      <w:tr>
        <w:trPr>
          <w:trHeight w:val="135"/>
        </w:trPr>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680" w:type="dxa"/>
            <w:vAlign w:val="bottom"/>
          </w:tcPr>
          <w:p>
            <w:pPr>
              <w:ind w:left="180"/>
              <w:spacing w:after="0"/>
              <w:rPr>
                <w:sz w:val="20"/>
                <w:szCs w:val="20"/>
                <w:color w:val="auto"/>
              </w:rPr>
            </w:pPr>
            <w:r>
              <w:rPr>
                <w:rFonts w:ascii="Arial" w:cs="Arial" w:eastAsia="Arial" w:hAnsi="Arial"/>
                <w:sz w:val="16"/>
                <w:szCs w:val="16"/>
                <w:color w:val="auto"/>
              </w:rPr>
              <w:t>2023</w:t>
            </w:r>
          </w:p>
        </w:tc>
        <w:tc>
          <w:tcPr>
            <w:tcW w:w="1200" w:type="dxa"/>
            <w:vAlign w:val="bottom"/>
          </w:tcPr>
          <w:p>
            <w:pPr>
              <w:ind w:left="80"/>
              <w:spacing w:after="0"/>
              <w:rPr>
                <w:sz w:val="20"/>
                <w:szCs w:val="20"/>
                <w:color w:val="auto"/>
              </w:rPr>
            </w:pPr>
            <w:r>
              <w:rPr>
                <w:rFonts w:ascii="Arial" w:cs="Arial" w:eastAsia="Arial" w:hAnsi="Arial"/>
                <w:sz w:val="16"/>
                <w:szCs w:val="16"/>
                <w:color w:val="auto"/>
              </w:rPr>
              <w:t>6,837,213</w:t>
            </w:r>
          </w:p>
        </w:tc>
        <w:tc>
          <w:tcPr>
            <w:tcW w:w="1340" w:type="dxa"/>
            <w:vAlign w:val="bottom"/>
          </w:tcPr>
          <w:p>
            <w:pPr>
              <w:ind w:left="80"/>
              <w:spacing w:after="0"/>
              <w:rPr>
                <w:sz w:val="20"/>
                <w:szCs w:val="20"/>
                <w:color w:val="auto"/>
              </w:rPr>
            </w:pPr>
            <w:r>
              <w:rPr>
                <w:rFonts w:ascii="Arial" w:cs="Arial" w:eastAsia="Arial" w:hAnsi="Arial"/>
                <w:sz w:val="16"/>
                <w:szCs w:val="16"/>
                <w:color w:val="auto"/>
              </w:rPr>
              <w:t>(13,293,519)</w:t>
            </w:r>
          </w:p>
        </w:tc>
        <w:tc>
          <w:tcPr>
            <w:tcW w:w="1180" w:type="dxa"/>
            <w:vAlign w:val="bottom"/>
          </w:tcPr>
          <w:p>
            <w:pPr>
              <w:ind w:left="100"/>
              <w:spacing w:after="0"/>
              <w:rPr>
                <w:sz w:val="20"/>
                <w:szCs w:val="20"/>
                <w:color w:val="auto"/>
              </w:rPr>
            </w:pPr>
            <w:r>
              <w:rPr>
                <w:rFonts w:ascii="Arial" w:cs="Arial" w:eastAsia="Arial" w:hAnsi="Arial"/>
                <w:sz w:val="16"/>
                <w:szCs w:val="16"/>
                <w:color w:val="auto"/>
              </w:rPr>
              <w:t>8,544,858</w:t>
            </w:r>
          </w:p>
        </w:tc>
        <w:tc>
          <w:tcPr>
            <w:tcW w:w="1240" w:type="dxa"/>
            <w:vAlign w:val="bottom"/>
          </w:tcPr>
          <w:p>
            <w:pPr>
              <w:ind w:left="100"/>
              <w:spacing w:after="0"/>
              <w:rPr>
                <w:sz w:val="20"/>
                <w:szCs w:val="20"/>
                <w:color w:val="auto"/>
              </w:rPr>
            </w:pPr>
            <w:r>
              <w:rPr>
                <w:rFonts w:ascii="Arial" w:cs="Arial" w:eastAsia="Arial" w:hAnsi="Arial"/>
                <w:sz w:val="16"/>
                <w:szCs w:val="16"/>
                <w:color w:val="auto"/>
              </w:rPr>
              <w:t>3,677,588</w:t>
            </w:r>
          </w:p>
        </w:tc>
        <w:tc>
          <w:tcPr>
            <w:tcW w:w="1020" w:type="dxa"/>
            <w:vAlign w:val="bottom"/>
          </w:tcPr>
          <w:p>
            <w:pPr>
              <w:ind w:left="100"/>
              <w:spacing w:after="0"/>
              <w:rPr>
                <w:sz w:val="20"/>
                <w:szCs w:val="20"/>
                <w:color w:val="auto"/>
              </w:rPr>
            </w:pPr>
            <w:r>
              <w:rPr>
                <w:rFonts w:ascii="Arial" w:cs="Arial" w:eastAsia="Arial" w:hAnsi="Arial"/>
                <w:sz w:val="16"/>
                <w:szCs w:val="16"/>
                <w:color w:val="auto"/>
              </w:rPr>
              <w:t>17.36</w:t>
            </w:r>
          </w:p>
        </w:tc>
        <w:tc>
          <w:tcPr>
            <w:tcW w:w="1000" w:type="dxa"/>
            <w:vAlign w:val="bottom"/>
          </w:tcPr>
          <w:p>
            <w:pPr>
              <w:ind w:left="80"/>
              <w:spacing w:after="0"/>
              <w:rPr>
                <w:sz w:val="20"/>
                <w:szCs w:val="20"/>
                <w:color w:val="auto"/>
              </w:rPr>
            </w:pPr>
            <w:r>
              <w:rPr>
                <w:rFonts w:ascii="Arial" w:cs="Arial" w:eastAsia="Arial" w:hAnsi="Arial"/>
                <w:sz w:val="16"/>
                <w:szCs w:val="16"/>
                <w:color w:val="auto"/>
              </w:rPr>
              <w:t>162.40</w:t>
            </w:r>
          </w:p>
        </w:tc>
        <w:tc>
          <w:tcPr>
            <w:tcW w:w="1180" w:type="dxa"/>
            <w:vAlign w:val="bottom"/>
          </w:tcPr>
          <w:p>
            <w:pPr>
              <w:ind w:left="100"/>
              <w:spacing w:after="0"/>
              <w:rPr>
                <w:sz w:val="20"/>
                <w:szCs w:val="20"/>
                <w:color w:val="auto"/>
              </w:rPr>
            </w:pPr>
            <w:r>
              <w:rPr>
                <w:rFonts w:ascii="Arial" w:cs="Arial" w:eastAsia="Arial" w:hAnsi="Arial"/>
                <w:sz w:val="16"/>
                <w:szCs w:val="16"/>
                <w:color w:val="auto"/>
              </w:rPr>
              <w:t>(2,828,420)</w:t>
            </w:r>
          </w:p>
        </w:tc>
        <w:tc>
          <w:tcPr>
            <w:tcW w:w="1580" w:type="dxa"/>
            <w:vAlign w:val="bottom"/>
          </w:tcPr>
          <w:p>
            <w:pPr>
              <w:ind w:left="100"/>
              <w:spacing w:after="0"/>
              <w:rPr>
                <w:sz w:val="20"/>
                <w:szCs w:val="20"/>
                <w:color w:val="auto"/>
              </w:rPr>
            </w:pPr>
            <w:r>
              <w:rPr>
                <w:rFonts w:ascii="Arial" w:cs="Arial" w:eastAsia="Arial" w:hAnsi="Arial"/>
                <w:sz w:val="16"/>
                <w:szCs w:val="16"/>
                <w:color w:val="auto"/>
              </w:rPr>
              <w:t>(3,400,397)</w:t>
            </w:r>
          </w:p>
        </w:tc>
      </w:tr>
      <w:tr>
        <w:trPr>
          <w:trHeight w:val="135"/>
        </w:trPr>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680" w:type="dxa"/>
            <w:vAlign w:val="bottom"/>
          </w:tcPr>
          <w:p>
            <w:pPr>
              <w:ind w:left="180"/>
              <w:spacing w:after="0"/>
              <w:rPr>
                <w:sz w:val="20"/>
                <w:szCs w:val="20"/>
                <w:color w:val="auto"/>
              </w:rPr>
            </w:pPr>
            <w:r>
              <w:rPr>
                <w:rFonts w:ascii="Arial" w:cs="Arial" w:eastAsia="Arial" w:hAnsi="Arial"/>
                <w:sz w:val="16"/>
                <w:szCs w:val="16"/>
                <w:color w:val="auto"/>
              </w:rPr>
              <w:t>2022</w:t>
            </w:r>
          </w:p>
        </w:tc>
        <w:tc>
          <w:tcPr>
            <w:tcW w:w="1200" w:type="dxa"/>
            <w:vAlign w:val="bottom"/>
          </w:tcPr>
          <w:p>
            <w:pPr>
              <w:ind w:left="80"/>
              <w:spacing w:after="0"/>
              <w:rPr>
                <w:sz w:val="20"/>
                <w:szCs w:val="20"/>
                <w:color w:val="auto"/>
              </w:rPr>
            </w:pPr>
            <w:r>
              <w:rPr>
                <w:rFonts w:ascii="Arial" w:cs="Arial" w:eastAsia="Arial" w:hAnsi="Arial"/>
                <w:sz w:val="16"/>
                <w:szCs w:val="16"/>
                <w:color w:val="auto"/>
              </w:rPr>
              <w:t>596,430</w:t>
            </w:r>
          </w:p>
        </w:tc>
        <w:tc>
          <w:tcPr>
            <w:tcW w:w="1340" w:type="dxa"/>
            <w:vAlign w:val="bottom"/>
          </w:tcPr>
          <w:p>
            <w:pPr>
              <w:ind w:left="80"/>
              <w:spacing w:after="0"/>
              <w:rPr>
                <w:sz w:val="20"/>
                <w:szCs w:val="20"/>
                <w:color w:val="auto"/>
              </w:rPr>
            </w:pPr>
            <w:r>
              <w:rPr>
                <w:rFonts w:ascii="Arial" w:cs="Arial" w:eastAsia="Arial" w:hAnsi="Arial"/>
                <w:sz w:val="16"/>
                <w:szCs w:val="16"/>
                <w:color w:val="auto"/>
              </w:rPr>
              <w:t>(643,851,664)</w:t>
            </w:r>
          </w:p>
        </w:tc>
        <w:tc>
          <w:tcPr>
            <w:tcW w:w="1180" w:type="dxa"/>
            <w:vAlign w:val="bottom"/>
          </w:tcPr>
          <w:p>
            <w:pPr>
              <w:ind w:left="100"/>
              <w:spacing w:after="0"/>
              <w:rPr>
                <w:sz w:val="20"/>
                <w:szCs w:val="20"/>
                <w:color w:val="auto"/>
              </w:rPr>
            </w:pPr>
            <w:r>
              <w:rPr>
                <w:rFonts w:ascii="Arial" w:cs="Arial" w:eastAsia="Arial" w:hAnsi="Arial"/>
                <w:sz w:val="16"/>
                <w:szCs w:val="16"/>
                <w:color w:val="auto"/>
              </w:rPr>
              <w:t>5,756,135</w:t>
            </w:r>
          </w:p>
        </w:tc>
        <w:tc>
          <w:tcPr>
            <w:tcW w:w="1240" w:type="dxa"/>
            <w:vAlign w:val="bottom"/>
          </w:tcPr>
          <w:p>
            <w:pPr>
              <w:ind w:left="100"/>
              <w:spacing w:after="0"/>
              <w:rPr>
                <w:sz w:val="20"/>
                <w:szCs w:val="20"/>
                <w:color w:val="auto"/>
              </w:rPr>
            </w:pPr>
            <w:r>
              <w:rPr>
                <w:rFonts w:ascii="Arial" w:cs="Arial" w:eastAsia="Arial" w:hAnsi="Arial"/>
                <w:sz w:val="16"/>
                <w:szCs w:val="16"/>
                <w:color w:val="auto"/>
              </w:rPr>
              <w:t>(29,632,802)</w:t>
            </w:r>
          </w:p>
        </w:tc>
        <w:tc>
          <w:tcPr>
            <w:tcW w:w="1020" w:type="dxa"/>
            <w:vAlign w:val="bottom"/>
          </w:tcPr>
          <w:p>
            <w:pPr>
              <w:ind w:left="100"/>
              <w:spacing w:after="0"/>
              <w:rPr>
                <w:sz w:val="20"/>
                <w:szCs w:val="20"/>
                <w:color w:val="auto"/>
              </w:rPr>
            </w:pPr>
            <w:r>
              <w:rPr>
                <w:rFonts w:ascii="Arial" w:cs="Arial" w:eastAsia="Arial" w:hAnsi="Arial"/>
                <w:sz w:val="16"/>
                <w:szCs w:val="16"/>
                <w:color w:val="auto"/>
              </w:rPr>
              <w:t>28.16</w:t>
            </w:r>
          </w:p>
        </w:tc>
        <w:tc>
          <w:tcPr>
            <w:tcW w:w="1000" w:type="dxa"/>
            <w:vAlign w:val="bottom"/>
          </w:tcPr>
          <w:p>
            <w:pPr>
              <w:ind w:left="80"/>
              <w:spacing w:after="0"/>
              <w:rPr>
                <w:sz w:val="20"/>
                <w:szCs w:val="20"/>
                <w:color w:val="auto"/>
              </w:rPr>
            </w:pPr>
            <w:r>
              <w:rPr>
                <w:rFonts w:ascii="Arial" w:cs="Arial" w:eastAsia="Arial" w:hAnsi="Arial"/>
                <w:sz w:val="16"/>
                <w:szCs w:val="16"/>
                <w:color w:val="auto"/>
              </w:rPr>
              <w:t>79.05</w:t>
            </w:r>
          </w:p>
        </w:tc>
        <w:tc>
          <w:tcPr>
            <w:tcW w:w="1180" w:type="dxa"/>
            <w:vAlign w:val="bottom"/>
          </w:tcPr>
          <w:p>
            <w:pPr>
              <w:ind w:left="100"/>
              <w:spacing w:after="0"/>
              <w:rPr>
                <w:sz w:val="20"/>
                <w:szCs w:val="20"/>
                <w:color w:val="auto"/>
              </w:rPr>
            </w:pPr>
            <w:r>
              <w:rPr>
                <w:rFonts w:ascii="Arial" w:cs="Arial" w:eastAsia="Arial" w:hAnsi="Arial"/>
                <w:sz w:val="16"/>
                <w:szCs w:val="16"/>
                <w:color w:val="auto"/>
              </w:rPr>
              <w:t>(1,304,460)</w:t>
            </w:r>
          </w:p>
        </w:tc>
        <w:tc>
          <w:tcPr>
            <w:tcW w:w="1580" w:type="dxa"/>
            <w:vAlign w:val="bottom"/>
          </w:tcPr>
          <w:p>
            <w:pPr>
              <w:ind w:left="100"/>
              <w:spacing w:after="0"/>
              <w:rPr>
                <w:sz w:val="20"/>
                <w:szCs w:val="20"/>
                <w:color w:val="auto"/>
              </w:rPr>
            </w:pPr>
            <w:r>
              <w:rPr>
                <w:rFonts w:ascii="Arial" w:cs="Arial" w:eastAsia="Arial" w:hAnsi="Arial"/>
                <w:sz w:val="16"/>
                <w:szCs w:val="16"/>
                <w:color w:val="auto"/>
              </w:rPr>
              <w:t>(3,301,110)</w:t>
            </w:r>
          </w:p>
        </w:tc>
      </w:tr>
      <w:tr>
        <w:trPr>
          <w:trHeight w:val="135"/>
        </w:trPr>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304"/>
        </w:trPr>
        <w:tc>
          <w:tcPr>
            <w:tcW w:w="680" w:type="dxa"/>
            <w:vAlign w:val="bottom"/>
          </w:tcPr>
          <w:p>
            <w:pPr>
              <w:ind w:left="180"/>
              <w:spacing w:after="0"/>
              <w:rPr>
                <w:sz w:val="20"/>
                <w:szCs w:val="20"/>
                <w:color w:val="auto"/>
              </w:rPr>
            </w:pPr>
            <w:r>
              <w:rPr>
                <w:rFonts w:ascii="Arial" w:cs="Arial" w:eastAsia="Arial" w:hAnsi="Arial"/>
                <w:sz w:val="16"/>
                <w:szCs w:val="16"/>
                <w:color w:val="auto"/>
              </w:rPr>
              <w:t>2021</w:t>
            </w:r>
          </w:p>
        </w:tc>
        <w:tc>
          <w:tcPr>
            <w:tcW w:w="1200" w:type="dxa"/>
            <w:vAlign w:val="bottom"/>
          </w:tcPr>
          <w:p>
            <w:pPr>
              <w:ind w:left="80"/>
              <w:spacing w:after="0"/>
              <w:rPr>
                <w:sz w:val="20"/>
                <w:szCs w:val="20"/>
                <w:color w:val="auto"/>
              </w:rPr>
            </w:pPr>
            <w:r>
              <w:rPr>
                <w:rFonts w:ascii="Arial" w:cs="Arial" w:eastAsia="Arial" w:hAnsi="Arial"/>
                <w:sz w:val="16"/>
                <w:szCs w:val="16"/>
                <w:color w:val="auto"/>
              </w:rPr>
              <w:t>565,591,512</w:t>
            </w:r>
          </w:p>
        </w:tc>
        <w:tc>
          <w:tcPr>
            <w:tcW w:w="1340" w:type="dxa"/>
            <w:vAlign w:val="bottom"/>
          </w:tcPr>
          <w:p>
            <w:pPr>
              <w:ind w:left="80"/>
              <w:spacing w:after="0"/>
              <w:rPr>
                <w:sz w:val="20"/>
                <w:szCs w:val="20"/>
                <w:color w:val="auto"/>
              </w:rPr>
            </w:pPr>
            <w:r>
              <w:rPr>
                <w:rFonts w:ascii="Arial" w:cs="Arial" w:eastAsia="Arial" w:hAnsi="Arial"/>
                <w:sz w:val="16"/>
                <w:szCs w:val="16"/>
                <w:color w:val="auto"/>
              </w:rPr>
              <w:t>1,148,791,229</w:t>
            </w:r>
          </w:p>
        </w:tc>
        <w:tc>
          <w:tcPr>
            <w:tcW w:w="1180" w:type="dxa"/>
            <w:vAlign w:val="bottom"/>
          </w:tcPr>
          <w:p>
            <w:pPr>
              <w:ind w:left="100"/>
              <w:spacing w:after="0"/>
              <w:rPr>
                <w:sz w:val="20"/>
                <w:szCs w:val="20"/>
                <w:color w:val="auto"/>
              </w:rPr>
            </w:pPr>
            <w:r>
              <w:rPr>
                <w:rFonts w:ascii="Arial" w:cs="Arial" w:eastAsia="Arial" w:hAnsi="Arial"/>
                <w:sz w:val="16"/>
                <w:szCs w:val="16"/>
                <w:color w:val="auto"/>
              </w:rPr>
              <w:t>21,230,163</w:t>
            </w:r>
          </w:p>
        </w:tc>
        <w:tc>
          <w:tcPr>
            <w:tcW w:w="1240" w:type="dxa"/>
            <w:vAlign w:val="bottom"/>
          </w:tcPr>
          <w:p>
            <w:pPr>
              <w:ind w:left="100"/>
              <w:spacing w:after="0"/>
              <w:rPr>
                <w:sz w:val="20"/>
                <w:szCs w:val="20"/>
                <w:color w:val="auto"/>
              </w:rPr>
            </w:pPr>
            <w:r>
              <w:rPr>
                <w:rFonts w:ascii="Arial" w:cs="Arial" w:eastAsia="Arial" w:hAnsi="Arial"/>
                <w:sz w:val="16"/>
                <w:szCs w:val="16"/>
                <w:color w:val="auto"/>
              </w:rPr>
              <w:t>55,097,849</w:t>
            </w:r>
          </w:p>
        </w:tc>
        <w:tc>
          <w:tcPr>
            <w:tcW w:w="1020" w:type="dxa"/>
            <w:vAlign w:val="bottom"/>
          </w:tcPr>
          <w:p>
            <w:pPr>
              <w:ind w:left="100"/>
              <w:spacing w:after="0"/>
              <w:rPr>
                <w:sz w:val="20"/>
                <w:szCs w:val="20"/>
                <w:color w:val="auto"/>
              </w:rPr>
            </w:pPr>
            <w:r>
              <w:rPr>
                <w:rFonts w:ascii="Arial" w:cs="Arial" w:eastAsia="Arial" w:hAnsi="Arial"/>
                <w:sz w:val="16"/>
                <w:szCs w:val="16"/>
                <w:color w:val="auto"/>
              </w:rPr>
              <w:t>156.91</w:t>
            </w:r>
          </w:p>
        </w:tc>
        <w:tc>
          <w:tcPr>
            <w:tcW w:w="1000" w:type="dxa"/>
            <w:vAlign w:val="bottom"/>
          </w:tcPr>
          <w:p>
            <w:pPr>
              <w:ind w:left="80"/>
              <w:spacing w:after="0"/>
              <w:rPr>
                <w:sz w:val="20"/>
                <w:szCs w:val="20"/>
                <w:color w:val="auto"/>
              </w:rPr>
            </w:pPr>
            <w:r>
              <w:rPr>
                <w:rFonts w:ascii="Arial" w:cs="Arial" w:eastAsia="Arial" w:hAnsi="Arial"/>
                <w:sz w:val="16"/>
                <w:szCs w:val="16"/>
                <w:color w:val="auto"/>
              </w:rPr>
              <w:t>109.93</w:t>
            </w:r>
          </w:p>
        </w:tc>
        <w:tc>
          <w:tcPr>
            <w:tcW w:w="1180" w:type="dxa"/>
            <w:vAlign w:val="bottom"/>
          </w:tcPr>
          <w:p>
            <w:pPr>
              <w:ind w:left="100"/>
              <w:spacing w:after="0"/>
              <w:rPr>
                <w:sz w:val="20"/>
                <w:szCs w:val="20"/>
                <w:color w:val="auto"/>
              </w:rPr>
            </w:pPr>
            <w:r>
              <w:rPr>
                <w:rFonts w:ascii="Arial" w:cs="Arial" w:eastAsia="Arial" w:hAnsi="Arial"/>
                <w:sz w:val="16"/>
                <w:szCs w:val="16"/>
                <w:color w:val="auto"/>
              </w:rPr>
              <w:t>(2,579,761)</w:t>
            </w:r>
          </w:p>
        </w:tc>
        <w:tc>
          <w:tcPr>
            <w:tcW w:w="1580" w:type="dxa"/>
            <w:vAlign w:val="bottom"/>
          </w:tcPr>
          <w:p>
            <w:pPr>
              <w:ind w:left="100"/>
              <w:spacing w:after="0"/>
              <w:rPr>
                <w:sz w:val="20"/>
                <w:szCs w:val="20"/>
                <w:color w:val="auto"/>
              </w:rPr>
            </w:pPr>
            <w:r>
              <w:rPr>
                <w:rFonts w:ascii="Arial" w:cs="Arial" w:eastAsia="Arial" w:hAnsi="Arial"/>
                <w:sz w:val="16"/>
                <w:szCs w:val="16"/>
                <w:color w:val="auto"/>
              </w:rPr>
              <w:t>(1,479,353)</w:t>
            </w:r>
          </w:p>
        </w:tc>
      </w:tr>
      <w:tr>
        <w:trPr>
          <w:trHeight w:val="148"/>
        </w:trPr>
        <w:tc>
          <w:tcPr>
            <w:tcW w:w="6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3639820</wp:posOffset>
                </wp:positionH>
                <wp:positionV relativeFrom="paragraph">
                  <wp:posOffset>-2290445</wp:posOffset>
                </wp:positionV>
                <wp:extent cx="117094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94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pt,-180.3499pt" to="378.8pt,-180.3499pt" o:allowincell="f" strokecolor="#FFFFFF" strokeweight="0.499pt"/>
            </w:pict>
          </mc:Fallback>
        </mc:AlternateContent>
      </w:r>
    </w:p>
    <w:p>
      <w:pPr>
        <w:spacing w:after="0" w:line="293" w:lineRule="exact"/>
        <w:rPr>
          <w:sz w:val="20"/>
          <w:szCs w:val="20"/>
          <w:color w:val="auto"/>
        </w:rPr>
      </w:pPr>
    </w:p>
    <w:p>
      <w:pPr>
        <w:ind w:left="142" w:right="140" w:hanging="142"/>
        <w:spacing w:after="0" w:line="212" w:lineRule="auto"/>
        <w:tabs>
          <w:tab w:leader="none" w:pos="142" w:val="left"/>
        </w:tabs>
        <w:numPr>
          <w:ilvl w:val="0"/>
          <w:numId w:val="59"/>
        </w:numPr>
        <w:rPr>
          <w:rFonts w:ascii="Arial" w:cs="Arial" w:eastAsia="Arial" w:hAnsi="Arial"/>
          <w:sz w:val="17"/>
          <w:szCs w:val="17"/>
          <w:color w:val="auto"/>
          <w:vertAlign w:val="superscript"/>
        </w:rPr>
      </w:pPr>
      <w:r>
        <w:rPr>
          <w:rFonts w:ascii="Arial" w:cs="Arial" w:eastAsia="Arial" w:hAnsi="Arial"/>
          <w:sz w:val="11"/>
          <w:szCs w:val="11"/>
          <w:color w:val="auto"/>
        </w:rPr>
        <w:t>Mr. Rawlinson served as our PEO for each of the fiscal years presented. For 2024, our non-PEO NEOs included Messrs. Dhingra, Winterhoff, Bach and Bell. For 2023, our non-PEO NEOs included Messrs. Dhingra, Winterhoff, Bach and Bell and Sherry House and for 2022 and 2021, our non-PEO NEOs included Messrs. Bach and Bell and Ms. House.</w:t>
      </w:r>
    </w:p>
    <w:p>
      <w:pPr>
        <w:spacing w:after="0" w:line="104" w:lineRule="exact"/>
        <w:rPr>
          <w:rFonts w:ascii="Arial" w:cs="Arial" w:eastAsia="Arial" w:hAnsi="Arial"/>
          <w:sz w:val="17"/>
          <w:szCs w:val="17"/>
          <w:color w:val="auto"/>
          <w:vertAlign w:val="superscript"/>
        </w:rPr>
      </w:pPr>
    </w:p>
    <w:p>
      <w:pPr>
        <w:ind w:left="142" w:hanging="142"/>
        <w:spacing w:after="0" w:line="309" w:lineRule="auto"/>
        <w:tabs>
          <w:tab w:leader="none" w:pos="142" w:val="left"/>
        </w:tabs>
        <w:numPr>
          <w:ilvl w:val="0"/>
          <w:numId w:val="59"/>
        </w:numPr>
        <w:rPr>
          <w:rFonts w:ascii="Arial" w:cs="Arial" w:eastAsia="Arial" w:hAnsi="Arial"/>
          <w:sz w:val="17"/>
          <w:szCs w:val="17"/>
          <w:color w:val="auto"/>
          <w:vertAlign w:val="superscript"/>
        </w:rPr>
      </w:pPr>
      <w:r>
        <w:rPr>
          <w:rFonts w:ascii="Arial" w:cs="Arial" w:eastAsia="Arial" w:hAnsi="Arial"/>
          <w:sz w:val="11"/>
          <w:szCs w:val="11"/>
          <w:color w:val="auto"/>
        </w:rPr>
        <w:t>The Peer Group TSR set forth in this table utilizes the 20 largest public companies sharing the same SIC code as us, which is SIC code 3711, “Motor Vehicles and Passenger Car Bodies” (“Motor Vehicles and Passenger Car Bodies Public Company Group”), which we also utilize in the stock performance graph required by Item 201(e) of Regulation S-K included in our Annual Report for the year ended December 31, 2024. The comparison assumes $100 was invested for the period starting July 23, 2021, through the end of the listed year in the Company and in the Motor Vehicles and Passenger Car Bodies Public Company Group, respectively. Historical stock performance is not necessarily indicative of future stock performance.</w:t>
      </w:r>
    </w:p>
    <w:p>
      <w:pPr>
        <w:spacing w:after="0" w:line="67" w:lineRule="exact"/>
        <w:rPr>
          <w:rFonts w:ascii="Arial" w:cs="Arial" w:eastAsia="Arial" w:hAnsi="Arial"/>
          <w:sz w:val="17"/>
          <w:szCs w:val="17"/>
          <w:color w:val="auto"/>
          <w:vertAlign w:val="superscript"/>
        </w:rPr>
      </w:pPr>
    </w:p>
    <w:p>
      <w:pPr>
        <w:ind w:left="142" w:right="20" w:hanging="142"/>
        <w:spacing w:after="0" w:line="212" w:lineRule="auto"/>
        <w:tabs>
          <w:tab w:leader="none" w:pos="142" w:val="left"/>
        </w:tabs>
        <w:numPr>
          <w:ilvl w:val="0"/>
          <w:numId w:val="59"/>
        </w:numPr>
        <w:rPr>
          <w:rFonts w:ascii="Arial" w:cs="Arial" w:eastAsia="Arial" w:hAnsi="Arial"/>
          <w:sz w:val="17"/>
          <w:szCs w:val="17"/>
          <w:color w:val="auto"/>
          <w:vertAlign w:val="superscript"/>
        </w:rPr>
      </w:pPr>
      <w:r>
        <w:rPr>
          <w:rFonts w:ascii="Arial" w:cs="Arial" w:eastAsia="Arial" w:hAnsi="Arial"/>
          <w:sz w:val="11"/>
          <w:szCs w:val="11"/>
          <w:color w:val="auto"/>
        </w:rPr>
        <w:t>Free Cash Flow is not a financial measure prepared in accordance with GAAP. For information on how we compute these non-GAAP financial measures and a reconciliation to the most directly comparable financial measures prepared in accordance with GAAP, please refer to “Annex B: Reconciliation of Non-GAAP Financial Measures” in this Proxy Statement.</w:t>
      </w:r>
    </w:p>
    <w:p>
      <w:pPr>
        <w:spacing w:after="0" w:line="104" w:lineRule="exact"/>
        <w:rPr>
          <w:rFonts w:ascii="Arial" w:cs="Arial" w:eastAsia="Arial" w:hAnsi="Arial"/>
          <w:sz w:val="17"/>
          <w:szCs w:val="17"/>
          <w:color w:val="auto"/>
          <w:vertAlign w:val="superscript"/>
        </w:rPr>
      </w:pPr>
    </w:p>
    <w:p>
      <w:pPr>
        <w:ind w:left="142" w:right="300" w:hanging="142"/>
        <w:spacing w:after="0" w:line="212" w:lineRule="auto"/>
        <w:tabs>
          <w:tab w:leader="none" w:pos="141" w:val="left"/>
        </w:tabs>
        <w:numPr>
          <w:ilvl w:val="0"/>
          <w:numId w:val="59"/>
        </w:numPr>
        <w:rPr>
          <w:rFonts w:ascii="Arial" w:cs="Arial" w:eastAsia="Arial" w:hAnsi="Arial"/>
          <w:sz w:val="17"/>
          <w:szCs w:val="17"/>
          <w:color w:val="auto"/>
          <w:vertAlign w:val="superscript"/>
        </w:rPr>
      </w:pPr>
      <w:r>
        <w:rPr>
          <w:rFonts w:ascii="Arial" w:cs="Arial" w:eastAsia="Arial" w:hAnsi="Arial"/>
          <w:sz w:val="11"/>
          <w:szCs w:val="11"/>
          <w:color w:val="auto"/>
        </w:rPr>
        <w:t>The following table shows the adjustments from the Summary Compensation Table total compensation to calculate the “compensation actually paid” to our PEO and Non-PEO NEOs in accordance with the Pay Versus Performance Rules in 2024:</w:t>
      </w:r>
    </w:p>
    <w:p>
      <w:pPr>
        <w:sectPr>
          <w:pgSz w:w="11880" w:h="15480" w:orient="portrait"/>
          <w:cols w:equalWidth="0" w:num="1">
            <w:col w:w="10442"/>
          </w:cols>
          <w:pgMar w:left="718" w:top="87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73</w:t>
      </w:r>
    </w:p>
    <w:p>
      <w:pPr>
        <w:sectPr>
          <w:pgSz w:w="11880" w:h="15480" w:orient="portrait"/>
          <w:cols w:equalWidth="0" w:num="1">
            <w:col w:w="10442"/>
          </w:cols>
          <w:pgMar w:left="718" w:top="876" w:right="72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303"/>
        </w:trPr>
        <w:tc>
          <w:tcPr>
            <w:tcW w:w="7840" w:type="dxa"/>
            <w:vAlign w:val="bottom"/>
            <w:shd w:val="clear" w:color="auto" w:fill="000000"/>
          </w:tcPr>
          <w:p>
            <w:pPr>
              <w:spacing w:after="0"/>
              <w:rPr>
                <w:sz w:val="24"/>
                <w:szCs w:val="24"/>
                <w:color w:val="auto"/>
              </w:rPr>
            </w:pPr>
          </w:p>
        </w:tc>
        <w:tc>
          <w:tcPr>
            <w:tcW w:w="12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PEO 2024</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Non-PEOs</w:t>
            </w:r>
          </w:p>
        </w:tc>
      </w:tr>
      <w:tr>
        <w:trPr>
          <w:trHeight w:val="160"/>
        </w:trPr>
        <w:tc>
          <w:tcPr>
            <w:tcW w:w="7840" w:type="dxa"/>
            <w:vAlign w:val="bottom"/>
            <w:shd w:val="clear" w:color="auto" w:fill="000000"/>
          </w:tcPr>
          <w:p>
            <w:pPr>
              <w:spacing w:after="0"/>
              <w:rPr>
                <w:sz w:val="13"/>
                <w:szCs w:val="13"/>
                <w:color w:val="auto"/>
              </w:rPr>
            </w:pPr>
          </w:p>
        </w:tc>
        <w:tc>
          <w:tcPr>
            <w:tcW w:w="1280" w:type="dxa"/>
            <w:vAlign w:val="bottom"/>
            <w:shd w:val="clear" w:color="auto" w:fill="000000"/>
          </w:tcPr>
          <w:p>
            <w:pPr>
              <w:ind w:left="240"/>
              <w:spacing w:after="0" w:line="160" w:lineRule="exact"/>
              <w:rPr>
                <w:sz w:val="20"/>
                <w:szCs w:val="20"/>
                <w:color w:val="auto"/>
              </w:rPr>
            </w:pPr>
            <w:r>
              <w:rPr>
                <w:rFonts w:ascii="Arial" w:cs="Arial" w:eastAsia="Arial" w:hAnsi="Arial"/>
                <w:sz w:val="14"/>
                <w:szCs w:val="14"/>
                <w:color w:val="FFFFFF"/>
              </w:rPr>
              <w:t>($)</w:t>
            </w:r>
          </w:p>
        </w:tc>
        <w:tc>
          <w:tcPr>
            <w:tcW w:w="13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2024</w:t>
            </w:r>
          </w:p>
        </w:tc>
      </w:tr>
      <w:tr>
        <w:trPr>
          <w:trHeight w:val="172"/>
        </w:trPr>
        <w:tc>
          <w:tcPr>
            <w:tcW w:w="7840" w:type="dxa"/>
            <w:vAlign w:val="bottom"/>
            <w:shd w:val="clear" w:color="auto" w:fill="000000"/>
          </w:tcPr>
          <w:p>
            <w:pPr>
              <w:spacing w:after="0"/>
              <w:rPr>
                <w:sz w:val="14"/>
                <w:szCs w:val="14"/>
                <w:color w:val="auto"/>
              </w:rPr>
            </w:pPr>
          </w:p>
        </w:tc>
        <w:tc>
          <w:tcPr>
            <w:tcW w:w="1280" w:type="dxa"/>
            <w:vAlign w:val="bottom"/>
            <w:shd w:val="clear" w:color="auto" w:fill="000000"/>
          </w:tcPr>
          <w:p>
            <w:pPr>
              <w:spacing w:after="0"/>
              <w:rPr>
                <w:sz w:val="14"/>
                <w:szCs w:val="14"/>
                <w:color w:val="auto"/>
              </w:rPr>
            </w:pP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w:t>
            </w:r>
          </w:p>
        </w:tc>
      </w:tr>
      <w:tr>
        <w:trPr>
          <w:trHeight w:val="149"/>
        </w:trPr>
        <w:tc>
          <w:tcPr>
            <w:tcW w:w="7840" w:type="dxa"/>
            <w:vAlign w:val="bottom"/>
            <w:shd w:val="clear" w:color="auto" w:fill="000000"/>
          </w:tcPr>
          <w:p>
            <w:pPr>
              <w:spacing w:after="0"/>
              <w:rPr>
                <w:sz w:val="12"/>
                <w:szCs w:val="12"/>
                <w:color w:val="auto"/>
              </w:rPr>
            </w:pPr>
          </w:p>
        </w:tc>
        <w:tc>
          <w:tcPr>
            <w:tcW w:w="1280" w:type="dxa"/>
            <w:vAlign w:val="bottom"/>
            <w:shd w:val="clear" w:color="auto" w:fill="000000"/>
          </w:tcPr>
          <w:p>
            <w:pPr>
              <w:spacing w:after="0"/>
              <w:rPr>
                <w:sz w:val="12"/>
                <w:szCs w:val="12"/>
                <w:color w:val="auto"/>
              </w:rPr>
            </w:pPr>
          </w:p>
        </w:tc>
        <w:tc>
          <w:tcPr>
            <w:tcW w:w="1300" w:type="dxa"/>
            <w:vAlign w:val="bottom"/>
            <w:shd w:val="clear" w:color="auto" w:fill="000000"/>
          </w:tcPr>
          <w:p>
            <w:pPr>
              <w:spacing w:after="0"/>
              <w:rPr>
                <w:sz w:val="12"/>
                <w:szCs w:val="12"/>
                <w:color w:val="auto"/>
              </w:rPr>
            </w:pPr>
          </w:p>
        </w:tc>
      </w:tr>
      <w:tr>
        <w:trPr>
          <w:trHeight w:val="326"/>
        </w:trPr>
        <w:tc>
          <w:tcPr>
            <w:tcW w:w="7840" w:type="dxa"/>
            <w:vAlign w:val="bottom"/>
          </w:tcPr>
          <w:p>
            <w:pPr>
              <w:ind w:left="180"/>
              <w:spacing w:after="0"/>
              <w:rPr>
                <w:sz w:val="20"/>
                <w:szCs w:val="20"/>
                <w:color w:val="auto"/>
              </w:rPr>
            </w:pPr>
            <w:r>
              <w:rPr>
                <w:rFonts w:ascii="Arial" w:cs="Arial" w:eastAsia="Arial" w:hAnsi="Arial"/>
                <w:sz w:val="16"/>
                <w:szCs w:val="16"/>
                <w:color w:val="auto"/>
              </w:rPr>
              <w:t>Summary Compensation Total</w:t>
            </w:r>
          </w:p>
        </w:tc>
        <w:tc>
          <w:tcPr>
            <w:tcW w:w="1280" w:type="dxa"/>
            <w:vAlign w:val="bottom"/>
          </w:tcPr>
          <w:p>
            <w:pPr>
              <w:ind w:left="240"/>
              <w:spacing w:after="0"/>
              <w:rPr>
                <w:sz w:val="20"/>
                <w:szCs w:val="20"/>
                <w:color w:val="auto"/>
              </w:rPr>
            </w:pPr>
            <w:r>
              <w:rPr>
                <w:rFonts w:ascii="Arial" w:cs="Arial" w:eastAsia="Arial" w:hAnsi="Arial"/>
                <w:sz w:val="16"/>
                <w:szCs w:val="16"/>
                <w:color w:val="auto"/>
              </w:rPr>
              <w:t>1,490,490</w:t>
            </w:r>
          </w:p>
        </w:tc>
        <w:tc>
          <w:tcPr>
            <w:tcW w:w="1300" w:type="dxa"/>
            <w:vAlign w:val="bottom"/>
          </w:tcPr>
          <w:p>
            <w:pPr>
              <w:ind w:left="120"/>
              <w:spacing w:after="0"/>
              <w:rPr>
                <w:sz w:val="20"/>
                <w:szCs w:val="20"/>
                <w:color w:val="auto"/>
              </w:rPr>
            </w:pPr>
            <w:r>
              <w:rPr>
                <w:rFonts w:ascii="Arial" w:cs="Arial" w:eastAsia="Arial" w:hAnsi="Arial"/>
                <w:sz w:val="16"/>
                <w:szCs w:val="16"/>
                <w:color w:val="auto"/>
              </w:rPr>
              <w:t>5,869,874</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Stock Award Value Reported in Summary Compensation Table for the Covered Year</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(4,617,249)</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87"/>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Fiscal Year-End Fair Value for Awards Granted in the Covered Year and Outstanding at Fiscal</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7840" w:type="dxa"/>
            <w:vAlign w:val="bottom"/>
          </w:tcPr>
          <w:p>
            <w:pPr>
              <w:ind w:left="180"/>
              <w:spacing w:after="0"/>
              <w:rPr>
                <w:sz w:val="20"/>
                <w:szCs w:val="20"/>
                <w:color w:val="auto"/>
              </w:rPr>
            </w:pPr>
            <w:r>
              <w:rPr>
                <w:rFonts w:ascii="Arial" w:cs="Arial" w:eastAsia="Arial" w:hAnsi="Arial"/>
                <w:sz w:val="16"/>
                <w:szCs w:val="16"/>
                <w:color w:val="auto"/>
              </w:rPr>
              <w:t>Year-End</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4,337,714</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87"/>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as of the Vesting Date for Awards Granted in the Covered Year and Vested in the</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7840" w:type="dxa"/>
            <w:vAlign w:val="bottom"/>
          </w:tcPr>
          <w:p>
            <w:pPr>
              <w:ind w:left="180"/>
              <w:spacing w:after="0"/>
              <w:rPr>
                <w:sz w:val="20"/>
                <w:szCs w:val="20"/>
                <w:color w:val="auto"/>
              </w:rPr>
            </w:pPr>
            <w:r>
              <w:rPr>
                <w:rFonts w:ascii="Arial" w:cs="Arial" w:eastAsia="Arial" w:hAnsi="Arial"/>
                <w:sz w:val="16"/>
                <w:szCs w:val="16"/>
                <w:color w:val="auto"/>
              </w:rPr>
              <w:t>Covered Year</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220,948</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Change </w:t>
            </w:r>
            <w:r>
              <w:rPr>
                <w:rFonts w:ascii="Arial" w:cs="Arial" w:eastAsia="Arial" w:hAnsi="Arial"/>
                <w:sz w:val="16"/>
                <w:szCs w:val="16"/>
                <w:color w:val="auto"/>
              </w:rPr>
              <w:t>in Fiscal Year-End Fair Values of Outstanding Unvested Awards Granted from Prior Years</w:t>
            </w:r>
          </w:p>
        </w:tc>
        <w:tc>
          <w:tcPr>
            <w:tcW w:w="1280" w:type="dxa"/>
            <w:vAlign w:val="bottom"/>
          </w:tcPr>
          <w:p>
            <w:pPr>
              <w:ind w:left="240"/>
              <w:spacing w:after="0"/>
              <w:rPr>
                <w:sz w:val="20"/>
                <w:szCs w:val="20"/>
                <w:color w:val="auto"/>
              </w:rPr>
            </w:pPr>
            <w:r>
              <w:rPr>
                <w:rFonts w:ascii="Arial" w:cs="Arial" w:eastAsia="Arial" w:hAnsi="Arial"/>
                <w:sz w:val="16"/>
                <w:szCs w:val="16"/>
                <w:color w:val="auto"/>
              </w:rPr>
              <w:t>(3,504,663)</w:t>
            </w:r>
          </w:p>
        </w:tc>
        <w:tc>
          <w:tcPr>
            <w:tcW w:w="1300" w:type="dxa"/>
            <w:vAlign w:val="bottom"/>
          </w:tcPr>
          <w:p>
            <w:pPr>
              <w:ind w:left="120"/>
              <w:spacing w:after="0"/>
              <w:rPr>
                <w:sz w:val="20"/>
                <w:szCs w:val="20"/>
                <w:color w:val="auto"/>
              </w:rPr>
            </w:pPr>
            <w:r>
              <w:rPr>
                <w:rFonts w:ascii="Arial" w:cs="Arial" w:eastAsia="Arial" w:hAnsi="Arial"/>
                <w:sz w:val="16"/>
                <w:szCs w:val="16"/>
                <w:color w:val="auto"/>
              </w:rPr>
              <w:t>(483,850)</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87"/>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Change </w:t>
            </w:r>
            <w:r>
              <w:rPr>
                <w:rFonts w:ascii="Arial" w:cs="Arial" w:eastAsia="Arial" w:hAnsi="Arial"/>
                <w:sz w:val="16"/>
                <w:szCs w:val="16"/>
                <w:color w:val="auto"/>
              </w:rPr>
              <w:t>in Fair Value as of Vesting Date of Awards Granted from Prior Years that Vested in the</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7840" w:type="dxa"/>
            <w:vAlign w:val="bottom"/>
          </w:tcPr>
          <w:p>
            <w:pPr>
              <w:ind w:left="180"/>
              <w:spacing w:after="0"/>
              <w:rPr>
                <w:sz w:val="20"/>
                <w:szCs w:val="20"/>
                <w:color w:val="auto"/>
              </w:rPr>
            </w:pPr>
            <w:r>
              <w:rPr>
                <w:rFonts w:ascii="Arial" w:cs="Arial" w:eastAsia="Arial" w:hAnsi="Arial"/>
                <w:sz w:val="16"/>
                <w:szCs w:val="16"/>
                <w:color w:val="auto"/>
              </w:rPr>
              <w:t>Covered Year</w:t>
            </w:r>
          </w:p>
        </w:tc>
        <w:tc>
          <w:tcPr>
            <w:tcW w:w="1280" w:type="dxa"/>
            <w:vAlign w:val="bottom"/>
          </w:tcPr>
          <w:p>
            <w:pPr>
              <w:ind w:left="240"/>
              <w:spacing w:after="0"/>
              <w:rPr>
                <w:sz w:val="20"/>
                <w:szCs w:val="20"/>
                <w:color w:val="auto"/>
              </w:rPr>
            </w:pPr>
            <w:r>
              <w:rPr>
                <w:rFonts w:ascii="Arial" w:cs="Arial" w:eastAsia="Arial" w:hAnsi="Arial"/>
                <w:sz w:val="16"/>
                <w:szCs w:val="16"/>
                <w:color w:val="auto"/>
              </w:rPr>
              <w:t>(4,453,055)</w:t>
            </w:r>
          </w:p>
        </w:tc>
        <w:tc>
          <w:tcPr>
            <w:tcW w:w="1300" w:type="dxa"/>
            <w:vAlign w:val="bottom"/>
          </w:tcPr>
          <w:p>
            <w:pPr>
              <w:ind w:left="120"/>
              <w:spacing w:after="0"/>
              <w:rPr>
                <w:sz w:val="20"/>
                <w:szCs w:val="20"/>
                <w:color w:val="auto"/>
              </w:rPr>
            </w:pPr>
            <w:r>
              <w:rPr>
                <w:rFonts w:ascii="Arial" w:cs="Arial" w:eastAsia="Arial" w:hAnsi="Arial"/>
                <w:sz w:val="16"/>
                <w:szCs w:val="16"/>
                <w:color w:val="auto"/>
              </w:rPr>
              <w:t>(516,531)</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Fair Value of Awards Forfeited during the Covered Year</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(912,310)</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of Incremental Dividends or Earnings Paid on Stock Awards</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87"/>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Aggregate Change in Actuarial Present Value of Benefit Accumulated Benefit Under Pension</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7840" w:type="dxa"/>
            <w:vAlign w:val="bottom"/>
          </w:tcPr>
          <w:p>
            <w:pPr>
              <w:ind w:left="180"/>
              <w:spacing w:after="0"/>
              <w:rPr>
                <w:sz w:val="20"/>
                <w:szCs w:val="20"/>
                <w:color w:val="auto"/>
              </w:rPr>
            </w:pPr>
            <w:r>
              <w:rPr>
                <w:rFonts w:ascii="Arial" w:cs="Arial" w:eastAsia="Arial" w:hAnsi="Arial"/>
                <w:sz w:val="16"/>
                <w:szCs w:val="16"/>
                <w:color w:val="auto"/>
              </w:rPr>
              <w:t>Plans</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Aggregate Service Cost and Prior Service Cost for Pension Plans</w:t>
            </w:r>
          </w:p>
        </w:tc>
        <w:tc>
          <w:tcPr>
            <w:tcW w:w="1280" w:type="dxa"/>
            <w:vAlign w:val="bottom"/>
          </w:tcPr>
          <w:p>
            <w:pPr>
              <w:ind w:left="240"/>
              <w:spacing w:after="0"/>
              <w:rPr>
                <w:sz w:val="20"/>
                <w:szCs w:val="20"/>
                <w:color w:val="auto"/>
              </w:rPr>
            </w:pPr>
            <w:r>
              <w:rPr>
                <w:rFonts w:ascii="Arial" w:cs="Arial" w:eastAsia="Arial" w:hAnsi="Arial"/>
                <w:sz w:val="16"/>
                <w:szCs w:val="16"/>
                <w:color w:val="auto"/>
              </w:rPr>
              <w:t>—</w:t>
            </w:r>
          </w:p>
        </w:tc>
        <w:tc>
          <w:tcPr>
            <w:tcW w:w="130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35"/>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04"/>
        </w:trPr>
        <w:tc>
          <w:tcPr>
            <w:tcW w:w="7840" w:type="dxa"/>
            <w:vAlign w:val="bottom"/>
          </w:tcPr>
          <w:p>
            <w:pPr>
              <w:ind w:left="180"/>
              <w:spacing w:after="0"/>
              <w:rPr>
                <w:sz w:val="20"/>
                <w:szCs w:val="20"/>
                <w:color w:val="auto"/>
              </w:rPr>
            </w:pPr>
            <w:r>
              <w:rPr>
                <w:rFonts w:ascii="Arial" w:cs="Arial" w:eastAsia="Arial" w:hAnsi="Arial"/>
                <w:sz w:val="16"/>
                <w:szCs w:val="16"/>
                <w:i w:val="1"/>
                <w:iCs w:val="1"/>
                <w:color w:val="auto"/>
              </w:rPr>
              <w:t>Compensation Actually Paid</w:t>
            </w:r>
          </w:p>
        </w:tc>
        <w:tc>
          <w:tcPr>
            <w:tcW w:w="1280" w:type="dxa"/>
            <w:vAlign w:val="bottom"/>
          </w:tcPr>
          <w:p>
            <w:pPr>
              <w:ind w:left="240"/>
              <w:spacing w:after="0"/>
              <w:rPr>
                <w:sz w:val="20"/>
                <w:szCs w:val="20"/>
                <w:color w:val="auto"/>
              </w:rPr>
            </w:pPr>
            <w:r>
              <w:rPr>
                <w:rFonts w:ascii="Arial" w:cs="Arial" w:eastAsia="Arial" w:hAnsi="Arial"/>
                <w:sz w:val="16"/>
                <w:szCs w:val="16"/>
                <w:color w:val="auto"/>
              </w:rPr>
              <w:t>(6,467,228)</w:t>
            </w:r>
          </w:p>
        </w:tc>
        <w:tc>
          <w:tcPr>
            <w:tcW w:w="1300" w:type="dxa"/>
            <w:vAlign w:val="bottom"/>
          </w:tcPr>
          <w:p>
            <w:pPr>
              <w:ind w:left="120"/>
              <w:spacing w:after="0"/>
              <w:rPr>
                <w:sz w:val="20"/>
                <w:szCs w:val="20"/>
                <w:color w:val="auto"/>
              </w:rPr>
            </w:pPr>
            <w:r>
              <w:rPr>
                <w:rFonts w:ascii="Arial" w:cs="Arial" w:eastAsia="Arial" w:hAnsi="Arial"/>
                <w:sz w:val="16"/>
                <w:szCs w:val="16"/>
                <w:color w:val="auto"/>
              </w:rPr>
              <w:t>3,898,596</w:t>
            </w:r>
          </w:p>
        </w:tc>
      </w:tr>
      <w:tr>
        <w:trPr>
          <w:trHeight w:val="138"/>
        </w:trPr>
        <w:tc>
          <w:tcPr>
            <w:tcW w:w="7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Tabular List of the Most Important Financial Performance Measures</w:t>
      </w:r>
    </w:p>
    <w:p>
      <w:pPr>
        <w:spacing w:after="0" w:line="19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Company used only the two financial performance measures set forth below to link Compensation Actually Paid to our NEOs for fiscal 2024 to Company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1709420</wp:posOffset>
                </wp:positionH>
                <wp:positionV relativeFrom="paragraph">
                  <wp:posOffset>170815</wp:posOffset>
                </wp:positionV>
                <wp:extent cx="3193415" cy="2501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250190"/>
                        </a:xfrm>
                        <a:prstGeom prst="rect">
                          <a:avLst/>
                        </a:prstGeom>
                        <a:solidFill>
                          <a:srgbClr val="000000"/>
                        </a:solidFill>
                      </wps:spPr>
                      <wps:bodyPr/>
                    </wps:wsp>
                  </a:graphicData>
                </a:graphic>
              </wp:anchor>
            </w:drawing>
          </mc:Choice>
          <mc:Fallback>
            <w:pict>
              <v:rect id="Shape 98" o:spid="_x0000_s1123" style="position:absolute;margin-left:134.6pt;margin-top:13.45pt;width:251.45pt;height:1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392" w:lineRule="exact"/>
        <w:rPr>
          <w:sz w:val="20"/>
          <w:szCs w:val="20"/>
          <w:color w:val="auto"/>
        </w:rPr>
      </w:pPr>
    </w:p>
    <w:p>
      <w:pPr>
        <w:ind w:left="2880"/>
        <w:spacing w:after="0"/>
        <w:rPr>
          <w:sz w:val="20"/>
          <w:szCs w:val="20"/>
          <w:color w:val="auto"/>
        </w:rPr>
      </w:pPr>
      <w:r>
        <w:rPr>
          <w:rFonts w:ascii="Arial" w:cs="Arial" w:eastAsia="Arial" w:hAnsi="Arial"/>
          <w:sz w:val="14"/>
          <w:szCs w:val="14"/>
          <w:color w:val="FFFFFF"/>
        </w:rPr>
        <w:t>Performance Measures</w:t>
      </w:r>
    </w:p>
    <w:p>
      <w:pPr>
        <w:spacing w:after="0" w:line="150"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1709420</wp:posOffset>
                </wp:positionH>
                <wp:positionV relativeFrom="paragraph">
                  <wp:posOffset>50800</wp:posOffset>
                </wp:positionV>
                <wp:extent cx="319341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3162">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6pt,4pt" to="386.05pt,4pt" o:allowincell="f" strokecolor="#000000" strokeweight="0.249pt"/>
            </w:pict>
          </mc:Fallback>
        </mc:AlternateContent>
      </w:r>
    </w:p>
    <w:p>
      <w:pPr>
        <w:spacing w:after="0" w:line="11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1709420</wp:posOffset>
                </wp:positionH>
                <wp:positionV relativeFrom="paragraph">
                  <wp:posOffset>98425</wp:posOffset>
                </wp:positionV>
                <wp:extent cx="319341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6pt,7.75pt" to="386.05pt,7.75pt" o:allowincell="f" strokecolor="#000000" strokeweight="0.499pt"/>
            </w:pict>
          </mc:Fallback>
        </mc:AlternateContent>
      </w:r>
    </w:p>
    <w:p>
      <w:pPr>
        <w:spacing w:after="0" w:line="325"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 following are graphical descriptions of the relationships between compensation actually paid to our NEOs versus our cumulative TSR, Net Income, and Free Cash Flow, and between our cumulative TSR and our peer group’s cumulative TSR, for the periods covered in the Pay Versus Performance table.</w:t>
      </w:r>
    </w:p>
    <w:p>
      <w:pPr>
        <w:sectPr>
          <w:pgSz w:w="11880" w:h="15480" w:orient="portrait"/>
          <w:cols w:equalWidth="0" w:num="1">
            <w:col w:w="10420"/>
          </w:cols>
          <w:pgMar w:left="720" w:top="997" w:right="740" w:bottom="0" w:gutter="0" w:footer="0" w:header="0"/>
        </w:sectPr>
      </w:pPr>
    </w:p>
    <w:p>
      <w:pPr>
        <w:spacing w:after="0" w:line="99"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COMPENSATION ACTUALLY PAID VERSUS TOTAL</w:t>
      </w:r>
    </w:p>
    <w:p>
      <w:pPr>
        <w:spacing w:after="0" w:line="36"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SHAREHOLDER RETURN</w:t>
      </w: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63"/>
        </w:trPr>
        <w:tc>
          <w:tcPr>
            <w:tcW w:w="120" w:type="dxa"/>
            <w:vAlign w:val="bottom"/>
          </w:tcPr>
          <w:p>
            <w:pPr>
              <w:spacing w:after="0"/>
              <w:rPr>
                <w:sz w:val="5"/>
                <w:szCs w:val="5"/>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$1,200,000,000</w:t>
            </w:r>
          </w:p>
        </w:tc>
        <w:tc>
          <w:tcPr>
            <w:tcW w:w="20" w:type="dxa"/>
            <w:vAlign w:val="bottom"/>
            <w:vMerge w:val="restart"/>
          </w:tcPr>
          <w:p>
            <w:pPr>
              <w:spacing w:after="0"/>
              <w:rPr>
                <w:sz w:val="5"/>
                <w:szCs w:val="5"/>
                <w:color w:val="auto"/>
              </w:rPr>
            </w:pPr>
          </w:p>
        </w:tc>
        <w:tc>
          <w:tcPr>
            <w:tcW w:w="14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8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32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160" w:type="dxa"/>
            <w:vAlign w:val="bottom"/>
            <w:tcBorders>
              <w:bottom w:val="single" w:sz="8" w:color="BFBFBF"/>
            </w:tcBorders>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$180</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20" w:type="dxa"/>
            <w:vAlign w:val="bottom"/>
            <w:vMerge w:val="restart"/>
            <w:textDirection w:val="btLr"/>
          </w:tcPr>
          <w:p>
            <w:pPr>
              <w:ind w:left="56"/>
              <w:spacing w:after="0"/>
              <w:rPr>
                <w:sz w:val="20"/>
                <w:szCs w:val="20"/>
                <w:color w:val="auto"/>
              </w:rPr>
            </w:pPr>
            <w:r>
              <w:rPr>
                <w:rFonts w:ascii="Arial" w:cs="Arial" w:eastAsia="Arial" w:hAnsi="Arial"/>
                <w:sz w:val="4"/>
                <w:szCs w:val="4"/>
                <w:color w:val="auto"/>
                <w:w w:val="83"/>
              </w:rPr>
              <w:t>CompensationActuallyPaid</w:t>
            </w: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$1,000,000,000</w:t>
            </w:r>
          </w:p>
        </w:tc>
        <w:tc>
          <w:tcPr>
            <w:tcW w:w="20" w:type="dxa"/>
            <w:vAlign w:val="bottom"/>
            <w:vMerge w:val="restart"/>
          </w:tcPr>
          <w:p>
            <w:pPr>
              <w:spacing w:after="0"/>
              <w:rPr>
                <w:sz w:val="9"/>
                <w:szCs w:val="9"/>
                <w:color w:val="auto"/>
              </w:rPr>
            </w:pPr>
          </w:p>
        </w:tc>
        <w:tc>
          <w:tcPr>
            <w:tcW w:w="140" w:type="dxa"/>
            <w:vAlign w:val="bottom"/>
            <w:tcBorders>
              <w:bottom w:val="single" w:sz="8" w:color="BFBFBF"/>
            </w:tcBorders>
          </w:tcPr>
          <w:p>
            <w:pPr>
              <w:spacing w:after="0"/>
              <w:rPr>
                <w:sz w:val="9"/>
                <w:szCs w:val="9"/>
                <w:color w:val="auto"/>
              </w:rPr>
            </w:pPr>
          </w:p>
        </w:tc>
        <w:tc>
          <w:tcPr>
            <w:tcW w:w="260" w:type="dxa"/>
            <w:vAlign w:val="bottom"/>
            <w:tcBorders>
              <w:bottom w:val="single" w:sz="8" w:color="3851A5"/>
            </w:tcBorders>
            <w:vMerge w:val="restart"/>
            <w:shd w:val="clear" w:color="auto" w:fill="3851A5"/>
          </w:tcPr>
          <w:p>
            <w:pPr>
              <w:spacing w:after="0"/>
              <w:rPr>
                <w:sz w:val="9"/>
                <w:szCs w:val="9"/>
                <w:color w:val="auto"/>
              </w:rPr>
            </w:pPr>
          </w:p>
        </w:tc>
        <w:tc>
          <w:tcPr>
            <w:tcW w:w="6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8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2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160" w:type="dxa"/>
            <w:vAlign w:val="bottom"/>
            <w:tcBorders>
              <w:bottom w:val="single" w:sz="8" w:color="BFBFBF"/>
            </w:tcBorders>
          </w:tcPr>
          <w:p>
            <w:pPr>
              <w:spacing w:after="0"/>
              <w:rPr>
                <w:sz w:val="9"/>
                <w:szCs w:val="9"/>
                <w:color w:val="auto"/>
              </w:rPr>
            </w:pP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$160</w:t>
            </w:r>
          </w:p>
        </w:tc>
        <w:tc>
          <w:tcPr>
            <w:tcW w:w="120" w:type="dxa"/>
            <w:vAlign w:val="bottom"/>
            <w:vMerge w:val="restart"/>
            <w:textDirection w:val="tbRl"/>
          </w:tcPr>
          <w:p>
            <w:pPr>
              <w:jc w:val="right"/>
              <w:ind w:left="63"/>
              <w:spacing w:after="0"/>
              <w:rPr>
                <w:sz w:val="20"/>
                <w:szCs w:val="20"/>
                <w:color w:val="auto"/>
              </w:rPr>
            </w:pPr>
            <w:r>
              <w:rPr>
                <w:rFonts w:ascii="Arial" w:cs="Arial" w:eastAsia="Arial" w:hAnsi="Arial"/>
                <w:sz w:val="5"/>
                <w:szCs w:val="5"/>
                <w:color w:val="auto"/>
                <w:w w:val="74"/>
              </w:rPr>
              <w:t>ReturnShareholderTotal</w:t>
            </w:r>
          </w:p>
        </w:tc>
        <w:tc>
          <w:tcPr>
            <w:tcW w:w="0" w:type="dxa"/>
            <w:vAlign w:val="bottom"/>
          </w:tcPr>
          <w:p>
            <w:pPr>
              <w:spacing w:after="0"/>
              <w:rPr>
                <w:sz w:val="1"/>
                <w:szCs w:val="1"/>
                <w:color w:val="auto"/>
              </w:rPr>
            </w:pPr>
          </w:p>
        </w:tc>
      </w:tr>
      <w:tr>
        <w:trPr>
          <w:trHeight w:val="48"/>
        </w:trPr>
        <w:tc>
          <w:tcPr>
            <w:tcW w:w="1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shd w:val="clear" w:color="auto" w:fill="3851A5"/>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20" w:type="dxa"/>
            <w:vAlign w:val="bottom"/>
            <w:vMerge w:val="continue"/>
          </w:tcPr>
          <w:p>
            <w:pPr>
              <w:spacing w:after="0"/>
              <w:rPr>
                <w:sz w:val="6"/>
                <w:szCs w:val="6"/>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$800,000,000</w:t>
            </w:r>
          </w:p>
        </w:tc>
        <w:tc>
          <w:tcPr>
            <w:tcW w:w="20" w:type="dxa"/>
            <w:vAlign w:val="bottom"/>
            <w:vMerge w:val="restart"/>
          </w:tcPr>
          <w:p>
            <w:pPr>
              <w:spacing w:after="0"/>
              <w:rPr>
                <w:sz w:val="6"/>
                <w:szCs w:val="6"/>
                <w:color w:val="auto"/>
              </w:rPr>
            </w:pPr>
          </w:p>
        </w:tc>
        <w:tc>
          <w:tcPr>
            <w:tcW w:w="140" w:type="dxa"/>
            <w:vAlign w:val="bottom"/>
            <w:tcBorders>
              <w:bottom w:val="single" w:sz="8" w:color="BFBFBF"/>
            </w:tcBorders>
          </w:tcPr>
          <w:p>
            <w:pPr>
              <w:spacing w:after="0"/>
              <w:rPr>
                <w:sz w:val="6"/>
                <w:szCs w:val="6"/>
                <w:color w:val="auto"/>
              </w:rPr>
            </w:pPr>
          </w:p>
        </w:tc>
        <w:tc>
          <w:tcPr>
            <w:tcW w:w="260" w:type="dxa"/>
            <w:vAlign w:val="bottom"/>
            <w:tcBorders>
              <w:bottom w:val="single" w:sz="8" w:color="3851A5"/>
            </w:tcBorders>
            <w:shd w:val="clear" w:color="auto" w:fill="3851A5"/>
          </w:tcPr>
          <w:p>
            <w:pPr>
              <w:spacing w:after="0"/>
              <w:rPr>
                <w:sz w:val="6"/>
                <w:szCs w:val="6"/>
                <w:color w:val="auto"/>
              </w:rPr>
            </w:pPr>
          </w:p>
        </w:tc>
        <w:tc>
          <w:tcPr>
            <w:tcW w:w="6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30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40" w:type="dxa"/>
            <w:vAlign w:val="bottom"/>
            <w:tcBorders>
              <w:bottom w:val="single" w:sz="8" w:color="BFBFBF"/>
            </w:tcBorders>
          </w:tcPr>
          <w:p>
            <w:pPr>
              <w:spacing w:after="0"/>
              <w:rPr>
                <w:sz w:val="6"/>
                <w:szCs w:val="6"/>
                <w:color w:val="auto"/>
              </w:rPr>
            </w:pPr>
          </w:p>
        </w:tc>
        <w:tc>
          <w:tcPr>
            <w:tcW w:w="280" w:type="dxa"/>
            <w:vAlign w:val="bottom"/>
            <w:tcBorders>
              <w:bottom w:val="single" w:sz="8" w:color="BFBFBF"/>
            </w:tcBorders>
          </w:tcPr>
          <w:p>
            <w:pPr>
              <w:spacing w:after="0"/>
              <w:rPr>
                <w:sz w:val="6"/>
                <w:szCs w:val="6"/>
                <w:color w:val="auto"/>
              </w:rPr>
            </w:pPr>
          </w:p>
        </w:tc>
        <w:tc>
          <w:tcPr>
            <w:tcW w:w="30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4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32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40" w:type="dxa"/>
            <w:vAlign w:val="bottom"/>
            <w:tcBorders>
              <w:bottom w:val="single" w:sz="8" w:color="BFBFBF"/>
            </w:tcBorders>
          </w:tcPr>
          <w:p>
            <w:pPr>
              <w:spacing w:after="0"/>
              <w:rPr>
                <w:sz w:val="6"/>
                <w:szCs w:val="6"/>
                <w:color w:val="auto"/>
              </w:rPr>
            </w:pPr>
          </w:p>
        </w:tc>
        <w:tc>
          <w:tcPr>
            <w:tcW w:w="260" w:type="dxa"/>
            <w:vAlign w:val="bottom"/>
            <w:tcBorders>
              <w:bottom w:val="single" w:sz="8" w:color="BFBFBF"/>
            </w:tcBorders>
          </w:tcPr>
          <w:p>
            <w:pPr>
              <w:spacing w:after="0"/>
              <w:rPr>
                <w:sz w:val="6"/>
                <w:szCs w:val="6"/>
                <w:color w:val="auto"/>
              </w:rPr>
            </w:pPr>
          </w:p>
        </w:tc>
        <w:tc>
          <w:tcPr>
            <w:tcW w:w="160" w:type="dxa"/>
            <w:vAlign w:val="bottom"/>
            <w:tcBorders>
              <w:bottom w:val="single" w:sz="8" w:color="BFBFBF"/>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400" w:type="dxa"/>
            <w:vAlign w:val="bottom"/>
            <w:gridSpan w:val="16"/>
            <w:vMerge w:val="restart"/>
          </w:tcPr>
          <w:p>
            <w:pPr>
              <w:ind w:left="3160"/>
              <w:spacing w:after="0" w:line="73" w:lineRule="exact"/>
              <w:rPr>
                <w:sz w:val="20"/>
                <w:szCs w:val="20"/>
                <w:color w:val="auto"/>
              </w:rPr>
            </w:pPr>
            <w:r>
              <w:rPr>
                <w:rFonts w:ascii="Arial" w:cs="Arial" w:eastAsia="Arial" w:hAnsi="Arial"/>
                <w:sz w:val="8"/>
                <w:szCs w:val="8"/>
                <w:color w:val="auto"/>
              </w:rPr>
              <w:t>$140</w:t>
            </w: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3851A5"/>
          </w:tcPr>
          <w:p>
            <w:pPr>
              <w:spacing w:after="0"/>
              <w:rPr>
                <w:sz w:val="3"/>
                <w:szCs w:val="3"/>
                <w:color w:val="auto"/>
              </w:rPr>
            </w:pPr>
          </w:p>
        </w:tc>
        <w:tc>
          <w:tcPr>
            <w:tcW w:w="3400" w:type="dxa"/>
            <w:vAlign w:val="bottom"/>
            <w:gridSpan w:val="16"/>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20" w:type="dxa"/>
            <w:vAlign w:val="bottom"/>
            <w:vMerge w:val="continue"/>
          </w:tcPr>
          <w:p>
            <w:pPr>
              <w:spacing w:after="0"/>
              <w:rPr>
                <w:sz w:val="4"/>
                <w:szCs w:val="4"/>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$600,000,000</w:t>
            </w:r>
          </w:p>
        </w:tc>
        <w:tc>
          <w:tcPr>
            <w:tcW w:w="20" w:type="dxa"/>
            <w:vAlign w:val="bottom"/>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260" w:type="dxa"/>
            <w:vAlign w:val="bottom"/>
            <w:tcBorders>
              <w:bottom w:val="single" w:sz="8" w:color="3851A5"/>
            </w:tcBorders>
            <w:shd w:val="clear" w:color="auto" w:fill="3851A5"/>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8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2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160" w:type="dxa"/>
            <w:vAlign w:val="bottom"/>
            <w:tcBorders>
              <w:bottom w:val="single" w:sz="8" w:color="BFBFB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400" w:type="dxa"/>
            <w:vAlign w:val="bottom"/>
            <w:gridSpan w:val="16"/>
            <w:vMerge w:val="restart"/>
          </w:tcPr>
          <w:p>
            <w:pPr>
              <w:ind w:left="3160"/>
              <w:spacing w:after="0" w:line="91" w:lineRule="exact"/>
              <w:rPr>
                <w:sz w:val="20"/>
                <w:szCs w:val="20"/>
                <w:color w:val="auto"/>
              </w:rPr>
            </w:pPr>
            <w:r>
              <w:rPr>
                <w:rFonts w:ascii="Arial" w:cs="Arial" w:eastAsia="Arial" w:hAnsi="Arial"/>
                <w:sz w:val="9"/>
                <w:szCs w:val="9"/>
                <w:color w:val="auto"/>
              </w:rPr>
              <w:t>$120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8"/>
        </w:trPr>
        <w:tc>
          <w:tcPr>
            <w:tcW w:w="120" w:type="dxa"/>
            <w:vAlign w:val="bottom"/>
          </w:tcPr>
          <w:p>
            <w:pPr>
              <w:spacing w:after="0"/>
              <w:rPr>
                <w:sz w:val="5"/>
                <w:szCs w:val="5"/>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$400,000,000</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shd w:val="clear" w:color="auto" w:fill="3851A5"/>
          </w:tcPr>
          <w:p>
            <w:pPr>
              <w:spacing w:after="0"/>
              <w:rPr>
                <w:sz w:val="5"/>
                <w:szCs w:val="5"/>
                <w:color w:val="auto"/>
              </w:rPr>
            </w:pPr>
          </w:p>
        </w:tc>
        <w:tc>
          <w:tcPr>
            <w:tcW w:w="3400" w:type="dxa"/>
            <w:vAlign w:val="bottom"/>
            <w:gridSpan w:val="16"/>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Borders>
              <w:bottom w:val="single" w:sz="8" w:color="BFBFBF"/>
            </w:tcBorders>
          </w:tcPr>
          <w:p>
            <w:pPr>
              <w:spacing w:after="0"/>
              <w:rPr>
                <w:sz w:val="3"/>
                <w:szCs w:val="3"/>
                <w:color w:val="auto"/>
              </w:rPr>
            </w:pPr>
          </w:p>
        </w:tc>
        <w:tc>
          <w:tcPr>
            <w:tcW w:w="260" w:type="dxa"/>
            <w:vAlign w:val="bottom"/>
            <w:tcBorders>
              <w:bottom w:val="single" w:sz="8" w:color="3851A5"/>
            </w:tcBorders>
            <w:shd w:val="clear" w:color="auto" w:fill="3851A5"/>
          </w:tcPr>
          <w:p>
            <w:pPr>
              <w:spacing w:after="0"/>
              <w:rPr>
                <w:sz w:val="3"/>
                <w:szCs w:val="3"/>
                <w:color w:val="auto"/>
              </w:rPr>
            </w:pPr>
          </w:p>
        </w:tc>
        <w:tc>
          <w:tcPr>
            <w:tcW w:w="6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4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30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32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160" w:type="dxa"/>
            <w:vAlign w:val="bottom"/>
            <w:tcBorders>
              <w:bottom w:val="single" w:sz="8" w:color="BFBFBF"/>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400" w:type="dxa"/>
            <w:vAlign w:val="bottom"/>
            <w:gridSpan w:val="16"/>
            <w:vMerge w:val="restart"/>
          </w:tcPr>
          <w:p>
            <w:pPr>
              <w:ind w:left="3160"/>
              <w:spacing w:after="0" w:line="98" w:lineRule="exact"/>
              <w:rPr>
                <w:sz w:val="20"/>
                <w:szCs w:val="20"/>
                <w:color w:val="auto"/>
              </w:rPr>
            </w:pPr>
            <w:r>
              <w:rPr>
                <w:rFonts w:ascii="Arial" w:cs="Arial" w:eastAsia="Arial" w:hAnsi="Arial"/>
                <w:sz w:val="9"/>
                <w:szCs w:val="9"/>
                <w:color w:val="auto"/>
              </w:rPr>
              <w:t>$100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
        </w:trPr>
        <w:tc>
          <w:tcPr>
            <w:tcW w:w="120" w:type="dxa"/>
            <w:vAlign w:val="bottom"/>
          </w:tcPr>
          <w:p>
            <w:pPr>
              <w:spacing w:after="0"/>
              <w:rPr>
                <w:sz w:val="5"/>
                <w:szCs w:val="5"/>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$200,000,000</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shd w:val="clear" w:color="auto" w:fill="3851A5"/>
          </w:tcPr>
          <w:p>
            <w:pPr>
              <w:spacing w:after="0"/>
              <w:rPr>
                <w:sz w:val="5"/>
                <w:szCs w:val="5"/>
                <w:color w:val="auto"/>
              </w:rPr>
            </w:pPr>
          </w:p>
        </w:tc>
        <w:tc>
          <w:tcPr>
            <w:tcW w:w="3400" w:type="dxa"/>
            <w:vAlign w:val="bottom"/>
            <w:gridSpan w:val="16"/>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Borders>
              <w:bottom w:val="single" w:sz="8" w:color="BFBFBF"/>
            </w:tcBorders>
          </w:tcPr>
          <w:p>
            <w:pPr>
              <w:spacing w:after="0"/>
              <w:rPr>
                <w:sz w:val="2"/>
                <w:szCs w:val="2"/>
                <w:color w:val="auto"/>
              </w:rPr>
            </w:pPr>
          </w:p>
        </w:tc>
        <w:tc>
          <w:tcPr>
            <w:tcW w:w="260" w:type="dxa"/>
            <w:vAlign w:val="bottom"/>
            <w:tcBorders>
              <w:bottom w:val="single" w:sz="8" w:color="3851A5"/>
            </w:tcBorders>
            <w:shd w:val="clear" w:color="auto" w:fill="3851A5"/>
          </w:tcPr>
          <w:p>
            <w:pPr>
              <w:spacing w:after="0"/>
              <w:rPr>
                <w:sz w:val="2"/>
                <w:szCs w:val="2"/>
                <w:color w:val="auto"/>
              </w:rPr>
            </w:pPr>
          </w:p>
        </w:tc>
        <w:tc>
          <w:tcPr>
            <w:tcW w:w="6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8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32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160" w:type="dxa"/>
            <w:vAlign w:val="bottom"/>
            <w:tcBorders>
              <w:bottom w:val="single" w:sz="8" w:color="BFBFBF"/>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$80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20" w:type="dxa"/>
            <w:vAlign w:val="bottom"/>
          </w:tcPr>
          <w:p>
            <w:pPr>
              <w:spacing w:after="0"/>
              <w:rPr>
                <w:sz w:val="10"/>
                <w:szCs w:val="10"/>
                <w:color w:val="auto"/>
              </w:rPr>
            </w:pPr>
          </w:p>
        </w:tc>
        <w:tc>
          <w:tcPr>
            <w:tcW w:w="760" w:type="dxa"/>
            <w:vAlign w:val="bottom"/>
          </w:tcPr>
          <w:p>
            <w:pPr>
              <w:jc w:val="right"/>
              <w:ind w:right="16"/>
              <w:spacing w:after="0"/>
              <w:rPr>
                <w:sz w:val="20"/>
                <w:szCs w:val="20"/>
                <w:color w:val="auto"/>
              </w:rPr>
            </w:pPr>
            <w:r>
              <w:rPr>
                <w:rFonts w:ascii="Arial" w:cs="Arial" w:eastAsia="Arial" w:hAnsi="Arial"/>
                <w:sz w:val="9"/>
                <w:szCs w:val="9"/>
                <w:color w:val="auto"/>
              </w:rPr>
              <w:t>$0</w:t>
            </w:r>
          </w:p>
        </w:tc>
        <w:tc>
          <w:tcPr>
            <w:tcW w:w="20" w:type="dxa"/>
            <w:vAlign w:val="bottom"/>
            <w:tcBorders>
              <w:bottom w:val="single" w:sz="8" w:color="BFBFBF"/>
            </w:tcBorders>
          </w:tcPr>
          <w:p>
            <w:pPr>
              <w:spacing w:after="0"/>
              <w:rPr>
                <w:sz w:val="10"/>
                <w:szCs w:val="10"/>
                <w:color w:val="auto"/>
              </w:rPr>
            </w:pPr>
          </w:p>
        </w:tc>
        <w:tc>
          <w:tcPr>
            <w:tcW w:w="140" w:type="dxa"/>
            <w:vAlign w:val="bottom"/>
            <w:tcBorders>
              <w:bottom w:val="single" w:sz="8" w:color="BFBFBF"/>
            </w:tcBorders>
          </w:tcPr>
          <w:p>
            <w:pPr>
              <w:spacing w:after="0"/>
              <w:rPr>
                <w:sz w:val="10"/>
                <w:szCs w:val="10"/>
                <w:color w:val="auto"/>
              </w:rPr>
            </w:pPr>
          </w:p>
        </w:tc>
        <w:tc>
          <w:tcPr>
            <w:tcW w:w="260" w:type="dxa"/>
            <w:vAlign w:val="bottom"/>
            <w:tcBorders>
              <w:bottom w:val="single" w:sz="8" w:color="3851A5"/>
            </w:tcBorders>
            <w:shd w:val="clear" w:color="auto" w:fill="3851A5"/>
          </w:tcPr>
          <w:p>
            <w:pPr>
              <w:spacing w:after="0"/>
              <w:rPr>
                <w:sz w:val="10"/>
                <w:szCs w:val="10"/>
                <w:color w:val="auto"/>
              </w:rPr>
            </w:pPr>
          </w:p>
        </w:tc>
        <w:tc>
          <w:tcPr>
            <w:tcW w:w="60" w:type="dxa"/>
            <w:vAlign w:val="bottom"/>
            <w:tcBorders>
              <w:bottom w:val="single" w:sz="8" w:color="BFBFBF"/>
            </w:tcBorders>
          </w:tcPr>
          <w:p>
            <w:pPr>
              <w:spacing w:after="0"/>
              <w:rPr>
                <w:sz w:val="10"/>
                <w:szCs w:val="10"/>
                <w:color w:val="auto"/>
              </w:rPr>
            </w:pPr>
          </w:p>
        </w:tc>
        <w:tc>
          <w:tcPr>
            <w:tcW w:w="260" w:type="dxa"/>
            <w:vAlign w:val="bottom"/>
            <w:tcBorders>
              <w:bottom w:val="single" w:sz="8" w:color="F55F17"/>
            </w:tcBorders>
          </w:tcPr>
          <w:p>
            <w:pPr>
              <w:spacing w:after="0"/>
              <w:rPr>
                <w:sz w:val="10"/>
                <w:szCs w:val="10"/>
                <w:color w:val="auto"/>
              </w:rPr>
            </w:pPr>
          </w:p>
        </w:tc>
        <w:tc>
          <w:tcPr>
            <w:tcW w:w="300" w:type="dxa"/>
            <w:vAlign w:val="bottom"/>
            <w:tcBorders>
              <w:bottom w:val="single" w:sz="8" w:color="BFBFBF"/>
            </w:tcBorders>
            <w:vMerge w:val="continue"/>
          </w:tcPr>
          <w:p>
            <w:pPr>
              <w:spacing w:after="0"/>
              <w:rPr>
                <w:sz w:val="10"/>
                <w:szCs w:val="10"/>
                <w:color w:val="auto"/>
              </w:rPr>
            </w:pPr>
          </w:p>
        </w:tc>
        <w:tc>
          <w:tcPr>
            <w:tcW w:w="260" w:type="dxa"/>
            <w:vAlign w:val="bottom"/>
            <w:tcBorders>
              <w:bottom w:val="single" w:sz="8" w:color="3851A5"/>
            </w:tcBorders>
            <w:vMerge w:val="continue"/>
          </w:tcPr>
          <w:p>
            <w:pPr>
              <w:spacing w:after="0"/>
              <w:rPr>
                <w:sz w:val="10"/>
                <w:szCs w:val="10"/>
                <w:color w:val="auto"/>
              </w:rPr>
            </w:pPr>
          </w:p>
        </w:tc>
        <w:tc>
          <w:tcPr>
            <w:tcW w:w="40" w:type="dxa"/>
            <w:vAlign w:val="bottom"/>
            <w:tcBorders>
              <w:bottom w:val="single" w:sz="8" w:color="BFBFBF"/>
            </w:tcBorders>
            <w:vMerge w:val="continue"/>
          </w:tcPr>
          <w:p>
            <w:pPr>
              <w:spacing w:after="0"/>
              <w:rPr>
                <w:sz w:val="10"/>
                <w:szCs w:val="10"/>
                <w:color w:val="auto"/>
              </w:rPr>
            </w:pPr>
          </w:p>
        </w:tc>
        <w:tc>
          <w:tcPr>
            <w:tcW w:w="280" w:type="dxa"/>
            <w:vAlign w:val="bottom"/>
            <w:tcBorders>
              <w:bottom w:val="single" w:sz="8" w:color="F55F17"/>
            </w:tcBorders>
            <w:vMerge w:val="continue"/>
          </w:tcPr>
          <w:p>
            <w:pPr>
              <w:spacing w:after="0"/>
              <w:rPr>
                <w:sz w:val="10"/>
                <w:szCs w:val="10"/>
                <w:color w:val="auto"/>
              </w:rPr>
            </w:pPr>
          </w:p>
        </w:tc>
        <w:tc>
          <w:tcPr>
            <w:tcW w:w="300" w:type="dxa"/>
            <w:vAlign w:val="bottom"/>
            <w:tcBorders>
              <w:bottom w:val="single" w:sz="8" w:color="BFBFBF"/>
            </w:tcBorders>
            <w:vMerge w:val="continue"/>
          </w:tcPr>
          <w:p>
            <w:pPr>
              <w:spacing w:after="0"/>
              <w:rPr>
                <w:sz w:val="10"/>
                <w:szCs w:val="10"/>
                <w:color w:val="auto"/>
              </w:rPr>
            </w:pPr>
          </w:p>
        </w:tc>
        <w:tc>
          <w:tcPr>
            <w:tcW w:w="260" w:type="dxa"/>
            <w:vAlign w:val="bottom"/>
            <w:tcBorders>
              <w:bottom w:val="single" w:sz="8" w:color="3851A5"/>
            </w:tcBorders>
            <w:vMerge w:val="continue"/>
          </w:tcPr>
          <w:p>
            <w:pPr>
              <w:spacing w:after="0"/>
              <w:rPr>
                <w:sz w:val="10"/>
                <w:szCs w:val="10"/>
                <w:color w:val="auto"/>
              </w:rPr>
            </w:pPr>
          </w:p>
        </w:tc>
        <w:tc>
          <w:tcPr>
            <w:tcW w:w="40" w:type="dxa"/>
            <w:vAlign w:val="bottom"/>
            <w:tcBorders>
              <w:bottom w:val="single" w:sz="8" w:color="BFBFBF"/>
            </w:tcBorders>
            <w:vMerge w:val="continue"/>
          </w:tcPr>
          <w:p>
            <w:pPr>
              <w:spacing w:after="0"/>
              <w:rPr>
                <w:sz w:val="10"/>
                <w:szCs w:val="10"/>
                <w:color w:val="auto"/>
              </w:rPr>
            </w:pPr>
          </w:p>
        </w:tc>
        <w:tc>
          <w:tcPr>
            <w:tcW w:w="260" w:type="dxa"/>
            <w:vAlign w:val="bottom"/>
            <w:tcBorders>
              <w:bottom w:val="single" w:sz="8" w:color="F55F17"/>
            </w:tcBorders>
            <w:vMerge w:val="continue"/>
          </w:tcPr>
          <w:p>
            <w:pPr>
              <w:spacing w:after="0"/>
              <w:rPr>
                <w:sz w:val="10"/>
                <w:szCs w:val="10"/>
                <w:color w:val="auto"/>
              </w:rPr>
            </w:pPr>
          </w:p>
        </w:tc>
        <w:tc>
          <w:tcPr>
            <w:tcW w:w="320" w:type="dxa"/>
            <w:vAlign w:val="bottom"/>
            <w:tcBorders>
              <w:bottom w:val="single" w:sz="8" w:color="BFBFBF"/>
            </w:tcBorders>
            <w:vMerge w:val="continue"/>
          </w:tcPr>
          <w:p>
            <w:pPr>
              <w:spacing w:after="0"/>
              <w:rPr>
                <w:sz w:val="10"/>
                <w:szCs w:val="10"/>
                <w:color w:val="auto"/>
              </w:rPr>
            </w:pPr>
          </w:p>
        </w:tc>
        <w:tc>
          <w:tcPr>
            <w:tcW w:w="260" w:type="dxa"/>
            <w:vAlign w:val="bottom"/>
            <w:tcBorders>
              <w:bottom w:val="single" w:sz="8" w:color="3851A5"/>
            </w:tcBorders>
            <w:vMerge w:val="continue"/>
          </w:tcPr>
          <w:p>
            <w:pPr>
              <w:spacing w:after="0"/>
              <w:rPr>
                <w:sz w:val="10"/>
                <w:szCs w:val="10"/>
                <w:color w:val="auto"/>
              </w:rPr>
            </w:pPr>
          </w:p>
        </w:tc>
        <w:tc>
          <w:tcPr>
            <w:tcW w:w="40" w:type="dxa"/>
            <w:vAlign w:val="bottom"/>
            <w:tcBorders>
              <w:bottom w:val="single" w:sz="8" w:color="BFBFBF"/>
            </w:tcBorders>
            <w:vMerge w:val="continue"/>
          </w:tcPr>
          <w:p>
            <w:pPr>
              <w:spacing w:after="0"/>
              <w:rPr>
                <w:sz w:val="10"/>
                <w:szCs w:val="10"/>
                <w:color w:val="auto"/>
              </w:rPr>
            </w:pPr>
          </w:p>
        </w:tc>
        <w:tc>
          <w:tcPr>
            <w:tcW w:w="260" w:type="dxa"/>
            <w:vAlign w:val="bottom"/>
            <w:tcBorders>
              <w:bottom w:val="single" w:sz="8" w:color="F55F17"/>
            </w:tcBorders>
            <w:vMerge w:val="continue"/>
          </w:tcPr>
          <w:p>
            <w:pPr>
              <w:spacing w:after="0"/>
              <w:rPr>
                <w:sz w:val="10"/>
                <w:szCs w:val="10"/>
                <w:color w:val="auto"/>
              </w:rPr>
            </w:pPr>
          </w:p>
        </w:tc>
        <w:tc>
          <w:tcPr>
            <w:tcW w:w="160" w:type="dxa"/>
            <w:vAlign w:val="bottom"/>
            <w:tcBorders>
              <w:bottom w:val="single" w:sz="8" w:color="BFBFBF"/>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-$200,000,000</w:t>
            </w:r>
          </w:p>
        </w:tc>
        <w:tc>
          <w:tcPr>
            <w:tcW w:w="20" w:type="dxa"/>
            <w:vAlign w:val="bottom"/>
          </w:tcPr>
          <w:p>
            <w:pPr>
              <w:spacing w:after="0"/>
              <w:rPr>
                <w:sz w:val="8"/>
                <w:szCs w:val="8"/>
                <w:color w:val="auto"/>
              </w:rPr>
            </w:pPr>
          </w:p>
        </w:tc>
        <w:tc>
          <w:tcPr>
            <w:tcW w:w="1020" w:type="dxa"/>
            <w:vAlign w:val="bottom"/>
            <w:tcBorders>
              <w:bottom w:val="single" w:sz="8" w:color="BFBFBF"/>
            </w:tcBorders>
            <w:gridSpan w:val="5"/>
          </w:tcPr>
          <w:p>
            <w:pPr>
              <w:spacing w:after="0"/>
              <w:rPr>
                <w:sz w:val="8"/>
                <w:szCs w:val="8"/>
                <w:color w:val="auto"/>
              </w:rPr>
            </w:pPr>
          </w:p>
        </w:tc>
        <w:tc>
          <w:tcPr>
            <w:tcW w:w="260" w:type="dxa"/>
            <w:vAlign w:val="bottom"/>
            <w:tcBorders>
              <w:bottom w:val="single" w:sz="8" w:color="3851A5"/>
            </w:tcBorders>
            <w:shd w:val="clear" w:color="auto" w:fill="3851A5"/>
          </w:tcPr>
          <w:p>
            <w:pPr>
              <w:spacing w:after="0"/>
              <w:rPr>
                <w:sz w:val="8"/>
                <w:szCs w:val="8"/>
                <w:color w:val="auto"/>
              </w:rPr>
            </w:pPr>
          </w:p>
        </w:tc>
        <w:tc>
          <w:tcPr>
            <w:tcW w:w="2220" w:type="dxa"/>
            <w:vAlign w:val="bottom"/>
            <w:tcBorders>
              <w:bottom w:val="single" w:sz="8" w:color="BFBFBF"/>
            </w:tcBorders>
            <w:gridSpan w:val="11"/>
          </w:tcPr>
          <w:p>
            <w:pPr>
              <w:spacing w:after="0"/>
              <w:rPr>
                <w:sz w:val="8"/>
                <w:szCs w:val="8"/>
                <w:color w:val="auto"/>
              </w:rPr>
            </w:pPr>
          </w:p>
        </w:tc>
        <w:tc>
          <w:tcPr>
            <w:tcW w:w="300" w:type="dxa"/>
            <w:vAlign w:val="bottom"/>
          </w:tcPr>
          <w:p>
            <w:pPr>
              <w:ind w:left="60"/>
              <w:spacing w:after="0" w:line="100" w:lineRule="exact"/>
              <w:rPr>
                <w:sz w:val="20"/>
                <w:szCs w:val="20"/>
                <w:color w:val="auto"/>
              </w:rPr>
            </w:pPr>
            <w:r>
              <w:rPr>
                <w:rFonts w:ascii="Arial" w:cs="Arial" w:eastAsia="Arial" w:hAnsi="Arial"/>
                <w:sz w:val="9"/>
                <w:szCs w:val="9"/>
                <w:color w:val="auto"/>
              </w:rPr>
              <w:t>$60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2520" w:type="dxa"/>
            <w:vAlign w:val="bottom"/>
            <w:gridSpan w:val="12"/>
            <w:vMerge w:val="restart"/>
          </w:tcPr>
          <w:p>
            <w:pPr>
              <w:ind w:left="2280"/>
              <w:spacing w:after="0"/>
              <w:rPr>
                <w:sz w:val="20"/>
                <w:szCs w:val="20"/>
                <w:color w:val="auto"/>
              </w:rPr>
            </w:pPr>
            <w:r>
              <w:rPr>
                <w:rFonts w:ascii="Arial" w:cs="Arial" w:eastAsia="Arial" w:hAnsi="Arial"/>
                <w:sz w:val="9"/>
                <w:szCs w:val="9"/>
                <w:color w:val="auto"/>
              </w:rPr>
              <w:t>$40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Pr>
          <w:p>
            <w:pPr>
              <w:spacing w:after="0"/>
              <w:rPr>
                <w:sz w:val="8"/>
                <w:szCs w:val="8"/>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-$400,000,000</w:t>
            </w:r>
          </w:p>
        </w:tc>
        <w:tc>
          <w:tcPr>
            <w:tcW w:w="20" w:type="dxa"/>
            <w:vAlign w:val="bottom"/>
          </w:tcPr>
          <w:p>
            <w:pPr>
              <w:spacing w:after="0"/>
              <w:rPr>
                <w:sz w:val="8"/>
                <w:szCs w:val="8"/>
                <w:color w:val="auto"/>
              </w:rPr>
            </w:pPr>
          </w:p>
        </w:tc>
        <w:tc>
          <w:tcPr>
            <w:tcW w:w="1020" w:type="dxa"/>
            <w:vAlign w:val="bottom"/>
            <w:gridSpan w:val="5"/>
          </w:tcPr>
          <w:p>
            <w:pPr>
              <w:spacing w:after="0"/>
              <w:rPr>
                <w:sz w:val="8"/>
                <w:szCs w:val="8"/>
                <w:color w:val="auto"/>
              </w:rPr>
            </w:pPr>
          </w:p>
        </w:tc>
        <w:tc>
          <w:tcPr>
            <w:tcW w:w="260" w:type="dxa"/>
            <w:vAlign w:val="bottom"/>
            <w:shd w:val="clear" w:color="auto" w:fill="3851A5"/>
          </w:tcPr>
          <w:p>
            <w:pPr>
              <w:spacing w:after="0"/>
              <w:rPr>
                <w:sz w:val="8"/>
                <w:szCs w:val="8"/>
                <w:color w:val="auto"/>
              </w:rPr>
            </w:pPr>
          </w:p>
        </w:tc>
        <w:tc>
          <w:tcPr>
            <w:tcW w:w="2520" w:type="dxa"/>
            <w:vAlign w:val="bottom"/>
            <w:gridSpan w:val="12"/>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6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3851A5"/>
            </w:tcBorders>
            <w:shd w:val="clear" w:color="auto" w:fill="3851A5"/>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8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32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160" w:type="dxa"/>
            <w:vAlign w:val="bottom"/>
            <w:tcBorders>
              <w:top w:val="single" w:sz="8" w:color="BFBFBF"/>
            </w:tcBorders>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$20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Pr>
          <w:p>
            <w:pPr>
              <w:spacing w:after="0"/>
              <w:rPr>
                <w:sz w:val="8"/>
                <w:szCs w:val="8"/>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-$600,000,000</w:t>
            </w:r>
          </w:p>
        </w:tc>
        <w:tc>
          <w:tcPr>
            <w:tcW w:w="20" w:type="dxa"/>
            <w:vAlign w:val="bottom"/>
            <w:vMerge w:val="restart"/>
          </w:tcPr>
          <w:p>
            <w:pPr>
              <w:spacing w:after="0"/>
              <w:rPr>
                <w:sz w:val="8"/>
                <w:szCs w:val="8"/>
                <w:color w:val="auto"/>
              </w:rPr>
            </w:pPr>
          </w:p>
        </w:tc>
        <w:tc>
          <w:tcPr>
            <w:tcW w:w="1020" w:type="dxa"/>
            <w:vAlign w:val="bottom"/>
            <w:tcBorders>
              <w:bottom w:val="single" w:sz="8" w:color="BFBFBF"/>
            </w:tcBorders>
            <w:gridSpan w:val="5"/>
          </w:tcPr>
          <w:p>
            <w:pPr>
              <w:spacing w:after="0"/>
              <w:rPr>
                <w:sz w:val="8"/>
                <w:szCs w:val="8"/>
                <w:color w:val="auto"/>
              </w:rPr>
            </w:pPr>
          </w:p>
        </w:tc>
        <w:tc>
          <w:tcPr>
            <w:tcW w:w="260" w:type="dxa"/>
            <w:vAlign w:val="bottom"/>
            <w:tcBorders>
              <w:bottom w:val="single" w:sz="8" w:color="3851A5"/>
            </w:tcBorders>
            <w:vMerge w:val="restart"/>
            <w:shd w:val="clear" w:color="auto" w:fill="3851A5"/>
          </w:tcPr>
          <w:p>
            <w:pPr>
              <w:spacing w:after="0"/>
              <w:rPr>
                <w:sz w:val="8"/>
                <w:szCs w:val="8"/>
                <w:color w:val="auto"/>
              </w:rPr>
            </w:pPr>
          </w:p>
        </w:tc>
        <w:tc>
          <w:tcPr>
            <w:tcW w:w="620" w:type="dxa"/>
            <w:vAlign w:val="bottom"/>
            <w:tcBorders>
              <w:bottom w:val="single" w:sz="8" w:color="BFBFBF"/>
            </w:tcBorders>
            <w:gridSpan w:val="3"/>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gridSpan w:val="3"/>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160" w:type="dxa"/>
            <w:vAlign w:val="bottom"/>
            <w:tcBorders>
              <w:bottom w:val="single" w:sz="8" w:color="BFBFBF"/>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tcBorders>
              <w:bottom w:val="single" w:sz="8" w:color="3851A5"/>
            </w:tcBorders>
            <w:vMerge w:val="continue"/>
            <w:shd w:val="clear" w:color="auto" w:fill="3851A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20" w:type="dxa"/>
            <w:vAlign w:val="bottom"/>
          </w:tcPr>
          <w:p>
            <w:pPr>
              <w:spacing w:after="0"/>
              <w:rPr>
                <w:sz w:val="7"/>
                <w:szCs w:val="7"/>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9"/>
                <w:szCs w:val="9"/>
                <w:color w:val="auto"/>
              </w:rPr>
              <w:t>-$800,000,000</w:t>
            </w:r>
          </w:p>
        </w:tc>
        <w:tc>
          <w:tcPr>
            <w:tcW w:w="20" w:type="dxa"/>
            <w:vAlign w:val="bottom"/>
            <w:vMerge w:val="restart"/>
          </w:tcPr>
          <w:p>
            <w:pPr>
              <w:spacing w:after="0"/>
              <w:rPr>
                <w:sz w:val="7"/>
                <w:szCs w:val="7"/>
                <w:color w:val="auto"/>
              </w:rPr>
            </w:pPr>
          </w:p>
        </w:tc>
        <w:tc>
          <w:tcPr>
            <w:tcW w:w="1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8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2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160" w:type="dxa"/>
            <w:vAlign w:val="bottom"/>
            <w:tcBorders>
              <w:bottom w:val="single" w:sz="8" w:color="BFBFBF"/>
            </w:tcBorders>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900" w:type="dxa"/>
            <w:vAlign w:val="bottom"/>
            <w:gridSpan w:val="9"/>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-882650</wp:posOffset>
            </wp:positionV>
            <wp:extent cx="1755775" cy="8293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extLst>
                    </a:blip>
                    <a:srcRect/>
                    <a:stretch>
                      <a:fillRect/>
                    </a:stretch>
                  </pic:blipFill>
                  <pic:spPr bwMode="auto">
                    <a:xfrm>
                      <a:off x="0" y="0"/>
                      <a:ext cx="1755775" cy="829310"/>
                    </a:xfrm>
                    <a:prstGeom prst="rect">
                      <a:avLst/>
                    </a:prstGeom>
                    <a:noFill/>
                  </pic:spPr>
                </pic:pic>
              </a:graphicData>
            </a:graphic>
          </wp:anchor>
        </w:drawing>
      </w:r>
    </w:p>
    <w:p>
      <w:pPr>
        <w:spacing w:after="0" w:line="5" w:lineRule="exact"/>
        <w:rPr>
          <w:sz w:val="20"/>
          <w:szCs w:val="20"/>
          <w:color w:val="auto"/>
        </w:rPr>
      </w:pPr>
    </w:p>
    <w:p>
      <w:pPr>
        <w:ind w:left="1300"/>
        <w:spacing w:after="0"/>
        <w:tabs>
          <w:tab w:leader="none" w:pos="2140" w:val="left"/>
          <w:tab w:leader="none" w:pos="3020" w:val="left"/>
          <w:tab w:leader="none" w:pos="3900" w:val="left"/>
        </w:tabs>
        <w:rPr>
          <w:sz w:val="20"/>
          <w:szCs w:val="20"/>
          <w:color w:val="auto"/>
        </w:rPr>
      </w:pPr>
      <w:r>
        <w:rPr>
          <w:rFonts w:ascii="Arial" w:cs="Arial" w:eastAsia="Arial" w:hAnsi="Arial"/>
          <w:sz w:val="9"/>
          <w:szCs w:val="9"/>
          <w:color w:val="auto"/>
        </w:rPr>
        <w:t>FY 2021</w:t>
      </w:r>
      <w:r>
        <w:rPr>
          <w:sz w:val="20"/>
          <w:szCs w:val="20"/>
          <w:color w:val="auto"/>
        </w:rPr>
        <w:tab/>
      </w:r>
      <w:r>
        <w:rPr>
          <w:rFonts w:ascii="Arial" w:cs="Arial" w:eastAsia="Arial" w:hAnsi="Arial"/>
          <w:sz w:val="9"/>
          <w:szCs w:val="9"/>
          <w:color w:val="auto"/>
        </w:rPr>
        <w:t>FY 2022</w:t>
      </w:r>
      <w:r>
        <w:rPr>
          <w:sz w:val="20"/>
          <w:szCs w:val="20"/>
          <w:color w:val="auto"/>
        </w:rPr>
        <w:tab/>
      </w:r>
      <w:r>
        <w:rPr>
          <w:rFonts w:ascii="Arial" w:cs="Arial" w:eastAsia="Arial" w:hAnsi="Arial"/>
          <w:sz w:val="9"/>
          <w:szCs w:val="9"/>
          <w:color w:val="auto"/>
        </w:rPr>
        <w:t>FY 2023</w:t>
      </w:r>
      <w:r>
        <w:rPr>
          <w:sz w:val="20"/>
          <w:szCs w:val="20"/>
          <w:color w:val="auto"/>
        </w:rPr>
        <w:tab/>
      </w:r>
      <w:r>
        <w:rPr>
          <w:rFonts w:ascii="Arial" w:cs="Arial" w:eastAsia="Arial" w:hAnsi="Arial"/>
          <w:sz w:val="8"/>
          <w:szCs w:val="8"/>
          <w:color w:val="auto"/>
        </w:rPr>
        <w:t>FY 2024</w:t>
      </w:r>
    </w:p>
    <w:p>
      <w:pPr>
        <w:spacing w:after="0" w:line="53" w:lineRule="exact"/>
        <w:rPr>
          <w:sz w:val="20"/>
          <w:szCs w:val="20"/>
          <w:color w:val="auto"/>
        </w:rPr>
      </w:pPr>
    </w:p>
    <w:p>
      <w:pPr>
        <w:ind w:left="1320"/>
        <w:spacing w:after="0"/>
        <w:rPr>
          <w:sz w:val="20"/>
          <w:szCs w:val="20"/>
          <w:color w:val="auto"/>
        </w:rPr>
      </w:pPr>
      <w:r>
        <w:rPr>
          <w:sz w:val="1"/>
          <w:szCs w:val="1"/>
          <w:color w:val="auto"/>
        </w:rPr>
        <w:drawing>
          <wp:inline distT="0" distB="0" distL="0" distR="0">
            <wp:extent cx="130175" cy="311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extLst>
                    </a:blip>
                    <a:srcRect/>
                    <a:stretch>
                      <a:fillRect/>
                    </a:stretch>
                  </pic:blipFill>
                  <pic:spPr bwMode="auto">
                    <a:xfrm>
                      <a:off x="0" y="0"/>
                      <a:ext cx="130175" cy="31115"/>
                    </a:xfrm>
                    <a:prstGeom prst="rect">
                      <a:avLst/>
                    </a:prstGeom>
                    <a:noFill/>
                    <a:ln>
                      <a:noFill/>
                    </a:ln>
                  </pic:spPr>
                </pic:pic>
              </a:graphicData>
            </a:graphic>
          </wp:inline>
        </w:drawing>
      </w:r>
      <w:r>
        <w:rPr>
          <w:rFonts w:ascii="Arial" w:cs="Arial" w:eastAsia="Arial" w:hAnsi="Arial"/>
          <w:sz w:val="9"/>
          <w:szCs w:val="9"/>
          <w:color w:val="auto"/>
        </w:rPr>
        <w:t xml:space="preserve"> PEO Compensation Actually Paid</w:t>
      </w:r>
    </w:p>
    <w:p>
      <w:pPr>
        <w:spacing w:after="0" w:line="34" w:lineRule="exact"/>
        <w:rPr>
          <w:sz w:val="20"/>
          <w:szCs w:val="20"/>
          <w:color w:val="auto"/>
        </w:rPr>
      </w:pPr>
    </w:p>
    <w:p>
      <w:pPr>
        <w:ind w:left="1320"/>
        <w:spacing w:after="0"/>
        <w:rPr>
          <w:sz w:val="20"/>
          <w:szCs w:val="20"/>
          <w:color w:val="auto"/>
        </w:rPr>
      </w:pPr>
      <w:r>
        <w:rPr>
          <w:sz w:val="1"/>
          <w:szCs w:val="1"/>
          <w:color w:val="auto"/>
        </w:rPr>
        <w:drawing>
          <wp:inline distT="0" distB="0" distL="0" distR="0">
            <wp:extent cx="130175" cy="3111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6">
                      <a:extLst>
                        <a:ext uri="{28A0092B-C50C-407E-A947-70E740481C1C}"/>
                      </a:extLst>
                    </a:blip>
                    <a:srcRect/>
                    <a:stretch>
                      <a:fillRect/>
                    </a:stretch>
                  </pic:blipFill>
                  <pic:spPr bwMode="auto">
                    <a:xfrm>
                      <a:off x="0" y="0"/>
                      <a:ext cx="130175" cy="31115"/>
                    </a:xfrm>
                    <a:prstGeom prst="rect">
                      <a:avLst/>
                    </a:prstGeom>
                    <a:noFill/>
                    <a:ln>
                      <a:noFill/>
                    </a:ln>
                  </pic:spPr>
                </pic:pic>
              </a:graphicData>
            </a:graphic>
          </wp:inline>
        </w:drawing>
      </w:r>
      <w:r>
        <w:rPr>
          <w:rFonts w:ascii="Arial" w:cs="Arial" w:eastAsia="Arial" w:hAnsi="Arial"/>
          <w:sz w:val="9"/>
          <w:szCs w:val="9"/>
          <w:color w:val="auto"/>
        </w:rPr>
        <w:t xml:space="preserve"> Non-PEO NEO Average Compensation Actually Paid</w:t>
      </w:r>
    </w:p>
    <w:p>
      <w:pPr>
        <w:spacing w:after="0" w:line="21" w:lineRule="exact"/>
        <w:rPr>
          <w:sz w:val="20"/>
          <w:szCs w:val="20"/>
          <w:color w:val="auto"/>
        </w:rPr>
      </w:pPr>
    </w:p>
    <w:p>
      <w:pPr>
        <w:ind w:left="1320"/>
        <w:spacing w:after="0"/>
        <w:rPr>
          <w:sz w:val="20"/>
          <w:szCs w:val="20"/>
          <w:color w:val="auto"/>
        </w:rPr>
      </w:pPr>
      <w:r>
        <w:rPr>
          <w:sz w:val="1"/>
          <w:szCs w:val="1"/>
          <w:color w:val="auto"/>
        </w:rPr>
        <w:drawing>
          <wp:inline distT="0" distB="0" distL="0" distR="0">
            <wp:extent cx="130175" cy="635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7">
                      <a:extLst>
                        <a:ext uri="{28A0092B-C50C-407E-A947-70E740481C1C}"/>
                      </a:extLst>
                    </a:blip>
                    <a:srcRect/>
                    <a:stretch>
                      <a:fillRect/>
                    </a:stretch>
                  </pic:blipFill>
                  <pic:spPr bwMode="auto">
                    <a:xfrm>
                      <a:off x="0" y="0"/>
                      <a:ext cx="130175" cy="63500"/>
                    </a:xfrm>
                    <a:prstGeom prst="rect">
                      <a:avLst/>
                    </a:prstGeom>
                    <a:noFill/>
                    <a:ln>
                      <a:noFill/>
                    </a:ln>
                  </pic:spPr>
                </pic:pic>
              </a:graphicData>
            </a:graphic>
          </wp:inline>
        </w:drawing>
      </w:r>
      <w:r>
        <w:rPr>
          <w:rFonts w:ascii="Arial" w:cs="Arial" w:eastAsia="Arial" w:hAnsi="Arial"/>
          <w:sz w:val="9"/>
          <w:szCs w:val="9"/>
          <w:color w:val="auto"/>
        </w:rPr>
        <w:t xml:space="preserve"> Cumulative TSR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COMPENSATION ACTUALLY PAID VERSUS NET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120" w:type="dxa"/>
            <w:vAlign w:val="bottom"/>
          </w:tcPr>
          <w:p>
            <w:pPr>
              <w:spacing w:after="0"/>
              <w:rPr>
                <w:sz w:val="4"/>
                <w:szCs w:val="4"/>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$1,200,000,000</w:t>
            </w:r>
          </w:p>
        </w:tc>
        <w:tc>
          <w:tcPr>
            <w:tcW w:w="16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160" w:type="dxa"/>
            <w:vAlign w:val="bottom"/>
            <w:tcBorders>
              <w:bottom w:val="single" w:sz="8" w:color="BFBFBF"/>
            </w:tcBorders>
          </w:tcPr>
          <w:p>
            <w:pPr>
              <w:spacing w:after="0"/>
              <w:rPr>
                <w:sz w:val="4"/>
                <w:szCs w:val="4"/>
                <w:color w:val="auto"/>
              </w:rPr>
            </w:pPr>
          </w:p>
        </w:tc>
        <w:tc>
          <w:tcPr>
            <w:tcW w:w="620" w:type="dxa"/>
            <w:vAlign w:val="bottom"/>
            <w:vMerge w:val="restart"/>
          </w:tcPr>
          <w:p>
            <w:pPr>
              <w:ind w:left="60"/>
              <w:spacing w:after="0"/>
              <w:rPr>
                <w:sz w:val="20"/>
                <w:szCs w:val="20"/>
                <w:color w:val="auto"/>
              </w:rPr>
            </w:pPr>
            <w:r>
              <w:rPr>
                <w:rFonts w:ascii="Arial" w:cs="Arial" w:eastAsia="Arial" w:hAnsi="Arial"/>
                <w:sz w:val="8"/>
                <w:szCs w:val="8"/>
                <w:color w:val="auto"/>
              </w:rPr>
              <w:t>$0</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20" w:type="dxa"/>
            <w:vAlign w:val="bottom"/>
            <w:vMerge w:val="restart"/>
            <w:textDirection w:val="btLr"/>
          </w:tcPr>
          <w:p>
            <w:pPr>
              <w:ind w:left="19"/>
              <w:spacing w:after="0"/>
              <w:rPr>
                <w:sz w:val="20"/>
                <w:szCs w:val="20"/>
                <w:color w:val="auto"/>
              </w:rPr>
            </w:pPr>
            <w:r>
              <w:rPr>
                <w:rFonts w:ascii="Arial" w:cs="Arial" w:eastAsia="Arial" w:hAnsi="Arial"/>
                <w:sz w:val="8"/>
                <w:szCs w:val="8"/>
                <w:color w:val="auto"/>
                <w:w w:val="99"/>
              </w:rPr>
              <w:t>Paid</w:t>
            </w: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$1,000,000,000</w:t>
            </w:r>
          </w:p>
        </w:tc>
        <w:tc>
          <w:tcPr>
            <w:tcW w:w="160" w:type="dxa"/>
            <w:vAlign w:val="bottom"/>
            <w:tcBorders>
              <w:bottom w:val="single" w:sz="8" w:color="BFBFBF"/>
            </w:tcBorders>
          </w:tcPr>
          <w:p>
            <w:pPr>
              <w:spacing w:after="0"/>
              <w:rPr>
                <w:sz w:val="8"/>
                <w:szCs w:val="8"/>
                <w:color w:val="auto"/>
              </w:rPr>
            </w:pPr>
          </w:p>
        </w:tc>
        <w:tc>
          <w:tcPr>
            <w:tcW w:w="240" w:type="dxa"/>
            <w:vAlign w:val="bottom"/>
            <w:tcBorders>
              <w:bottom w:val="single" w:sz="8" w:color="3851A5"/>
            </w:tcBorders>
            <w:shd w:val="clear" w:color="auto" w:fill="3851A5"/>
          </w:tcPr>
          <w:p>
            <w:pPr>
              <w:spacing w:after="0"/>
              <w:rPr>
                <w:sz w:val="8"/>
                <w:szCs w:val="8"/>
                <w:color w:val="auto"/>
              </w:rPr>
            </w:pPr>
          </w:p>
        </w:tc>
        <w:tc>
          <w:tcPr>
            <w:tcW w:w="6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160" w:type="dxa"/>
            <w:vAlign w:val="bottom"/>
            <w:tcBorders>
              <w:bottom w:val="single" w:sz="8" w:color="BFBFBF"/>
            </w:tcBorders>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8"/>
                <w:szCs w:val="8"/>
                <w:color w:val="auto"/>
              </w:rPr>
              <w:t>-$500,000</w:t>
            </w:r>
          </w:p>
        </w:tc>
        <w:tc>
          <w:tcPr>
            <w:tcW w:w="120" w:type="dxa"/>
            <w:vAlign w:val="bottom"/>
            <w:vMerge w:val="restart"/>
            <w:textDirection w:val="tbRl"/>
          </w:tcPr>
          <w:p>
            <w:pPr>
              <w:jc w:val="right"/>
              <w:ind w:left="24"/>
              <w:spacing w:after="0"/>
              <w:rPr>
                <w:sz w:val="20"/>
                <w:szCs w:val="20"/>
                <w:color w:val="auto"/>
              </w:rPr>
            </w:pPr>
            <w:r>
              <w:rPr>
                <w:rFonts w:ascii="Arial" w:cs="Arial" w:eastAsia="Arial" w:hAnsi="Arial"/>
                <w:sz w:val="8"/>
                <w:szCs w:val="8"/>
                <w:color w:val="auto"/>
                <w:w w:val="96"/>
              </w:rPr>
              <w:t>Net</w:t>
            </w:r>
          </w:p>
        </w:tc>
        <w:tc>
          <w:tcPr>
            <w:tcW w:w="0" w:type="dxa"/>
            <w:vAlign w:val="bottom"/>
          </w:tcPr>
          <w:p>
            <w:pPr>
              <w:spacing w:after="0"/>
              <w:rPr>
                <w:sz w:val="1"/>
                <w:szCs w:val="1"/>
                <w:color w:val="auto"/>
              </w:rPr>
            </w:pPr>
          </w:p>
        </w:tc>
      </w:tr>
      <w:tr>
        <w:trPr>
          <w:trHeight w:val="31"/>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851A5"/>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120" w:type="dxa"/>
            <w:vAlign w:val="bottom"/>
            <w:vMerge w:val="continue"/>
          </w:tcPr>
          <w:p>
            <w:pPr>
              <w:spacing w:after="0"/>
              <w:rPr>
                <w:sz w:val="9"/>
                <w:szCs w:val="9"/>
                <w:color w:val="auto"/>
              </w:rPr>
            </w:pP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$800,000,000</w:t>
            </w:r>
          </w:p>
        </w:tc>
        <w:tc>
          <w:tcPr>
            <w:tcW w:w="160" w:type="dxa"/>
            <w:vAlign w:val="bottom"/>
            <w:tcBorders>
              <w:bottom w:val="single" w:sz="8" w:color="BFBFBF"/>
            </w:tcBorders>
          </w:tcPr>
          <w:p>
            <w:pPr>
              <w:spacing w:after="0"/>
              <w:rPr>
                <w:sz w:val="9"/>
                <w:szCs w:val="9"/>
                <w:color w:val="auto"/>
              </w:rPr>
            </w:pPr>
          </w:p>
        </w:tc>
        <w:tc>
          <w:tcPr>
            <w:tcW w:w="240" w:type="dxa"/>
            <w:vAlign w:val="bottom"/>
            <w:tcBorders>
              <w:bottom w:val="single" w:sz="8" w:color="3851A5"/>
            </w:tcBorders>
            <w:shd w:val="clear" w:color="auto" w:fill="3851A5"/>
          </w:tcPr>
          <w:p>
            <w:pPr>
              <w:spacing w:after="0"/>
              <w:rPr>
                <w:sz w:val="9"/>
                <w:szCs w:val="9"/>
                <w:color w:val="auto"/>
              </w:rPr>
            </w:pPr>
          </w:p>
        </w:tc>
        <w:tc>
          <w:tcPr>
            <w:tcW w:w="6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160" w:type="dxa"/>
            <w:vAlign w:val="bottom"/>
            <w:tcBorders>
              <w:bottom w:val="single" w:sz="8" w:color="BFBFBF"/>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 w:type="dxa"/>
            <w:vAlign w:val="bottom"/>
            <w:vMerge w:val="restart"/>
            <w:textDirection w:val="btLr"/>
          </w:tcPr>
          <w:p>
            <w:pPr>
              <w:ind w:left="31"/>
              <w:spacing w:after="0"/>
              <w:rPr>
                <w:sz w:val="20"/>
                <w:szCs w:val="20"/>
                <w:color w:val="auto"/>
              </w:rPr>
            </w:pPr>
            <w:r>
              <w:rPr>
                <w:rFonts w:ascii="Arial" w:cs="Arial" w:eastAsia="Arial" w:hAnsi="Arial"/>
                <w:sz w:val="7"/>
                <w:szCs w:val="7"/>
                <w:color w:val="auto"/>
                <w:w w:val="71"/>
              </w:rPr>
              <w:t>CompensationActually</w:t>
            </w: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$600,000,000</w:t>
            </w:r>
          </w:p>
        </w:tc>
        <w:tc>
          <w:tcPr>
            <w:tcW w:w="160" w:type="dxa"/>
            <w:vAlign w:val="bottom"/>
            <w:tcBorders>
              <w:bottom w:val="single" w:sz="8" w:color="BFBFBF"/>
            </w:tcBorders>
          </w:tcPr>
          <w:p>
            <w:pPr>
              <w:spacing w:after="0"/>
              <w:rPr>
                <w:sz w:val="9"/>
                <w:szCs w:val="9"/>
                <w:color w:val="auto"/>
              </w:rPr>
            </w:pPr>
          </w:p>
        </w:tc>
        <w:tc>
          <w:tcPr>
            <w:tcW w:w="240" w:type="dxa"/>
            <w:vAlign w:val="bottom"/>
            <w:tcBorders>
              <w:bottom w:val="single" w:sz="8" w:color="3851A5"/>
            </w:tcBorders>
            <w:shd w:val="clear" w:color="auto" w:fill="3851A5"/>
          </w:tcPr>
          <w:p>
            <w:pPr>
              <w:spacing w:after="0"/>
              <w:rPr>
                <w:sz w:val="9"/>
                <w:szCs w:val="9"/>
                <w:color w:val="auto"/>
              </w:rPr>
            </w:pPr>
          </w:p>
        </w:tc>
        <w:tc>
          <w:tcPr>
            <w:tcW w:w="6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300" w:type="dxa"/>
            <w:vAlign w:val="bottom"/>
            <w:tcBorders>
              <w:bottom w:val="single" w:sz="8" w:color="BFBFBF"/>
            </w:tcBorders>
          </w:tcPr>
          <w:p>
            <w:pPr>
              <w:spacing w:after="0"/>
              <w:rPr>
                <w:sz w:val="9"/>
                <w:szCs w:val="9"/>
                <w:color w:val="auto"/>
              </w:rPr>
            </w:pPr>
          </w:p>
        </w:tc>
        <w:tc>
          <w:tcPr>
            <w:tcW w:w="260" w:type="dxa"/>
            <w:vAlign w:val="bottom"/>
            <w:tcBorders>
              <w:bottom w:val="single" w:sz="8" w:color="BFBFBF"/>
            </w:tcBorders>
          </w:tcPr>
          <w:p>
            <w:pPr>
              <w:spacing w:after="0"/>
              <w:rPr>
                <w:sz w:val="9"/>
                <w:szCs w:val="9"/>
                <w:color w:val="auto"/>
              </w:rPr>
            </w:pPr>
          </w:p>
        </w:tc>
        <w:tc>
          <w:tcPr>
            <w:tcW w:w="40" w:type="dxa"/>
            <w:vAlign w:val="bottom"/>
            <w:tcBorders>
              <w:bottom w:val="single" w:sz="8" w:color="BFBFBF"/>
            </w:tcBorders>
          </w:tcPr>
          <w:p>
            <w:pPr>
              <w:spacing w:after="0"/>
              <w:rPr>
                <w:sz w:val="9"/>
                <w:szCs w:val="9"/>
                <w:color w:val="auto"/>
              </w:rPr>
            </w:pPr>
          </w:p>
        </w:tc>
        <w:tc>
          <w:tcPr>
            <w:tcW w:w="240" w:type="dxa"/>
            <w:vAlign w:val="bottom"/>
            <w:tcBorders>
              <w:bottom w:val="single" w:sz="8" w:color="BFBFBF"/>
            </w:tcBorders>
          </w:tcPr>
          <w:p>
            <w:pPr>
              <w:spacing w:after="0"/>
              <w:rPr>
                <w:sz w:val="9"/>
                <w:szCs w:val="9"/>
                <w:color w:val="auto"/>
              </w:rPr>
            </w:pPr>
          </w:p>
        </w:tc>
        <w:tc>
          <w:tcPr>
            <w:tcW w:w="160" w:type="dxa"/>
            <w:vAlign w:val="bottom"/>
            <w:tcBorders>
              <w:bottom w:val="single" w:sz="8" w:color="BFBFBF"/>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vMerge w:val="restart"/>
            <w:textDirection w:val="tbRl"/>
          </w:tcPr>
          <w:p>
            <w:pPr>
              <w:jc w:val="right"/>
              <w:ind w:left="35"/>
              <w:spacing w:after="0"/>
              <w:rPr>
                <w:sz w:val="20"/>
                <w:szCs w:val="20"/>
                <w:color w:val="auto"/>
              </w:rPr>
            </w:pPr>
            <w:r>
              <w:rPr>
                <w:rFonts w:ascii="Arial" w:cs="Arial" w:eastAsia="Arial" w:hAnsi="Arial"/>
                <w:sz w:val="7"/>
                <w:szCs w:val="7"/>
                <w:color w:val="auto"/>
                <w:w w:val="70"/>
              </w:rPr>
              <w:t>Thousands)(inIncome</w:t>
            </w:r>
          </w:p>
        </w:tc>
        <w:tc>
          <w:tcPr>
            <w:tcW w:w="0" w:type="dxa"/>
            <w:vAlign w:val="bottom"/>
          </w:tcPr>
          <w:p>
            <w:pPr>
              <w:spacing w:after="0"/>
              <w:rPr>
                <w:sz w:val="1"/>
                <w:szCs w:val="1"/>
                <w:color w:val="auto"/>
              </w:rPr>
            </w:pPr>
          </w:p>
        </w:tc>
      </w:tr>
      <w:tr>
        <w:trPr>
          <w:trHeight w:val="32"/>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851A5"/>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5"/>
            <w:vMerge w:val="restart"/>
          </w:tcPr>
          <w:p>
            <w:pPr>
              <w:ind w:left="760"/>
              <w:spacing w:after="0" w:line="88" w:lineRule="exact"/>
              <w:rPr>
                <w:sz w:val="20"/>
                <w:szCs w:val="20"/>
                <w:color w:val="auto"/>
              </w:rPr>
            </w:pPr>
            <w:r>
              <w:rPr>
                <w:rFonts w:ascii="Arial" w:cs="Arial" w:eastAsia="Arial" w:hAnsi="Arial"/>
                <w:sz w:val="8"/>
                <w:szCs w:val="8"/>
                <w:color w:val="auto"/>
              </w:rPr>
              <w:t>-$1,000,000</w:t>
            </w: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120" w:type="dxa"/>
            <w:vAlign w:val="bottom"/>
            <w:vMerge w:val="continue"/>
          </w:tcPr>
          <w:p>
            <w:pPr>
              <w:spacing w:after="0"/>
              <w:rPr>
                <w:sz w:val="4"/>
                <w:szCs w:val="4"/>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$400,000,000</w:t>
            </w:r>
          </w:p>
        </w:tc>
        <w:tc>
          <w:tcPr>
            <w:tcW w:w="160" w:type="dxa"/>
            <w:vAlign w:val="bottom"/>
          </w:tcPr>
          <w:p>
            <w:pPr>
              <w:spacing w:after="0"/>
              <w:rPr>
                <w:sz w:val="4"/>
                <w:szCs w:val="4"/>
                <w:color w:val="auto"/>
              </w:rPr>
            </w:pPr>
          </w:p>
        </w:tc>
        <w:tc>
          <w:tcPr>
            <w:tcW w:w="240" w:type="dxa"/>
            <w:vAlign w:val="bottom"/>
            <w:shd w:val="clear" w:color="auto" w:fill="3851A5"/>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Borders>
              <w:bottom w:val="single" w:sz="8" w:color="BFBFBF"/>
            </w:tcBorders>
          </w:tcPr>
          <w:p>
            <w:pPr>
              <w:spacing w:after="0"/>
              <w:rPr>
                <w:sz w:val="2"/>
                <w:szCs w:val="2"/>
                <w:color w:val="auto"/>
              </w:rPr>
            </w:pPr>
          </w:p>
        </w:tc>
        <w:tc>
          <w:tcPr>
            <w:tcW w:w="240" w:type="dxa"/>
            <w:vAlign w:val="bottom"/>
            <w:tcBorders>
              <w:bottom w:val="single" w:sz="8" w:color="3851A5"/>
            </w:tcBorders>
            <w:shd w:val="clear" w:color="auto" w:fill="3851A5"/>
          </w:tcPr>
          <w:p>
            <w:pPr>
              <w:spacing w:after="0"/>
              <w:rPr>
                <w:sz w:val="2"/>
                <w:szCs w:val="2"/>
                <w:color w:val="auto"/>
              </w:rPr>
            </w:pPr>
          </w:p>
        </w:tc>
        <w:tc>
          <w:tcPr>
            <w:tcW w:w="60" w:type="dxa"/>
            <w:vAlign w:val="bottom"/>
            <w:tcBorders>
              <w:bottom w:val="single" w:sz="8" w:color="BFBFBF"/>
            </w:tcBorders>
          </w:tcPr>
          <w:p>
            <w:pPr>
              <w:spacing w:after="0"/>
              <w:rPr>
                <w:sz w:val="2"/>
                <w:szCs w:val="2"/>
                <w:color w:val="auto"/>
              </w:rPr>
            </w:pPr>
          </w:p>
        </w:tc>
        <w:tc>
          <w:tcPr>
            <w:tcW w:w="24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4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40" w:type="dxa"/>
            <w:vAlign w:val="bottom"/>
            <w:tcBorders>
              <w:bottom w:val="single" w:sz="8" w:color="BFBFBF"/>
            </w:tcBorders>
          </w:tcPr>
          <w:p>
            <w:pPr>
              <w:spacing w:after="0"/>
              <w:rPr>
                <w:sz w:val="2"/>
                <w:szCs w:val="2"/>
                <w:color w:val="auto"/>
              </w:rPr>
            </w:pPr>
          </w:p>
        </w:tc>
        <w:tc>
          <w:tcPr>
            <w:tcW w:w="160" w:type="dxa"/>
            <w:vAlign w:val="bottom"/>
            <w:tcBorders>
              <w:bottom w:val="single" w:sz="8" w:color="BFBFBF"/>
            </w:tcBorders>
          </w:tcPr>
          <w:p>
            <w:pPr>
              <w:spacing w:after="0"/>
              <w:rPr>
                <w:sz w:val="2"/>
                <w:szCs w:val="2"/>
                <w:color w:val="auto"/>
              </w:rPr>
            </w:pPr>
          </w:p>
        </w:tc>
        <w:tc>
          <w:tcPr>
            <w:tcW w:w="620" w:type="dxa"/>
            <w:vAlign w:val="bottom"/>
            <w:vMerge w:val="restart"/>
          </w:tcPr>
          <w:p>
            <w:pPr>
              <w:ind w:left="60"/>
              <w:spacing w:after="0"/>
              <w:rPr>
                <w:sz w:val="20"/>
                <w:szCs w:val="20"/>
                <w:color w:val="auto"/>
              </w:rPr>
            </w:pPr>
            <w:r>
              <w:rPr>
                <w:rFonts w:ascii="Arial" w:cs="Arial" w:eastAsia="Arial" w:hAnsi="Arial"/>
                <w:sz w:val="8"/>
                <w:szCs w:val="8"/>
                <w:color w:val="auto"/>
              </w:rPr>
              <w:t>-$1,500,000</w:t>
            </w: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851A5"/>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20" w:type="dxa"/>
            <w:vAlign w:val="bottom"/>
            <w:vMerge w:val="continue"/>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$200,000,000</w:t>
            </w:r>
          </w:p>
        </w:tc>
        <w:tc>
          <w:tcPr>
            <w:tcW w:w="160" w:type="dxa"/>
            <w:vAlign w:val="bottom"/>
            <w:tcBorders>
              <w:bottom w:val="single" w:sz="8" w:color="BFBFBF"/>
            </w:tcBorders>
          </w:tcPr>
          <w:p>
            <w:pPr>
              <w:spacing w:after="0"/>
              <w:rPr>
                <w:sz w:val="7"/>
                <w:szCs w:val="7"/>
                <w:color w:val="auto"/>
              </w:rPr>
            </w:pPr>
          </w:p>
        </w:tc>
        <w:tc>
          <w:tcPr>
            <w:tcW w:w="240" w:type="dxa"/>
            <w:vAlign w:val="bottom"/>
            <w:tcBorders>
              <w:bottom w:val="single" w:sz="8" w:color="3851A5"/>
            </w:tcBorders>
            <w:shd w:val="clear" w:color="auto" w:fill="3851A5"/>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160" w:type="dxa"/>
            <w:vAlign w:val="bottom"/>
            <w:tcBorders>
              <w:bottom w:val="single" w:sz="8" w:color="BFBFBF"/>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851A5"/>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vMerge w:val="continue"/>
          </w:tcPr>
          <w:p>
            <w:pPr>
              <w:spacing w:after="0"/>
              <w:rPr>
                <w:sz w:val="11"/>
                <w:szCs w:val="11"/>
                <w:color w:val="auto"/>
              </w:rPr>
            </w:pP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$0</w:t>
            </w:r>
          </w:p>
        </w:tc>
        <w:tc>
          <w:tcPr>
            <w:tcW w:w="160" w:type="dxa"/>
            <w:vAlign w:val="bottom"/>
            <w:tcBorders>
              <w:bottom w:val="single" w:sz="8" w:color="BFBFBF"/>
            </w:tcBorders>
          </w:tcPr>
          <w:p>
            <w:pPr>
              <w:spacing w:after="0"/>
              <w:rPr>
                <w:sz w:val="11"/>
                <w:szCs w:val="11"/>
                <w:color w:val="auto"/>
              </w:rPr>
            </w:pPr>
          </w:p>
        </w:tc>
        <w:tc>
          <w:tcPr>
            <w:tcW w:w="240" w:type="dxa"/>
            <w:vAlign w:val="bottom"/>
            <w:tcBorders>
              <w:bottom w:val="single" w:sz="8" w:color="3851A5"/>
            </w:tcBorders>
            <w:shd w:val="clear" w:color="auto" w:fill="3851A5"/>
          </w:tcPr>
          <w:p>
            <w:pPr>
              <w:spacing w:after="0"/>
              <w:rPr>
                <w:sz w:val="11"/>
                <w:szCs w:val="11"/>
                <w:color w:val="auto"/>
              </w:rPr>
            </w:pPr>
          </w:p>
        </w:tc>
        <w:tc>
          <w:tcPr>
            <w:tcW w:w="60" w:type="dxa"/>
            <w:vAlign w:val="bottom"/>
            <w:tcBorders>
              <w:bottom w:val="single" w:sz="8" w:color="BFBFBF"/>
            </w:tcBorders>
          </w:tcPr>
          <w:p>
            <w:pPr>
              <w:spacing w:after="0"/>
              <w:rPr>
                <w:sz w:val="11"/>
                <w:szCs w:val="11"/>
                <w:color w:val="auto"/>
              </w:rPr>
            </w:pPr>
          </w:p>
        </w:tc>
        <w:tc>
          <w:tcPr>
            <w:tcW w:w="24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60" w:type="dxa"/>
            <w:vAlign w:val="bottom"/>
            <w:tcBorders>
              <w:bottom w:val="single" w:sz="8" w:color="3851A5"/>
            </w:tcBorders>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6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40" w:type="dxa"/>
            <w:vAlign w:val="bottom"/>
            <w:tcBorders>
              <w:bottom w:val="single" w:sz="8" w:color="3851A5"/>
            </w:tcBorders>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6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60" w:type="dxa"/>
            <w:vAlign w:val="bottom"/>
            <w:tcBorders>
              <w:bottom w:val="single" w:sz="8" w:color="3851A5"/>
            </w:tcBorders>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40" w:type="dxa"/>
            <w:vAlign w:val="bottom"/>
            <w:tcBorders>
              <w:bottom w:val="single" w:sz="8" w:color="F55F17"/>
            </w:tcBorders>
          </w:tcPr>
          <w:p>
            <w:pPr>
              <w:spacing w:after="0"/>
              <w:rPr>
                <w:sz w:val="11"/>
                <w:szCs w:val="11"/>
                <w:color w:val="auto"/>
              </w:rPr>
            </w:pPr>
          </w:p>
        </w:tc>
        <w:tc>
          <w:tcPr>
            <w:tcW w:w="160" w:type="dxa"/>
            <w:vAlign w:val="bottom"/>
            <w:tcBorders>
              <w:bottom w:val="single" w:sz="8" w:color="BFBFBF"/>
            </w:tcBorders>
          </w:tcPr>
          <w:p>
            <w:pPr>
              <w:spacing w:after="0"/>
              <w:rPr>
                <w:sz w:val="11"/>
                <w:szCs w:val="11"/>
                <w:color w:val="auto"/>
              </w:rPr>
            </w:pPr>
          </w:p>
        </w:tc>
        <w:tc>
          <w:tcPr>
            <w:tcW w:w="620" w:type="dxa"/>
            <w:vAlign w:val="bottom"/>
          </w:tcPr>
          <w:p>
            <w:pPr>
              <w:ind w:left="60"/>
              <w:spacing w:after="0" w:line="52" w:lineRule="exact"/>
              <w:rPr>
                <w:sz w:val="20"/>
                <w:szCs w:val="20"/>
                <w:color w:val="auto"/>
              </w:rPr>
            </w:pPr>
            <w:r>
              <w:rPr>
                <w:rFonts w:ascii="Arial" w:cs="Arial" w:eastAsia="Arial" w:hAnsi="Arial"/>
                <w:sz w:val="6"/>
                <w:szCs w:val="6"/>
                <w:color w:val="auto"/>
              </w:rPr>
              <w:t>-$2,500,000</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-$200,000,000</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shd w:val="clear" w:color="auto" w:fill="3851A5"/>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5"/>
          </w:tcPr>
          <w:p>
            <w:pPr>
              <w:ind w:left="760"/>
              <w:spacing w:after="0" w:line="82" w:lineRule="exact"/>
              <w:rPr>
                <w:sz w:val="20"/>
                <w:szCs w:val="20"/>
                <w:color w:val="auto"/>
              </w:rPr>
            </w:pPr>
            <w:r>
              <w:rPr>
                <w:rFonts w:ascii="Arial" w:cs="Arial" w:eastAsia="Arial" w:hAnsi="Arial"/>
                <w:sz w:val="8"/>
                <w:szCs w:val="8"/>
                <w:color w:val="auto"/>
              </w:rPr>
              <w:t>-$2,000,000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6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3851A5"/>
            </w:tcBorders>
            <w:shd w:val="clear" w:color="auto" w:fill="3851A5"/>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160" w:type="dxa"/>
            <w:vAlign w:val="bottom"/>
            <w:tcBorders>
              <w:top w:val="single" w:sz="8" w:color="BFBFBF"/>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-$400,000,000</w:t>
            </w:r>
          </w:p>
        </w:tc>
        <w:tc>
          <w:tcPr>
            <w:tcW w:w="1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3851A5"/>
            </w:tcBorders>
            <w:shd w:val="clear" w:color="auto" w:fill="3851A5"/>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160" w:type="dxa"/>
            <w:vAlign w:val="bottom"/>
            <w:tcBorders>
              <w:bottom w:val="single" w:sz="8" w:color="BFBFBF"/>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-$600,000,000</w:t>
            </w:r>
          </w:p>
        </w:tc>
        <w:tc>
          <w:tcPr>
            <w:tcW w:w="1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3851A5"/>
            </w:tcBorders>
            <w:shd w:val="clear" w:color="auto" w:fill="3851A5"/>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160" w:type="dxa"/>
            <w:vAlign w:val="bottom"/>
            <w:tcBorders>
              <w:bottom w:val="single" w:sz="8" w:color="BFBFBF"/>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3851A5"/>
            </w:tcBorders>
            <w:shd w:val="clear" w:color="auto" w:fill="3851A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20" w:type="dxa"/>
            <w:vAlign w:val="bottom"/>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-$800,000,000</w:t>
            </w:r>
          </w:p>
        </w:tc>
        <w:tc>
          <w:tcPr>
            <w:tcW w:w="1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160" w:type="dxa"/>
            <w:vAlign w:val="bottom"/>
            <w:tcBorders>
              <w:bottom w:val="single" w:sz="8" w:color="BFBFBF"/>
            </w:tcBorders>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8"/>
                <w:szCs w:val="8"/>
                <w:color w:val="auto"/>
              </w:rPr>
              <w:t>-$3,000,000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4"/>
          </w:tcPr>
          <w:p>
            <w:pPr>
              <w:ind w:left="120"/>
              <w:spacing w:after="0"/>
              <w:rPr>
                <w:sz w:val="20"/>
                <w:szCs w:val="20"/>
                <w:color w:val="auto"/>
              </w:rPr>
            </w:pPr>
            <w:r>
              <w:rPr>
                <w:rFonts w:ascii="Arial" w:cs="Arial" w:eastAsia="Arial" w:hAnsi="Arial"/>
                <w:sz w:val="8"/>
                <w:szCs w:val="8"/>
                <w:color w:val="auto"/>
              </w:rPr>
              <w:t>FY 2021</w:t>
            </w:r>
          </w:p>
        </w:tc>
        <w:tc>
          <w:tcPr>
            <w:tcW w:w="560" w:type="dxa"/>
            <w:vAlign w:val="bottom"/>
            <w:gridSpan w:val="3"/>
          </w:tcPr>
          <w:p>
            <w:pPr>
              <w:ind w:left="120"/>
              <w:spacing w:after="0"/>
              <w:rPr>
                <w:sz w:val="20"/>
                <w:szCs w:val="20"/>
                <w:color w:val="auto"/>
              </w:rPr>
            </w:pPr>
            <w:r>
              <w:rPr>
                <w:rFonts w:ascii="Arial" w:cs="Arial" w:eastAsia="Arial" w:hAnsi="Arial"/>
                <w:sz w:val="8"/>
                <w:szCs w:val="8"/>
                <w:color w:val="auto"/>
              </w:rPr>
              <w:t>FY 2022</w:t>
            </w:r>
          </w:p>
        </w:tc>
        <w:tc>
          <w:tcPr>
            <w:tcW w:w="300" w:type="dxa"/>
            <w:vAlign w:val="bottom"/>
          </w:tcPr>
          <w:p>
            <w:pPr>
              <w:spacing w:after="0"/>
              <w:rPr>
                <w:sz w:val="10"/>
                <w:szCs w:val="10"/>
                <w:color w:val="auto"/>
              </w:rPr>
            </w:pPr>
          </w:p>
        </w:tc>
        <w:tc>
          <w:tcPr>
            <w:tcW w:w="840" w:type="dxa"/>
            <w:vAlign w:val="bottom"/>
            <w:gridSpan w:val="4"/>
          </w:tcPr>
          <w:p>
            <w:pPr>
              <w:ind w:left="100"/>
              <w:spacing w:after="0"/>
              <w:rPr>
                <w:sz w:val="20"/>
                <w:szCs w:val="20"/>
                <w:color w:val="auto"/>
              </w:rPr>
            </w:pPr>
            <w:r>
              <w:rPr>
                <w:rFonts w:ascii="Arial" w:cs="Arial" w:eastAsia="Arial" w:hAnsi="Arial"/>
                <w:sz w:val="8"/>
                <w:szCs w:val="8"/>
                <w:color w:val="auto"/>
              </w:rPr>
              <w:t>FY 2023</w:t>
            </w:r>
          </w:p>
        </w:tc>
        <w:tc>
          <w:tcPr>
            <w:tcW w:w="1320" w:type="dxa"/>
            <w:vAlign w:val="bottom"/>
            <w:gridSpan w:val="5"/>
          </w:tcPr>
          <w:p>
            <w:pPr>
              <w:ind w:left="100"/>
              <w:spacing w:after="0"/>
              <w:rPr>
                <w:sz w:val="20"/>
                <w:szCs w:val="20"/>
                <w:color w:val="auto"/>
              </w:rPr>
            </w:pPr>
            <w:r>
              <w:rPr>
                <w:rFonts w:ascii="Arial" w:cs="Arial" w:eastAsia="Arial" w:hAnsi="Arial"/>
                <w:sz w:val="8"/>
                <w:szCs w:val="8"/>
                <w:color w:val="auto"/>
              </w:rPr>
              <w:t>FY 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-657860</wp:posOffset>
            </wp:positionV>
            <wp:extent cx="1696085" cy="536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a:extLst>
                        <a:ext uri="{28A0092B-C50C-407E-A947-70E740481C1C}"/>
                      </a:extLst>
                    </a:blip>
                    <a:srcRect/>
                    <a:stretch>
                      <a:fillRect/>
                    </a:stretch>
                  </pic:blipFill>
                  <pic:spPr bwMode="auto">
                    <a:xfrm>
                      <a:off x="0" y="0"/>
                      <a:ext cx="1696085" cy="536575"/>
                    </a:xfrm>
                    <a:prstGeom prst="rect">
                      <a:avLst/>
                    </a:prstGeom>
                    <a:noFill/>
                  </pic:spPr>
                </pic:pic>
              </a:graphicData>
            </a:graphic>
          </wp:anchor>
        </w:drawing>
      </w:r>
    </w:p>
    <w:p>
      <w:pPr>
        <w:spacing w:after="0" w:line="29" w:lineRule="exact"/>
        <w:rPr>
          <w:sz w:val="20"/>
          <w:szCs w:val="20"/>
          <w:color w:val="auto"/>
        </w:rPr>
      </w:pPr>
    </w:p>
    <w:p>
      <w:pPr>
        <w:ind w:left="1200"/>
        <w:spacing w:after="0"/>
        <w:rPr>
          <w:sz w:val="20"/>
          <w:szCs w:val="20"/>
          <w:color w:val="auto"/>
        </w:rPr>
      </w:pPr>
      <w:r>
        <w:rPr>
          <w:sz w:val="1"/>
          <w:szCs w:val="1"/>
          <w:color w:val="auto"/>
        </w:rPr>
        <w:drawing>
          <wp:inline distT="0" distB="0" distL="0" distR="0">
            <wp:extent cx="125730" cy="3048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9">
                      <a:extLst>
                        <a:ext uri="{28A0092B-C50C-407E-A947-70E740481C1C}"/>
                      </a:extLst>
                    </a:blip>
                    <a:srcRect/>
                    <a:stretch>
                      <a:fillRect/>
                    </a:stretch>
                  </pic:blipFill>
                  <pic:spPr bwMode="auto">
                    <a:xfrm>
                      <a:off x="0" y="0"/>
                      <a:ext cx="125730" cy="30480"/>
                    </a:xfrm>
                    <a:prstGeom prst="rect">
                      <a:avLst/>
                    </a:prstGeom>
                    <a:noFill/>
                    <a:ln>
                      <a:noFill/>
                    </a:ln>
                  </pic:spPr>
                </pic:pic>
              </a:graphicData>
            </a:graphic>
          </wp:inline>
        </w:drawing>
      </w:r>
      <w:r>
        <w:rPr>
          <w:rFonts w:ascii="Arial" w:cs="Arial" w:eastAsia="Arial" w:hAnsi="Arial"/>
          <w:sz w:val="8"/>
          <w:szCs w:val="8"/>
          <w:color w:val="auto"/>
        </w:rPr>
        <w:t xml:space="preserve"> PEO Compensation Actually Paid</w:t>
      </w:r>
    </w:p>
    <w:p>
      <w:pPr>
        <w:spacing w:after="0" w:line="41" w:lineRule="exact"/>
        <w:rPr>
          <w:sz w:val="20"/>
          <w:szCs w:val="20"/>
          <w:color w:val="auto"/>
        </w:rPr>
      </w:pPr>
    </w:p>
    <w:p>
      <w:pPr>
        <w:ind w:left="1200"/>
        <w:spacing w:after="0"/>
        <w:rPr>
          <w:sz w:val="20"/>
          <w:szCs w:val="20"/>
          <w:color w:val="auto"/>
        </w:rPr>
      </w:pPr>
      <w:r>
        <w:rPr>
          <w:sz w:val="1"/>
          <w:szCs w:val="1"/>
          <w:color w:val="auto"/>
        </w:rPr>
        <w:drawing>
          <wp:inline distT="0" distB="0" distL="0" distR="0">
            <wp:extent cx="125730" cy="3048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0">
                      <a:extLst>
                        <a:ext uri="{28A0092B-C50C-407E-A947-70E740481C1C}"/>
                      </a:extLst>
                    </a:blip>
                    <a:srcRect/>
                    <a:stretch>
                      <a:fillRect/>
                    </a:stretch>
                  </pic:blipFill>
                  <pic:spPr bwMode="auto">
                    <a:xfrm>
                      <a:off x="0" y="0"/>
                      <a:ext cx="125730" cy="30480"/>
                    </a:xfrm>
                    <a:prstGeom prst="rect">
                      <a:avLst/>
                    </a:prstGeom>
                    <a:noFill/>
                    <a:ln>
                      <a:noFill/>
                    </a:ln>
                  </pic:spPr>
                </pic:pic>
              </a:graphicData>
            </a:graphic>
          </wp:inline>
        </w:drawing>
      </w:r>
      <w:r>
        <w:rPr>
          <w:rFonts w:ascii="Arial" w:cs="Arial" w:eastAsia="Arial" w:hAnsi="Arial"/>
          <w:sz w:val="8"/>
          <w:szCs w:val="8"/>
          <w:color w:val="auto"/>
        </w:rPr>
        <w:t xml:space="preserve"> Non-PEO NEO Average Compensation Actually Paid</w:t>
      </w:r>
    </w:p>
    <w:p>
      <w:pPr>
        <w:spacing w:after="0" w:line="13" w:lineRule="exact"/>
        <w:rPr>
          <w:sz w:val="20"/>
          <w:szCs w:val="20"/>
          <w:color w:val="auto"/>
        </w:rPr>
      </w:pPr>
    </w:p>
    <w:p>
      <w:pPr>
        <w:ind w:left="1200"/>
        <w:spacing w:after="0"/>
        <w:rPr>
          <w:sz w:val="20"/>
          <w:szCs w:val="20"/>
          <w:color w:val="auto"/>
        </w:rPr>
      </w:pPr>
      <w:r>
        <w:rPr>
          <w:sz w:val="1"/>
          <w:szCs w:val="1"/>
          <w:color w:val="auto"/>
        </w:rPr>
        <w:drawing>
          <wp:inline distT="0" distB="0" distL="0" distR="0">
            <wp:extent cx="125730" cy="8001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1">
                      <a:extLst>
                        <a:ext uri="{28A0092B-C50C-407E-A947-70E740481C1C}"/>
                      </a:extLst>
                    </a:blip>
                    <a:srcRect/>
                    <a:stretch>
                      <a:fillRect/>
                    </a:stretch>
                  </pic:blipFill>
                  <pic:spPr bwMode="auto">
                    <a:xfrm>
                      <a:off x="0" y="0"/>
                      <a:ext cx="125730" cy="80010"/>
                    </a:xfrm>
                    <a:prstGeom prst="rect">
                      <a:avLst/>
                    </a:prstGeom>
                    <a:noFill/>
                    <a:ln>
                      <a:noFill/>
                    </a:ln>
                  </pic:spPr>
                </pic:pic>
              </a:graphicData>
            </a:graphic>
          </wp:inline>
        </w:drawing>
      </w:r>
      <w:r>
        <w:rPr>
          <w:rFonts w:ascii="Arial" w:cs="Arial" w:eastAsia="Arial" w:hAnsi="Arial"/>
          <w:sz w:val="8"/>
          <w:szCs w:val="8"/>
          <w:color w:val="auto"/>
        </w:rPr>
        <w:t xml:space="preserve"> Net Income (in Thousands)</w:t>
      </w:r>
    </w:p>
    <w:p>
      <w:pPr>
        <w:spacing w:after="0" w:line="226" w:lineRule="exact"/>
        <w:rPr>
          <w:sz w:val="20"/>
          <w:szCs w:val="20"/>
          <w:color w:val="auto"/>
        </w:rPr>
      </w:pPr>
    </w:p>
    <w:p>
      <w:pPr>
        <w:sectPr>
          <w:pgSz w:w="11880" w:h="15480" w:orient="portrait"/>
          <w:cols w:equalWidth="0" w:num="2">
            <w:col w:w="4940" w:space="440"/>
            <w:col w:w="5040"/>
          </w:cols>
          <w:pgMar w:left="720" w:top="997"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97" w:right="740" w:bottom="0" w:gutter="0" w:footer="0" w:header="0"/>
          <w:type w:val="continuous"/>
        </w:sectPr>
      </w:pPr>
    </w:p>
    <w:bookmarkStart w:id="80" w:name="page81"/>
    <w:bookmarkEnd w:id="80"/>
    <w:p>
      <w:pPr>
        <w:ind w:left="200"/>
        <w:spacing w:after="0"/>
        <w:rPr>
          <w:sz w:val="20"/>
          <w:szCs w:val="20"/>
          <w:color w:val="auto"/>
        </w:rPr>
      </w:pPr>
      <w:r>
        <w:rPr>
          <w:rFonts w:ascii="Arial" w:cs="Arial" w:eastAsia="Arial" w:hAnsi="Arial"/>
          <w:sz w:val="16"/>
          <w:szCs w:val="16"/>
          <w:color w:val="auto"/>
        </w:rPr>
        <w:t>COMPENSATION ACTUALLY PAID VERSUS FREE CASH FLOW</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61"/>
        </w:trPr>
        <w:tc>
          <w:tcPr>
            <w:tcW w:w="120" w:type="dxa"/>
            <w:vAlign w:val="bottom"/>
          </w:tcPr>
          <w:p>
            <w:pPr>
              <w:spacing w:after="0"/>
              <w:rPr>
                <w:sz w:val="5"/>
                <w:szCs w:val="5"/>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$1,200,000,000</w:t>
            </w:r>
          </w:p>
        </w:tc>
        <w:tc>
          <w:tcPr>
            <w:tcW w:w="16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4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240" w:type="dxa"/>
            <w:vAlign w:val="bottom"/>
            <w:tcBorders>
              <w:bottom w:val="single" w:sz="8" w:color="BFBFBF"/>
            </w:tcBorders>
          </w:tcPr>
          <w:p>
            <w:pPr>
              <w:spacing w:after="0"/>
              <w:rPr>
                <w:sz w:val="5"/>
                <w:szCs w:val="5"/>
                <w:color w:val="auto"/>
              </w:rPr>
            </w:pPr>
          </w:p>
        </w:tc>
        <w:tc>
          <w:tcPr>
            <w:tcW w:w="60" w:type="dxa"/>
            <w:vAlign w:val="bottom"/>
            <w:tcBorders>
              <w:bottom w:val="single" w:sz="8" w:color="BFBFBF"/>
            </w:tcBorders>
          </w:tcPr>
          <w:p>
            <w:pPr>
              <w:spacing w:after="0"/>
              <w:rPr>
                <w:sz w:val="5"/>
                <w:szCs w:val="5"/>
                <w:color w:val="auto"/>
              </w:rPr>
            </w:pPr>
          </w:p>
        </w:tc>
        <w:tc>
          <w:tcPr>
            <w:tcW w:w="24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40" w:type="dxa"/>
            <w:vAlign w:val="bottom"/>
            <w:tcBorders>
              <w:bottom w:val="single" w:sz="8" w:color="BFBFBF"/>
            </w:tcBorders>
          </w:tcPr>
          <w:p>
            <w:pPr>
              <w:spacing w:after="0"/>
              <w:rPr>
                <w:sz w:val="5"/>
                <w:szCs w:val="5"/>
                <w:color w:val="auto"/>
              </w:rPr>
            </w:pPr>
          </w:p>
        </w:tc>
        <w:tc>
          <w:tcPr>
            <w:tcW w:w="260" w:type="dxa"/>
            <w:vAlign w:val="bottom"/>
            <w:tcBorders>
              <w:bottom w:val="single" w:sz="8" w:color="BFBFBF"/>
            </w:tcBorders>
          </w:tcPr>
          <w:p>
            <w:pPr>
              <w:spacing w:after="0"/>
              <w:rPr>
                <w:sz w:val="5"/>
                <w:szCs w:val="5"/>
                <w:color w:val="auto"/>
              </w:rPr>
            </w:pPr>
          </w:p>
        </w:tc>
        <w:tc>
          <w:tcPr>
            <w:tcW w:w="140" w:type="dxa"/>
            <w:vAlign w:val="bottom"/>
            <w:tcBorders>
              <w:bottom w:val="single" w:sz="8" w:color="BFBFBF"/>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color w:val="auto"/>
              </w:rPr>
              <w:t>$0</w:t>
            </w:r>
          </w:p>
        </w:tc>
        <w:tc>
          <w:tcPr>
            <w:tcW w:w="120" w:type="dxa"/>
            <w:vAlign w:val="bottom"/>
            <w:vMerge w:val="restart"/>
            <w:textDirection w:val="tbRl"/>
          </w:tcPr>
          <w:p>
            <w:pPr>
              <w:jc w:val="right"/>
              <w:ind w:left="56"/>
              <w:spacing w:after="0"/>
              <w:rPr>
                <w:sz w:val="20"/>
                <w:szCs w:val="20"/>
                <w:color w:val="auto"/>
              </w:rPr>
            </w:pPr>
            <w:r>
              <w:rPr>
                <w:rFonts w:ascii="Arial" w:cs="Arial" w:eastAsia="Arial" w:hAnsi="Arial"/>
                <w:sz w:val="5"/>
                <w:szCs w:val="5"/>
                <w:color w:val="auto"/>
                <w:w w:val="74"/>
              </w:rPr>
              <w:t>Thousands)(InFlowCashFree</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20" w:type="dxa"/>
            <w:vAlign w:val="bottom"/>
            <w:vMerge w:val="restart"/>
            <w:textDirection w:val="btLr"/>
          </w:tcPr>
          <w:p>
            <w:pPr>
              <w:ind w:left="66"/>
              <w:spacing w:after="0"/>
              <w:rPr>
                <w:sz w:val="20"/>
                <w:szCs w:val="20"/>
                <w:color w:val="auto"/>
              </w:rPr>
            </w:pPr>
            <w:r>
              <w:rPr>
                <w:rFonts w:ascii="Arial" w:cs="Arial" w:eastAsia="Arial" w:hAnsi="Arial"/>
                <w:sz w:val="4"/>
                <w:szCs w:val="4"/>
                <w:color w:val="auto"/>
                <w:w w:val="79"/>
              </w:rPr>
              <w:t>CompensationActuallyPaid</w:t>
            </w: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$1,000,000,000</w:t>
            </w:r>
          </w:p>
        </w:tc>
        <w:tc>
          <w:tcPr>
            <w:tcW w:w="160" w:type="dxa"/>
            <w:vAlign w:val="bottom"/>
            <w:tcBorders>
              <w:bottom w:val="single" w:sz="8" w:color="BFBFBF"/>
            </w:tcBorders>
          </w:tcPr>
          <w:p>
            <w:pPr>
              <w:spacing w:after="0"/>
              <w:rPr>
                <w:sz w:val="8"/>
                <w:szCs w:val="8"/>
                <w:color w:val="auto"/>
              </w:rPr>
            </w:pPr>
          </w:p>
        </w:tc>
        <w:tc>
          <w:tcPr>
            <w:tcW w:w="260" w:type="dxa"/>
            <w:vAlign w:val="bottom"/>
            <w:tcBorders>
              <w:bottom w:val="single" w:sz="8" w:color="3851A5"/>
            </w:tcBorders>
            <w:shd w:val="clear" w:color="auto" w:fill="3851A5"/>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60" w:type="dxa"/>
            <w:vAlign w:val="bottom"/>
            <w:tcBorders>
              <w:bottom w:val="single" w:sz="8" w:color="BFBFBF"/>
            </w:tcBorders>
          </w:tcPr>
          <w:p>
            <w:pPr>
              <w:spacing w:after="0"/>
              <w:rPr>
                <w:sz w:val="8"/>
                <w:szCs w:val="8"/>
                <w:color w:val="auto"/>
              </w:rPr>
            </w:pPr>
          </w:p>
        </w:tc>
        <w:tc>
          <w:tcPr>
            <w:tcW w:w="24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40" w:type="dxa"/>
            <w:vAlign w:val="bottom"/>
            <w:tcBorders>
              <w:bottom w:val="single" w:sz="8" w:color="BFBFBF"/>
            </w:tcBorders>
          </w:tcPr>
          <w:p>
            <w:pPr>
              <w:spacing w:after="0"/>
              <w:rPr>
                <w:sz w:val="8"/>
                <w:szCs w:val="8"/>
                <w:color w:val="auto"/>
              </w:rPr>
            </w:pPr>
          </w:p>
        </w:tc>
        <w:tc>
          <w:tcPr>
            <w:tcW w:w="260" w:type="dxa"/>
            <w:vAlign w:val="bottom"/>
            <w:tcBorders>
              <w:bottom w:val="single" w:sz="8" w:color="BFBFBF"/>
            </w:tcBorders>
          </w:tcPr>
          <w:p>
            <w:pPr>
              <w:spacing w:after="0"/>
              <w:rPr>
                <w:sz w:val="8"/>
                <w:szCs w:val="8"/>
                <w:color w:val="auto"/>
              </w:rPr>
            </w:pPr>
          </w:p>
        </w:tc>
        <w:tc>
          <w:tcPr>
            <w:tcW w:w="140" w:type="dxa"/>
            <w:vAlign w:val="bottom"/>
            <w:tcBorders>
              <w:bottom w:val="single" w:sz="8" w:color="BFBFBF"/>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580" w:type="dxa"/>
            <w:vAlign w:val="bottom"/>
            <w:gridSpan w:val="16"/>
            <w:vMerge w:val="restart"/>
          </w:tcPr>
          <w:p>
            <w:pPr>
              <w:ind w:left="3040"/>
              <w:spacing w:after="0" w:line="70" w:lineRule="exact"/>
              <w:rPr>
                <w:sz w:val="20"/>
                <w:szCs w:val="20"/>
                <w:color w:val="auto"/>
              </w:rPr>
            </w:pPr>
            <w:r>
              <w:rPr>
                <w:rFonts w:ascii="Arial" w:cs="Arial" w:eastAsia="Arial" w:hAnsi="Arial"/>
                <w:sz w:val="8"/>
                <w:szCs w:val="8"/>
                <w:color w:val="auto"/>
              </w:rPr>
              <w:t>-$500,000</w:t>
            </w: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1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shd w:val="clear" w:color="auto" w:fill="3851A5"/>
          </w:tcPr>
          <w:p>
            <w:pPr>
              <w:spacing w:after="0"/>
              <w:rPr>
                <w:sz w:val="3"/>
                <w:szCs w:val="3"/>
                <w:color w:val="auto"/>
              </w:rPr>
            </w:pPr>
          </w:p>
        </w:tc>
        <w:tc>
          <w:tcPr>
            <w:tcW w:w="3580" w:type="dxa"/>
            <w:vAlign w:val="bottom"/>
            <w:gridSpan w:val="16"/>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120" w:type="dxa"/>
            <w:vAlign w:val="bottom"/>
            <w:vMerge w:val="continue"/>
          </w:tcPr>
          <w:p>
            <w:pPr>
              <w:spacing w:after="0"/>
              <w:rPr>
                <w:sz w:val="4"/>
                <w:szCs w:val="4"/>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$800,000,000</w:t>
            </w:r>
          </w:p>
        </w:tc>
        <w:tc>
          <w:tcPr>
            <w:tcW w:w="160" w:type="dxa"/>
            <w:vAlign w:val="bottom"/>
            <w:tcBorders>
              <w:bottom w:val="single" w:sz="8" w:color="BFBFBF"/>
            </w:tcBorders>
          </w:tcPr>
          <w:p>
            <w:pPr>
              <w:spacing w:after="0"/>
              <w:rPr>
                <w:sz w:val="4"/>
                <w:szCs w:val="4"/>
                <w:color w:val="auto"/>
              </w:rPr>
            </w:pPr>
          </w:p>
        </w:tc>
        <w:tc>
          <w:tcPr>
            <w:tcW w:w="260" w:type="dxa"/>
            <w:vAlign w:val="bottom"/>
            <w:tcBorders>
              <w:bottom w:val="single" w:sz="8" w:color="3851A5"/>
            </w:tcBorders>
            <w:shd w:val="clear" w:color="auto" w:fill="3851A5"/>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580" w:type="dxa"/>
            <w:vAlign w:val="bottom"/>
            <w:gridSpan w:val="16"/>
            <w:vMerge w:val="restart"/>
          </w:tcPr>
          <w:p>
            <w:pPr>
              <w:ind w:left="3040"/>
              <w:spacing w:after="0"/>
              <w:rPr>
                <w:sz w:val="20"/>
                <w:szCs w:val="20"/>
                <w:color w:val="auto"/>
              </w:rPr>
            </w:pPr>
            <w:r>
              <w:rPr>
                <w:rFonts w:ascii="Arial" w:cs="Arial" w:eastAsia="Arial" w:hAnsi="Arial"/>
                <w:sz w:val="8"/>
                <w:szCs w:val="8"/>
                <w:color w:val="auto"/>
              </w:rPr>
              <w:t>-$1,000,000</w:t>
            </w: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120" w:type="dxa"/>
            <w:vAlign w:val="bottom"/>
            <w:vMerge w:val="continue"/>
          </w:tcPr>
          <w:p>
            <w:pPr>
              <w:spacing w:after="0"/>
              <w:rPr>
                <w:sz w:val="5"/>
                <w:szCs w:val="5"/>
                <w:color w:val="auto"/>
              </w:rPr>
            </w:pPr>
          </w:p>
        </w:tc>
        <w:tc>
          <w:tcPr>
            <w:tcW w:w="760" w:type="dxa"/>
            <w:vAlign w:val="bottom"/>
            <w:vMerge w:val="restart"/>
          </w:tcPr>
          <w:p>
            <w:pPr>
              <w:jc w:val="right"/>
              <w:ind w:right="18"/>
              <w:spacing w:after="0" w:line="83" w:lineRule="exact"/>
              <w:rPr>
                <w:sz w:val="20"/>
                <w:szCs w:val="20"/>
                <w:color w:val="auto"/>
              </w:rPr>
            </w:pPr>
            <w:r>
              <w:rPr>
                <w:rFonts w:ascii="Arial" w:cs="Arial" w:eastAsia="Arial" w:hAnsi="Arial"/>
                <w:sz w:val="8"/>
                <w:szCs w:val="8"/>
                <w:color w:val="auto"/>
              </w:rPr>
              <w:t>-$600,000,000</w:t>
            </w:r>
          </w:p>
        </w:tc>
        <w:tc>
          <w:tcPr>
            <w:tcW w:w="160" w:type="dxa"/>
            <w:vAlign w:val="bottom"/>
          </w:tcPr>
          <w:p>
            <w:pPr>
              <w:spacing w:after="0"/>
              <w:rPr>
                <w:sz w:val="5"/>
                <w:szCs w:val="5"/>
                <w:color w:val="auto"/>
              </w:rPr>
            </w:pPr>
          </w:p>
        </w:tc>
        <w:tc>
          <w:tcPr>
            <w:tcW w:w="260" w:type="dxa"/>
            <w:vAlign w:val="bottom"/>
            <w:shd w:val="clear" w:color="auto" w:fill="3851A5"/>
          </w:tcPr>
          <w:p>
            <w:pPr>
              <w:spacing w:after="0"/>
              <w:rPr>
                <w:sz w:val="5"/>
                <w:szCs w:val="5"/>
                <w:color w:val="auto"/>
              </w:rPr>
            </w:pPr>
          </w:p>
        </w:tc>
        <w:tc>
          <w:tcPr>
            <w:tcW w:w="3580" w:type="dxa"/>
            <w:vAlign w:val="bottom"/>
            <w:gridSpan w:val="16"/>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3580" w:type="dxa"/>
            <w:vAlign w:val="bottom"/>
            <w:gridSpan w:val="16"/>
            <w:shd w:val="clear" w:color="auto" w:fill="BFBFBF"/>
          </w:tcPr>
          <w:p>
            <w:pPr>
              <w:ind w:left="3040"/>
              <w:spacing w:after="0"/>
              <w:rPr>
                <w:sz w:val="20"/>
                <w:szCs w:val="20"/>
                <w:color w:val="auto"/>
              </w:rPr>
            </w:pPr>
            <w:r>
              <w:rPr>
                <w:rFonts w:ascii="Arial" w:cs="Arial" w:eastAsia="Arial" w:hAnsi="Arial"/>
                <w:sz w:val="1"/>
                <w:szCs w:val="1"/>
                <w:color w:val="auto"/>
              </w:rPr>
              <w:t>-$3,500,000</w:t>
            </w:r>
          </w:p>
        </w:tc>
        <w:tc>
          <w:tcPr>
            <w:tcW w:w="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120" w:type="dxa"/>
            <w:vAlign w:val="bottom"/>
          </w:tcPr>
          <w:p>
            <w:pPr>
              <w:spacing w:after="0"/>
              <w:rPr>
                <w:sz w:val="7"/>
                <w:szCs w:val="7"/>
                <w:color w:val="auto"/>
              </w:rPr>
            </w:pPr>
          </w:p>
        </w:tc>
        <w:tc>
          <w:tcPr>
            <w:tcW w:w="760" w:type="dxa"/>
            <w:vAlign w:val="bottom"/>
          </w:tcPr>
          <w:p>
            <w:pPr>
              <w:jc w:val="right"/>
              <w:ind w:right="18"/>
              <w:spacing w:after="0" w:line="86" w:lineRule="exact"/>
              <w:rPr>
                <w:sz w:val="20"/>
                <w:szCs w:val="20"/>
                <w:color w:val="auto"/>
              </w:rPr>
            </w:pPr>
            <w:r>
              <w:rPr>
                <w:rFonts w:ascii="Arial" w:cs="Arial" w:eastAsia="Arial" w:hAnsi="Arial"/>
                <w:sz w:val="8"/>
                <w:szCs w:val="8"/>
                <w:color w:val="auto"/>
              </w:rPr>
              <w:t>$600,000,000</w:t>
            </w:r>
          </w:p>
        </w:tc>
        <w:tc>
          <w:tcPr>
            <w:tcW w:w="160" w:type="dxa"/>
            <w:vAlign w:val="bottom"/>
          </w:tcPr>
          <w:p>
            <w:pPr>
              <w:spacing w:after="0"/>
              <w:rPr>
                <w:sz w:val="7"/>
                <w:szCs w:val="7"/>
                <w:color w:val="auto"/>
              </w:rPr>
            </w:pPr>
          </w:p>
        </w:tc>
        <w:tc>
          <w:tcPr>
            <w:tcW w:w="260" w:type="dxa"/>
            <w:vAlign w:val="bottom"/>
            <w:shd w:val="clear" w:color="auto" w:fill="3851A5"/>
          </w:tcPr>
          <w:p>
            <w:pPr>
              <w:spacing w:after="0"/>
              <w:rPr>
                <w:sz w:val="7"/>
                <w:szCs w:val="7"/>
                <w:color w:val="auto"/>
              </w:rPr>
            </w:pPr>
          </w:p>
        </w:tc>
        <w:tc>
          <w:tcPr>
            <w:tcW w:w="3580" w:type="dxa"/>
            <w:vAlign w:val="bottom"/>
            <w:gridSpan w:val="16"/>
            <w:vMerge w:val="restart"/>
          </w:tcPr>
          <w:p>
            <w:pPr>
              <w:ind w:left="3040"/>
              <w:spacing w:after="0"/>
              <w:rPr>
                <w:sz w:val="20"/>
                <w:szCs w:val="20"/>
                <w:color w:val="auto"/>
              </w:rPr>
            </w:pPr>
            <w:r>
              <w:rPr>
                <w:rFonts w:ascii="Arial" w:cs="Arial" w:eastAsia="Arial" w:hAnsi="Arial"/>
                <w:sz w:val="8"/>
                <w:szCs w:val="8"/>
                <w:color w:val="auto"/>
              </w:rPr>
              <w:t>-$1,500,000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$400,000,000</w:t>
            </w:r>
          </w:p>
        </w:tc>
        <w:tc>
          <w:tcPr>
            <w:tcW w:w="160" w:type="dxa"/>
            <w:vAlign w:val="bottom"/>
          </w:tcPr>
          <w:p>
            <w:pPr>
              <w:spacing w:after="0"/>
              <w:rPr>
                <w:sz w:val="4"/>
                <w:szCs w:val="4"/>
                <w:color w:val="auto"/>
              </w:rPr>
            </w:pPr>
          </w:p>
        </w:tc>
        <w:tc>
          <w:tcPr>
            <w:tcW w:w="260" w:type="dxa"/>
            <w:vAlign w:val="bottom"/>
            <w:shd w:val="clear" w:color="auto" w:fill="3851A5"/>
          </w:tcPr>
          <w:p>
            <w:pPr>
              <w:spacing w:after="0"/>
              <w:rPr>
                <w:sz w:val="4"/>
                <w:szCs w:val="4"/>
                <w:color w:val="auto"/>
              </w:rPr>
            </w:pPr>
          </w:p>
        </w:tc>
        <w:tc>
          <w:tcPr>
            <w:tcW w:w="3580" w:type="dxa"/>
            <w:vAlign w:val="bottom"/>
            <w:gridSpan w:val="16"/>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Borders>
              <w:top w:val="single" w:sz="8" w:color="BFBFBF"/>
            </w:tcBorders>
          </w:tcPr>
          <w:p>
            <w:pPr>
              <w:spacing w:after="0"/>
              <w:rPr>
                <w:sz w:val="2"/>
                <w:szCs w:val="2"/>
                <w:color w:val="auto"/>
              </w:rPr>
            </w:pPr>
          </w:p>
        </w:tc>
        <w:tc>
          <w:tcPr>
            <w:tcW w:w="260" w:type="dxa"/>
            <w:vAlign w:val="bottom"/>
            <w:tcBorders>
              <w:top w:val="single" w:sz="8" w:color="3851A5"/>
            </w:tcBorders>
            <w:shd w:val="clear" w:color="auto" w:fill="3851A5"/>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60" w:type="dxa"/>
            <w:vAlign w:val="bottom"/>
            <w:tcBorders>
              <w:top w:val="single" w:sz="8" w:color="BFBFBF"/>
            </w:tcBorders>
          </w:tcPr>
          <w:p>
            <w:pPr>
              <w:spacing w:after="0"/>
              <w:rPr>
                <w:sz w:val="2"/>
                <w:szCs w:val="2"/>
                <w:color w:val="auto"/>
              </w:rPr>
            </w:pPr>
          </w:p>
        </w:tc>
        <w:tc>
          <w:tcPr>
            <w:tcW w:w="240" w:type="dxa"/>
            <w:vAlign w:val="bottom"/>
            <w:tcBorders>
              <w:top w:val="single" w:sz="8" w:color="BFBFBF"/>
            </w:tcBorders>
          </w:tcPr>
          <w:p>
            <w:pPr>
              <w:spacing w:after="0"/>
              <w:rPr>
                <w:sz w:val="2"/>
                <w:szCs w:val="2"/>
                <w:color w:val="auto"/>
              </w:rPr>
            </w:pPr>
          </w:p>
        </w:tc>
        <w:tc>
          <w:tcPr>
            <w:tcW w:w="30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40" w:type="dxa"/>
            <w:vAlign w:val="bottom"/>
            <w:tcBorders>
              <w:top w:val="single" w:sz="8" w:color="BFBFBF"/>
            </w:tcBorders>
          </w:tcPr>
          <w:p>
            <w:pPr>
              <w:spacing w:after="0"/>
              <w:rPr>
                <w:sz w:val="2"/>
                <w:szCs w:val="2"/>
                <w:color w:val="auto"/>
              </w:rPr>
            </w:pPr>
          </w:p>
        </w:tc>
        <w:tc>
          <w:tcPr>
            <w:tcW w:w="260" w:type="dxa"/>
            <w:vAlign w:val="bottom"/>
            <w:tcBorders>
              <w:top w:val="single" w:sz="8" w:color="BFBFBF"/>
            </w:tcBorders>
          </w:tcPr>
          <w:p>
            <w:pPr>
              <w:spacing w:after="0"/>
              <w:rPr>
                <w:sz w:val="2"/>
                <w:szCs w:val="2"/>
                <w:color w:val="auto"/>
              </w:rPr>
            </w:pPr>
          </w:p>
        </w:tc>
        <w:tc>
          <w:tcPr>
            <w:tcW w:w="140" w:type="dxa"/>
            <w:vAlign w:val="bottom"/>
            <w:tcBorders>
              <w:top w:val="single" w:sz="8" w:color="BFBFBF"/>
            </w:tcBorders>
          </w:tcPr>
          <w:p>
            <w:pPr>
              <w:spacing w:after="0"/>
              <w:rPr>
                <w:sz w:val="2"/>
                <w:szCs w:val="2"/>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color w:val="auto"/>
              </w:rPr>
              <w:t>-$2,000,000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20" w:type="dxa"/>
            <w:vAlign w:val="bottom"/>
          </w:tcPr>
          <w:p>
            <w:pPr>
              <w:spacing w:after="0"/>
              <w:rPr>
                <w:sz w:val="7"/>
                <w:szCs w:val="7"/>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$200,000,000</w:t>
            </w:r>
          </w:p>
        </w:tc>
        <w:tc>
          <w:tcPr>
            <w:tcW w:w="160" w:type="dxa"/>
            <w:vAlign w:val="bottom"/>
            <w:tcBorders>
              <w:bottom w:val="single" w:sz="8" w:color="BFBFBF"/>
            </w:tcBorders>
          </w:tcPr>
          <w:p>
            <w:pPr>
              <w:spacing w:after="0"/>
              <w:rPr>
                <w:sz w:val="7"/>
                <w:szCs w:val="7"/>
                <w:color w:val="auto"/>
              </w:rPr>
            </w:pPr>
          </w:p>
        </w:tc>
        <w:tc>
          <w:tcPr>
            <w:tcW w:w="260" w:type="dxa"/>
            <w:vAlign w:val="bottom"/>
            <w:tcBorders>
              <w:bottom w:val="single" w:sz="8" w:color="3851A5"/>
            </w:tcBorders>
            <w:vMerge w:val="restart"/>
            <w:shd w:val="clear" w:color="auto" w:fill="3851A5"/>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60" w:type="dxa"/>
            <w:vAlign w:val="bottom"/>
            <w:tcBorders>
              <w:bottom w:val="single" w:sz="8" w:color="BFBFBF"/>
            </w:tcBorders>
          </w:tcPr>
          <w:p>
            <w:pPr>
              <w:spacing w:after="0"/>
              <w:rPr>
                <w:sz w:val="7"/>
                <w:szCs w:val="7"/>
                <w:color w:val="auto"/>
              </w:rPr>
            </w:pPr>
          </w:p>
        </w:tc>
        <w:tc>
          <w:tcPr>
            <w:tcW w:w="240" w:type="dxa"/>
            <w:vAlign w:val="bottom"/>
            <w:tcBorders>
              <w:bottom w:val="single" w:sz="8" w:color="BFBFBF"/>
            </w:tcBorders>
          </w:tcPr>
          <w:p>
            <w:pPr>
              <w:spacing w:after="0"/>
              <w:rPr>
                <w:sz w:val="7"/>
                <w:szCs w:val="7"/>
                <w:color w:val="auto"/>
              </w:rPr>
            </w:pPr>
          </w:p>
        </w:tc>
        <w:tc>
          <w:tcPr>
            <w:tcW w:w="30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40" w:type="dxa"/>
            <w:vAlign w:val="bottom"/>
            <w:tcBorders>
              <w:bottom w:val="single" w:sz="8" w:color="BFBFBF"/>
            </w:tcBorders>
          </w:tcPr>
          <w:p>
            <w:pPr>
              <w:spacing w:after="0"/>
              <w:rPr>
                <w:sz w:val="7"/>
                <w:szCs w:val="7"/>
                <w:color w:val="auto"/>
              </w:rPr>
            </w:pPr>
          </w:p>
        </w:tc>
        <w:tc>
          <w:tcPr>
            <w:tcW w:w="260" w:type="dxa"/>
            <w:vAlign w:val="bottom"/>
            <w:tcBorders>
              <w:bottom w:val="single" w:sz="8" w:color="BFBFBF"/>
            </w:tcBorders>
          </w:tcPr>
          <w:p>
            <w:pPr>
              <w:spacing w:after="0"/>
              <w:rPr>
                <w:sz w:val="7"/>
                <w:szCs w:val="7"/>
                <w:color w:val="auto"/>
              </w:rPr>
            </w:pPr>
          </w:p>
        </w:tc>
        <w:tc>
          <w:tcPr>
            <w:tcW w:w="140" w:type="dxa"/>
            <w:vAlign w:val="bottom"/>
            <w:tcBorders>
              <w:bottom w:val="single" w:sz="8" w:color="BFBFBF"/>
            </w:tcBorders>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vMerge w:val="continue"/>
            <w:shd w:val="clear" w:color="auto" w:fill="3851A5"/>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760" w:type="dxa"/>
            <w:vAlign w:val="bottom"/>
          </w:tcPr>
          <w:p>
            <w:pPr>
              <w:jc w:val="right"/>
              <w:ind w:right="18"/>
              <w:spacing w:after="0"/>
              <w:rPr>
                <w:sz w:val="20"/>
                <w:szCs w:val="20"/>
                <w:color w:val="auto"/>
              </w:rPr>
            </w:pPr>
            <w:r>
              <w:rPr>
                <w:rFonts w:ascii="Arial" w:cs="Arial" w:eastAsia="Arial" w:hAnsi="Arial"/>
                <w:sz w:val="8"/>
                <w:szCs w:val="8"/>
                <w:color w:val="auto"/>
              </w:rPr>
              <w:t>$0</w:t>
            </w:r>
          </w:p>
        </w:tc>
        <w:tc>
          <w:tcPr>
            <w:tcW w:w="160" w:type="dxa"/>
            <w:vAlign w:val="bottom"/>
            <w:tcBorders>
              <w:bottom w:val="single" w:sz="8" w:color="BFBFBF"/>
            </w:tcBorders>
          </w:tcPr>
          <w:p>
            <w:pPr>
              <w:spacing w:after="0"/>
              <w:rPr>
                <w:sz w:val="11"/>
                <w:szCs w:val="11"/>
                <w:color w:val="auto"/>
              </w:rPr>
            </w:pPr>
          </w:p>
        </w:tc>
        <w:tc>
          <w:tcPr>
            <w:tcW w:w="260" w:type="dxa"/>
            <w:vAlign w:val="bottom"/>
            <w:tcBorders>
              <w:bottom w:val="single" w:sz="8" w:color="3851A5"/>
            </w:tcBorders>
            <w:shd w:val="clear" w:color="auto" w:fill="3851A5"/>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4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60" w:type="dxa"/>
            <w:vAlign w:val="bottom"/>
            <w:tcBorders>
              <w:bottom w:val="single" w:sz="8" w:color="3851A5"/>
            </w:tcBorders>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6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40" w:type="dxa"/>
            <w:vAlign w:val="bottom"/>
            <w:tcBorders>
              <w:bottom w:val="single" w:sz="8" w:color="3851A5"/>
            </w:tcBorders>
          </w:tcPr>
          <w:p>
            <w:pPr>
              <w:spacing w:after="0"/>
              <w:rPr>
                <w:sz w:val="11"/>
                <w:szCs w:val="11"/>
                <w:color w:val="auto"/>
              </w:rPr>
            </w:pPr>
          </w:p>
        </w:tc>
        <w:tc>
          <w:tcPr>
            <w:tcW w:w="60" w:type="dxa"/>
            <w:vAlign w:val="bottom"/>
            <w:tcBorders>
              <w:bottom w:val="single" w:sz="8" w:color="BFBFBF"/>
            </w:tcBorders>
          </w:tcPr>
          <w:p>
            <w:pPr>
              <w:spacing w:after="0"/>
              <w:rPr>
                <w:sz w:val="11"/>
                <w:szCs w:val="11"/>
                <w:color w:val="auto"/>
              </w:rPr>
            </w:pPr>
          </w:p>
        </w:tc>
        <w:tc>
          <w:tcPr>
            <w:tcW w:w="240" w:type="dxa"/>
            <w:vAlign w:val="bottom"/>
            <w:tcBorders>
              <w:bottom w:val="single" w:sz="8" w:color="F55F17"/>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60" w:type="dxa"/>
            <w:vAlign w:val="bottom"/>
            <w:tcBorders>
              <w:bottom w:val="single" w:sz="8" w:color="3851A5"/>
            </w:tcBorders>
          </w:tcPr>
          <w:p>
            <w:pPr>
              <w:spacing w:after="0"/>
              <w:rPr>
                <w:sz w:val="11"/>
                <w:szCs w:val="11"/>
                <w:color w:val="auto"/>
              </w:rPr>
            </w:pPr>
          </w:p>
        </w:tc>
        <w:tc>
          <w:tcPr>
            <w:tcW w:w="40" w:type="dxa"/>
            <w:vAlign w:val="bottom"/>
            <w:tcBorders>
              <w:bottom w:val="single" w:sz="8" w:color="BFBFBF"/>
            </w:tcBorders>
          </w:tcPr>
          <w:p>
            <w:pPr>
              <w:spacing w:after="0"/>
              <w:rPr>
                <w:sz w:val="11"/>
                <w:szCs w:val="11"/>
                <w:color w:val="auto"/>
              </w:rPr>
            </w:pPr>
          </w:p>
        </w:tc>
        <w:tc>
          <w:tcPr>
            <w:tcW w:w="260" w:type="dxa"/>
            <w:vAlign w:val="bottom"/>
            <w:tcBorders>
              <w:bottom w:val="single" w:sz="8" w:color="F55F17"/>
            </w:tcBorders>
          </w:tcPr>
          <w:p>
            <w:pPr>
              <w:spacing w:after="0"/>
              <w:rPr>
                <w:sz w:val="11"/>
                <w:szCs w:val="11"/>
                <w:color w:val="auto"/>
              </w:rPr>
            </w:pPr>
          </w:p>
        </w:tc>
        <w:tc>
          <w:tcPr>
            <w:tcW w:w="140" w:type="dxa"/>
            <w:vAlign w:val="bottom"/>
            <w:tcBorders>
              <w:bottom w:val="single" w:sz="8" w:color="BFBFBF"/>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gridSpan w:val="5"/>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2740" w:type="dxa"/>
            <w:vAlign w:val="bottom"/>
            <w:gridSpan w:val="12"/>
          </w:tcPr>
          <w:p>
            <w:pPr>
              <w:ind w:left="2200"/>
              <w:spacing w:after="0" w:line="29" w:lineRule="exact"/>
              <w:rPr>
                <w:sz w:val="20"/>
                <w:szCs w:val="20"/>
                <w:color w:val="auto"/>
              </w:rPr>
            </w:pPr>
            <w:r>
              <w:rPr>
                <w:rFonts w:ascii="Arial" w:cs="Arial" w:eastAsia="Arial" w:hAnsi="Arial"/>
                <w:sz w:val="3"/>
                <w:szCs w:val="3"/>
                <w:color w:val="auto"/>
              </w:rPr>
              <w:t>-$2,500,000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
        </w:trPr>
        <w:tc>
          <w:tcPr>
            <w:tcW w:w="120" w:type="dxa"/>
            <w:vAlign w:val="bottom"/>
          </w:tcPr>
          <w:p>
            <w:pPr>
              <w:spacing w:after="0"/>
              <w:rPr>
                <w:sz w:val="4"/>
                <w:szCs w:val="4"/>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-$200,000,000</w:t>
            </w:r>
          </w:p>
        </w:tc>
        <w:tc>
          <w:tcPr>
            <w:tcW w:w="16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3851A5"/>
            </w:tcBorders>
            <w:shd w:val="clear" w:color="auto" w:fill="3851A5"/>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26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2740" w:type="dxa"/>
            <w:vAlign w:val="bottom"/>
            <w:gridSpan w:val="12"/>
            <w:vMerge w:val="restart"/>
          </w:tcPr>
          <w:p>
            <w:pPr>
              <w:ind w:left="2200"/>
              <w:spacing w:after="0"/>
              <w:rPr>
                <w:sz w:val="20"/>
                <w:szCs w:val="20"/>
                <w:color w:val="auto"/>
              </w:rPr>
            </w:pPr>
            <w:r>
              <w:rPr>
                <w:rFonts w:ascii="Arial" w:cs="Arial" w:eastAsia="Arial" w:hAnsi="Arial"/>
                <w:sz w:val="8"/>
                <w:szCs w:val="8"/>
                <w:color w:val="auto"/>
              </w:rPr>
              <w:t>-$3,000,000</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120" w:type="dxa"/>
            <w:vAlign w:val="bottom"/>
          </w:tcPr>
          <w:p>
            <w:pPr>
              <w:spacing w:after="0"/>
              <w:rPr>
                <w:sz w:val="6"/>
                <w:szCs w:val="6"/>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-$400,000,000</w:t>
            </w:r>
          </w:p>
        </w:tc>
        <w:tc>
          <w:tcPr>
            <w:tcW w:w="1000" w:type="dxa"/>
            <w:vAlign w:val="bottom"/>
            <w:gridSpan w:val="5"/>
          </w:tcPr>
          <w:p>
            <w:pPr>
              <w:spacing w:after="0"/>
              <w:rPr>
                <w:sz w:val="6"/>
                <w:szCs w:val="6"/>
                <w:color w:val="auto"/>
              </w:rPr>
            </w:pPr>
          </w:p>
        </w:tc>
        <w:tc>
          <w:tcPr>
            <w:tcW w:w="260" w:type="dxa"/>
            <w:vAlign w:val="bottom"/>
            <w:shd w:val="clear" w:color="auto" w:fill="3851A5"/>
          </w:tcPr>
          <w:p>
            <w:pPr>
              <w:spacing w:after="0"/>
              <w:rPr>
                <w:sz w:val="6"/>
                <w:szCs w:val="6"/>
                <w:color w:val="auto"/>
              </w:rPr>
            </w:pPr>
          </w:p>
        </w:tc>
        <w:tc>
          <w:tcPr>
            <w:tcW w:w="2740" w:type="dxa"/>
            <w:vAlign w:val="bottom"/>
            <w:gridSpan w:val="12"/>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3851A5"/>
            </w:tcBorders>
            <w:shd w:val="clear" w:color="auto" w:fill="3851A5"/>
          </w:tcPr>
          <w:p>
            <w:pPr>
              <w:spacing w:after="0" w:line="20" w:lineRule="exact"/>
              <w:rPr>
                <w:sz w:val="1"/>
                <w:szCs w:val="1"/>
                <w:color w:val="auto"/>
              </w:rPr>
            </w:pPr>
          </w:p>
        </w:tc>
        <w:tc>
          <w:tcPr>
            <w:tcW w:w="4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40" w:type="dxa"/>
            <w:vAlign w:val="bottom"/>
            <w:tcBorders>
              <w:bottom w:val="single" w:sz="8" w:color="BFBFBF"/>
            </w:tcBorders>
          </w:tcPr>
          <w:p>
            <w:pPr>
              <w:spacing w:after="0" w:line="20" w:lineRule="exact"/>
              <w:rPr>
                <w:sz w:val="1"/>
                <w:szCs w:val="1"/>
                <w:color w:val="auto"/>
              </w:rPr>
            </w:pPr>
          </w:p>
        </w:tc>
        <w:tc>
          <w:tcPr>
            <w:tcW w:w="3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140" w:type="dxa"/>
            <w:vAlign w:val="bottom"/>
            <w:tcBorders>
              <w:bottom w:val="single" w:sz="8" w:color="BFBFB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3851A5"/>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20" w:type="dxa"/>
            <w:vAlign w:val="bottom"/>
          </w:tcPr>
          <w:p>
            <w:pPr>
              <w:spacing w:after="0"/>
              <w:rPr>
                <w:sz w:val="8"/>
                <w:szCs w:val="8"/>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8"/>
                <w:szCs w:val="8"/>
                <w:color w:val="auto"/>
              </w:rPr>
              <w:t>-$800,000,000</w:t>
            </w:r>
          </w:p>
        </w:tc>
        <w:tc>
          <w:tcPr>
            <w:tcW w:w="1000" w:type="dxa"/>
            <w:vAlign w:val="bottom"/>
            <w:gridSpan w:val="5"/>
          </w:tcPr>
          <w:p>
            <w:pPr>
              <w:spacing w:after="0"/>
              <w:rPr>
                <w:sz w:val="8"/>
                <w:szCs w:val="8"/>
                <w:color w:val="auto"/>
              </w:rPr>
            </w:pPr>
          </w:p>
        </w:tc>
        <w:tc>
          <w:tcPr>
            <w:tcW w:w="260" w:type="dxa"/>
            <w:vAlign w:val="bottom"/>
            <w:shd w:val="clear" w:color="auto" w:fill="3851A5"/>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Borders>
              <w:top w:val="single" w:sz="8" w:color="BFBFBF"/>
              <w:bottom w:val="single" w:sz="8" w:color="BFBFBF"/>
            </w:tcBorders>
          </w:tcPr>
          <w:p>
            <w:pPr>
              <w:spacing w:after="0"/>
              <w:rPr>
                <w:sz w:val="9"/>
                <w:szCs w:val="9"/>
                <w:color w:val="auto"/>
              </w:rPr>
            </w:pPr>
          </w:p>
        </w:tc>
        <w:tc>
          <w:tcPr>
            <w:tcW w:w="260" w:type="dxa"/>
            <w:vAlign w:val="bottom"/>
            <w:tcBorders>
              <w:top w:val="single" w:sz="8" w:color="BFBFBF"/>
              <w:bottom w:val="single" w:sz="8" w:color="BFBFBF"/>
            </w:tcBorders>
          </w:tcPr>
          <w:p>
            <w:pPr>
              <w:spacing w:after="0"/>
              <w:rPr>
                <w:sz w:val="9"/>
                <w:szCs w:val="9"/>
                <w:color w:val="auto"/>
              </w:rPr>
            </w:pPr>
          </w:p>
        </w:tc>
        <w:tc>
          <w:tcPr>
            <w:tcW w:w="40" w:type="dxa"/>
            <w:vAlign w:val="bottom"/>
            <w:tcBorders>
              <w:top w:val="single" w:sz="8" w:color="BFBFBF"/>
              <w:bottom w:val="single" w:sz="8" w:color="BFBFBF"/>
            </w:tcBorders>
          </w:tcPr>
          <w:p>
            <w:pPr>
              <w:spacing w:after="0"/>
              <w:rPr>
                <w:sz w:val="9"/>
                <w:szCs w:val="9"/>
                <w:color w:val="auto"/>
              </w:rPr>
            </w:pPr>
          </w:p>
        </w:tc>
        <w:tc>
          <w:tcPr>
            <w:tcW w:w="240" w:type="dxa"/>
            <w:vAlign w:val="bottom"/>
            <w:tcBorders>
              <w:top w:val="single" w:sz="8" w:color="BFBFBF"/>
              <w:bottom w:val="single" w:sz="8" w:color="BFBFBF"/>
            </w:tcBorders>
          </w:tcPr>
          <w:p>
            <w:pPr>
              <w:spacing w:after="0"/>
              <w:rPr>
                <w:sz w:val="9"/>
                <w:szCs w:val="9"/>
                <w:color w:val="auto"/>
              </w:rPr>
            </w:pPr>
          </w:p>
        </w:tc>
        <w:tc>
          <w:tcPr>
            <w:tcW w:w="300" w:type="dxa"/>
            <w:vAlign w:val="bottom"/>
            <w:tcBorders>
              <w:top w:val="single" w:sz="8" w:color="BFBFBF"/>
              <w:bottom w:val="single" w:sz="8" w:color="BFBFBF"/>
            </w:tcBorders>
          </w:tcPr>
          <w:p>
            <w:pPr>
              <w:spacing w:after="0"/>
              <w:rPr>
                <w:sz w:val="9"/>
                <w:szCs w:val="9"/>
                <w:color w:val="auto"/>
              </w:rPr>
            </w:pPr>
          </w:p>
        </w:tc>
        <w:tc>
          <w:tcPr>
            <w:tcW w:w="260" w:type="dxa"/>
            <w:vAlign w:val="bottom"/>
            <w:tcBorders>
              <w:top w:val="single" w:sz="8" w:color="3851A5"/>
              <w:bottom w:val="single" w:sz="8" w:color="BFBFBF"/>
            </w:tcBorders>
          </w:tcPr>
          <w:p>
            <w:pPr>
              <w:spacing w:after="0"/>
              <w:rPr>
                <w:sz w:val="9"/>
                <w:szCs w:val="9"/>
                <w:color w:val="auto"/>
              </w:rPr>
            </w:pPr>
          </w:p>
        </w:tc>
        <w:tc>
          <w:tcPr>
            <w:tcW w:w="40" w:type="dxa"/>
            <w:vAlign w:val="bottom"/>
            <w:tcBorders>
              <w:top w:val="single" w:sz="8" w:color="BFBFBF"/>
              <w:bottom w:val="single" w:sz="8" w:color="BFBFBF"/>
            </w:tcBorders>
          </w:tcPr>
          <w:p>
            <w:pPr>
              <w:spacing w:after="0"/>
              <w:rPr>
                <w:sz w:val="9"/>
                <w:szCs w:val="9"/>
                <w:color w:val="auto"/>
              </w:rPr>
            </w:pPr>
          </w:p>
        </w:tc>
        <w:tc>
          <w:tcPr>
            <w:tcW w:w="260" w:type="dxa"/>
            <w:vAlign w:val="bottom"/>
            <w:tcBorders>
              <w:top w:val="single" w:sz="8" w:color="BFBFBF"/>
              <w:bottom w:val="single" w:sz="8" w:color="BFBFBF"/>
            </w:tcBorders>
          </w:tcPr>
          <w:p>
            <w:pPr>
              <w:spacing w:after="0"/>
              <w:rPr>
                <w:sz w:val="9"/>
                <w:szCs w:val="9"/>
                <w:color w:val="auto"/>
              </w:rPr>
            </w:pPr>
          </w:p>
        </w:tc>
        <w:tc>
          <w:tcPr>
            <w:tcW w:w="300" w:type="dxa"/>
            <w:vAlign w:val="bottom"/>
            <w:tcBorders>
              <w:top w:val="single" w:sz="8" w:color="BFBFBF"/>
              <w:bottom w:val="single" w:sz="8" w:color="BFBFBF"/>
            </w:tcBorders>
          </w:tcPr>
          <w:p>
            <w:pPr>
              <w:spacing w:after="0"/>
              <w:rPr>
                <w:sz w:val="9"/>
                <w:szCs w:val="9"/>
                <w:color w:val="auto"/>
              </w:rPr>
            </w:pPr>
          </w:p>
        </w:tc>
        <w:tc>
          <w:tcPr>
            <w:tcW w:w="240" w:type="dxa"/>
            <w:vAlign w:val="bottom"/>
            <w:tcBorders>
              <w:top w:val="single" w:sz="8" w:color="BFBFBF"/>
              <w:bottom w:val="single" w:sz="8" w:color="BFBFBF"/>
            </w:tcBorders>
          </w:tcPr>
          <w:p>
            <w:pPr>
              <w:spacing w:after="0"/>
              <w:rPr>
                <w:sz w:val="9"/>
                <w:szCs w:val="9"/>
                <w:color w:val="auto"/>
              </w:rPr>
            </w:pPr>
          </w:p>
        </w:tc>
        <w:tc>
          <w:tcPr>
            <w:tcW w:w="60" w:type="dxa"/>
            <w:vAlign w:val="bottom"/>
            <w:tcBorders>
              <w:top w:val="single" w:sz="8" w:color="BFBFBF"/>
              <w:bottom w:val="single" w:sz="8" w:color="BFBFBF"/>
            </w:tcBorders>
          </w:tcPr>
          <w:p>
            <w:pPr>
              <w:spacing w:after="0"/>
              <w:rPr>
                <w:sz w:val="9"/>
                <w:szCs w:val="9"/>
                <w:color w:val="auto"/>
              </w:rPr>
            </w:pPr>
          </w:p>
        </w:tc>
        <w:tc>
          <w:tcPr>
            <w:tcW w:w="240" w:type="dxa"/>
            <w:vAlign w:val="bottom"/>
            <w:tcBorders>
              <w:top w:val="single" w:sz="8" w:color="BFBFBF"/>
              <w:bottom w:val="single" w:sz="8" w:color="BFBFBF"/>
            </w:tcBorders>
          </w:tcPr>
          <w:p>
            <w:pPr>
              <w:spacing w:after="0"/>
              <w:rPr>
                <w:sz w:val="9"/>
                <w:szCs w:val="9"/>
                <w:color w:val="auto"/>
              </w:rPr>
            </w:pPr>
          </w:p>
        </w:tc>
        <w:tc>
          <w:tcPr>
            <w:tcW w:w="300" w:type="dxa"/>
            <w:vAlign w:val="bottom"/>
            <w:tcBorders>
              <w:top w:val="single" w:sz="8" w:color="BFBFBF"/>
              <w:bottom w:val="single" w:sz="8" w:color="BFBFBF"/>
            </w:tcBorders>
          </w:tcPr>
          <w:p>
            <w:pPr>
              <w:spacing w:after="0"/>
              <w:rPr>
                <w:sz w:val="9"/>
                <w:szCs w:val="9"/>
                <w:color w:val="auto"/>
              </w:rPr>
            </w:pPr>
          </w:p>
        </w:tc>
        <w:tc>
          <w:tcPr>
            <w:tcW w:w="260" w:type="dxa"/>
            <w:vAlign w:val="bottom"/>
            <w:tcBorders>
              <w:top w:val="single" w:sz="8" w:color="BFBFBF"/>
              <w:bottom w:val="single" w:sz="8" w:color="BFBFBF"/>
            </w:tcBorders>
          </w:tcPr>
          <w:p>
            <w:pPr>
              <w:spacing w:after="0"/>
              <w:rPr>
                <w:sz w:val="9"/>
                <w:szCs w:val="9"/>
                <w:color w:val="auto"/>
              </w:rPr>
            </w:pPr>
          </w:p>
        </w:tc>
        <w:tc>
          <w:tcPr>
            <w:tcW w:w="40" w:type="dxa"/>
            <w:vAlign w:val="bottom"/>
            <w:tcBorders>
              <w:top w:val="single" w:sz="8" w:color="BFBFBF"/>
              <w:bottom w:val="single" w:sz="8" w:color="BFBFBF"/>
            </w:tcBorders>
          </w:tcPr>
          <w:p>
            <w:pPr>
              <w:spacing w:after="0"/>
              <w:rPr>
                <w:sz w:val="9"/>
                <w:szCs w:val="9"/>
                <w:color w:val="auto"/>
              </w:rPr>
            </w:pPr>
          </w:p>
        </w:tc>
        <w:tc>
          <w:tcPr>
            <w:tcW w:w="260" w:type="dxa"/>
            <w:vAlign w:val="bottom"/>
            <w:tcBorders>
              <w:top w:val="single" w:sz="8" w:color="BFBFBF"/>
              <w:bottom w:val="single" w:sz="8" w:color="BFBFBF"/>
            </w:tcBorders>
          </w:tcPr>
          <w:p>
            <w:pPr>
              <w:spacing w:after="0"/>
              <w:rPr>
                <w:sz w:val="9"/>
                <w:szCs w:val="9"/>
                <w:color w:val="auto"/>
              </w:rPr>
            </w:pPr>
          </w:p>
        </w:tc>
        <w:tc>
          <w:tcPr>
            <w:tcW w:w="140" w:type="dxa"/>
            <w:vAlign w:val="bottom"/>
            <w:tcBorders>
              <w:top w:val="single" w:sz="8" w:color="BFBFBF"/>
              <w:bottom w:val="single" w:sz="8" w:color="BFBFBF"/>
            </w:tcBorders>
          </w:tcPr>
          <w:p>
            <w:pPr>
              <w:spacing w:after="0"/>
              <w:rPr>
                <w:sz w:val="9"/>
                <w:szCs w:val="9"/>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color w:val="auto"/>
              </w:rPr>
              <w:t>-$4,000,000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300" w:type="dxa"/>
            <w:vAlign w:val="bottom"/>
            <w:gridSpan w:val="7"/>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-636270</wp:posOffset>
            </wp:positionV>
            <wp:extent cx="1696085" cy="5118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2">
                      <a:extLst>
                        <a:ext uri="{28A0092B-C50C-407E-A947-70E740481C1C}"/>
                      </a:extLst>
                    </a:blip>
                    <a:srcRect/>
                    <a:stretch>
                      <a:fillRect/>
                    </a:stretch>
                  </pic:blipFill>
                  <pic:spPr bwMode="auto">
                    <a:xfrm>
                      <a:off x="0" y="0"/>
                      <a:ext cx="1696085" cy="511810"/>
                    </a:xfrm>
                    <a:prstGeom prst="rect">
                      <a:avLst/>
                    </a:prstGeom>
                    <a:noFill/>
                  </pic:spPr>
                </pic:pic>
              </a:graphicData>
            </a:graphic>
          </wp:anchor>
        </w:drawing>
      </w:r>
    </w:p>
    <w:p>
      <w:pPr>
        <w:ind w:left="1180"/>
        <w:spacing w:after="0"/>
        <w:tabs>
          <w:tab w:leader="none" w:pos="2000" w:val="left"/>
          <w:tab w:leader="none" w:pos="2840" w:val="left"/>
          <w:tab w:leader="none" w:pos="3700" w:val="left"/>
        </w:tabs>
        <w:rPr>
          <w:sz w:val="20"/>
          <w:szCs w:val="20"/>
          <w:color w:val="auto"/>
        </w:rPr>
      </w:pPr>
      <w:r>
        <w:rPr>
          <w:rFonts w:ascii="Arial" w:cs="Arial" w:eastAsia="Arial" w:hAnsi="Arial"/>
          <w:sz w:val="8"/>
          <w:szCs w:val="8"/>
          <w:color w:val="auto"/>
        </w:rPr>
        <w:t>FY 2021</w:t>
      </w:r>
      <w:r>
        <w:rPr>
          <w:sz w:val="20"/>
          <w:szCs w:val="20"/>
          <w:color w:val="auto"/>
        </w:rPr>
        <w:tab/>
      </w:r>
      <w:r>
        <w:rPr>
          <w:rFonts w:ascii="Arial" w:cs="Arial" w:eastAsia="Arial" w:hAnsi="Arial"/>
          <w:sz w:val="8"/>
          <w:szCs w:val="8"/>
          <w:color w:val="auto"/>
        </w:rPr>
        <w:t>FY 2022</w:t>
      </w:r>
      <w:r>
        <w:rPr>
          <w:sz w:val="20"/>
          <w:szCs w:val="20"/>
          <w:color w:val="auto"/>
        </w:rPr>
        <w:tab/>
      </w:r>
      <w:r>
        <w:rPr>
          <w:rFonts w:ascii="Arial" w:cs="Arial" w:eastAsia="Arial" w:hAnsi="Arial"/>
          <w:sz w:val="8"/>
          <w:szCs w:val="8"/>
          <w:color w:val="auto"/>
        </w:rPr>
        <w:t>FY 2023</w:t>
      </w:r>
      <w:r>
        <w:rPr>
          <w:sz w:val="20"/>
          <w:szCs w:val="20"/>
          <w:color w:val="auto"/>
        </w:rPr>
        <w:tab/>
      </w:r>
      <w:r>
        <w:rPr>
          <w:rFonts w:ascii="Arial" w:cs="Arial" w:eastAsia="Arial" w:hAnsi="Arial"/>
          <w:sz w:val="8"/>
          <w:szCs w:val="8"/>
          <w:color w:val="auto"/>
        </w:rPr>
        <w:t>FY 2024</w:t>
      </w:r>
    </w:p>
    <w:p>
      <w:pPr>
        <w:spacing w:after="0" w:line="66" w:lineRule="exact"/>
        <w:rPr>
          <w:sz w:val="20"/>
          <w:szCs w:val="20"/>
          <w:color w:val="auto"/>
        </w:rPr>
      </w:pPr>
    </w:p>
    <w:p>
      <w:pPr>
        <w:ind w:left="1220"/>
        <w:spacing w:after="0"/>
        <w:rPr>
          <w:sz w:val="20"/>
          <w:szCs w:val="20"/>
          <w:color w:val="auto"/>
        </w:rPr>
      </w:pPr>
      <w:r>
        <w:rPr>
          <w:sz w:val="1"/>
          <w:szCs w:val="1"/>
          <w:color w:val="auto"/>
        </w:rPr>
        <w:drawing>
          <wp:inline distT="0" distB="0" distL="0" distR="0">
            <wp:extent cx="125730" cy="3048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extLst>
                    </a:blip>
                    <a:srcRect/>
                    <a:stretch>
                      <a:fillRect/>
                    </a:stretch>
                  </pic:blipFill>
                  <pic:spPr bwMode="auto">
                    <a:xfrm>
                      <a:off x="0" y="0"/>
                      <a:ext cx="125730" cy="30480"/>
                    </a:xfrm>
                    <a:prstGeom prst="rect">
                      <a:avLst/>
                    </a:prstGeom>
                    <a:noFill/>
                    <a:ln>
                      <a:noFill/>
                    </a:ln>
                  </pic:spPr>
                </pic:pic>
              </a:graphicData>
            </a:graphic>
          </wp:inline>
        </w:drawing>
      </w:r>
      <w:r>
        <w:rPr>
          <w:rFonts w:ascii="Arial" w:cs="Arial" w:eastAsia="Arial" w:hAnsi="Arial"/>
          <w:sz w:val="8"/>
          <w:szCs w:val="8"/>
          <w:color w:val="auto"/>
        </w:rPr>
        <w:t xml:space="preserve"> PEO Compensation Actually Paid</w:t>
      </w:r>
    </w:p>
    <w:p>
      <w:pPr>
        <w:spacing w:after="0" w:line="41" w:lineRule="exact"/>
        <w:rPr>
          <w:sz w:val="20"/>
          <w:szCs w:val="20"/>
          <w:color w:val="auto"/>
        </w:rPr>
      </w:pPr>
    </w:p>
    <w:p>
      <w:pPr>
        <w:ind w:left="1220"/>
        <w:spacing w:after="0"/>
        <w:rPr>
          <w:sz w:val="20"/>
          <w:szCs w:val="20"/>
          <w:color w:val="auto"/>
        </w:rPr>
      </w:pPr>
      <w:r>
        <w:rPr>
          <w:sz w:val="1"/>
          <w:szCs w:val="1"/>
          <w:color w:val="auto"/>
        </w:rPr>
        <w:drawing>
          <wp:inline distT="0" distB="0" distL="0" distR="0">
            <wp:extent cx="125730" cy="3048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4">
                      <a:extLst>
                        <a:ext uri="{28A0092B-C50C-407E-A947-70E740481C1C}"/>
                      </a:extLst>
                    </a:blip>
                    <a:srcRect/>
                    <a:stretch>
                      <a:fillRect/>
                    </a:stretch>
                  </pic:blipFill>
                  <pic:spPr bwMode="auto">
                    <a:xfrm>
                      <a:off x="0" y="0"/>
                      <a:ext cx="125730" cy="30480"/>
                    </a:xfrm>
                    <a:prstGeom prst="rect">
                      <a:avLst/>
                    </a:prstGeom>
                    <a:noFill/>
                    <a:ln>
                      <a:noFill/>
                    </a:ln>
                  </pic:spPr>
                </pic:pic>
              </a:graphicData>
            </a:graphic>
          </wp:inline>
        </w:drawing>
      </w:r>
      <w:r>
        <w:rPr>
          <w:rFonts w:ascii="Arial" w:cs="Arial" w:eastAsia="Arial" w:hAnsi="Arial"/>
          <w:sz w:val="8"/>
          <w:szCs w:val="8"/>
          <w:color w:val="auto"/>
        </w:rPr>
        <w:t xml:space="preserve"> Non-PEO NEO Average Compensation Actually Paid</w:t>
      </w:r>
    </w:p>
    <w:p>
      <w:pPr>
        <w:spacing w:after="0" w:line="29" w:lineRule="exact"/>
        <w:rPr>
          <w:sz w:val="20"/>
          <w:szCs w:val="20"/>
          <w:color w:val="auto"/>
        </w:rPr>
      </w:pPr>
    </w:p>
    <w:p>
      <w:pPr>
        <w:ind w:left="1220"/>
        <w:spacing w:after="0"/>
        <w:rPr>
          <w:sz w:val="20"/>
          <w:szCs w:val="20"/>
          <w:color w:val="auto"/>
        </w:rPr>
      </w:pPr>
      <w:r>
        <w:rPr>
          <w:sz w:val="1"/>
          <w:szCs w:val="1"/>
          <w:color w:val="auto"/>
        </w:rPr>
        <w:drawing>
          <wp:inline distT="0" distB="0" distL="0" distR="0">
            <wp:extent cx="125730" cy="622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extLst>
                    </a:blip>
                    <a:srcRect/>
                    <a:stretch>
                      <a:fillRect/>
                    </a:stretch>
                  </pic:blipFill>
                  <pic:spPr bwMode="auto">
                    <a:xfrm>
                      <a:off x="0" y="0"/>
                      <a:ext cx="125730" cy="62230"/>
                    </a:xfrm>
                    <a:prstGeom prst="rect">
                      <a:avLst/>
                    </a:prstGeom>
                    <a:noFill/>
                    <a:ln>
                      <a:noFill/>
                    </a:ln>
                  </pic:spPr>
                </pic:pic>
              </a:graphicData>
            </a:graphic>
          </wp:inline>
        </w:drawing>
      </w:r>
      <w:r>
        <w:rPr>
          <w:rFonts w:ascii="Arial" w:cs="Arial" w:eastAsia="Arial" w:hAnsi="Arial"/>
          <w:sz w:val="8"/>
          <w:szCs w:val="8"/>
          <w:color w:val="auto"/>
        </w:rPr>
        <w:t xml:space="preserve"> Free Cash Flow (in Thousands)</w:t>
      </w:r>
    </w:p>
    <w:p>
      <w:pPr>
        <w:spacing w:after="0" w:line="20" w:lineRule="exact"/>
        <w:rPr>
          <w:sz w:val="20"/>
          <w:szCs w:val="20"/>
          <w:color w:val="auto"/>
        </w:rPr>
      </w:pPr>
      <w:r>
        <w:rPr>
          <w:sz w:val="20"/>
          <w:szCs w:val="20"/>
          <w:color w:val="auto"/>
        </w:rPr>
        <w:br w:type="column"/>
      </w:r>
    </w:p>
    <w:p>
      <w:pPr>
        <w:jc w:val="right"/>
        <w:ind w:right="780"/>
        <w:spacing w:after="0"/>
        <w:rPr>
          <w:sz w:val="20"/>
          <w:szCs w:val="20"/>
          <w:color w:val="auto"/>
        </w:rPr>
      </w:pPr>
      <w:r>
        <w:rPr>
          <w:rFonts w:ascii="Arial" w:cs="Arial" w:eastAsia="Arial" w:hAnsi="Arial"/>
          <w:sz w:val="16"/>
          <w:szCs w:val="16"/>
          <w:color w:val="auto"/>
        </w:rPr>
        <w:t>CUMULATIVE TOTAL SHAREHOLDER RETURN</w:t>
      </w:r>
    </w:p>
    <w:p>
      <w:pPr>
        <w:spacing w:after="0" w:line="27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-27940</wp:posOffset>
            </wp:positionV>
            <wp:extent cx="2844800" cy="12522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6">
                      <a:extLst>
                        <a:ext uri="{28A0092B-C50C-407E-A947-70E740481C1C}"/>
                      </a:extLst>
                    </a:blip>
                    <a:srcRect/>
                    <a:stretch>
                      <a:fillRect/>
                    </a:stretch>
                  </pic:blipFill>
                  <pic:spPr bwMode="auto">
                    <a:xfrm>
                      <a:off x="0" y="0"/>
                      <a:ext cx="2844800" cy="12522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$200</w:t>
      </w:r>
    </w:p>
    <w:p>
      <w:pPr>
        <w:spacing w:after="0" w:line="2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$150 </w:t>
      </w:r>
      <w:r>
        <w:rPr>
          <w:sz w:val="1"/>
          <w:szCs w:val="1"/>
          <w:color w:val="auto"/>
        </w:rPr>
        <w:drawing>
          <wp:inline distT="0" distB="0" distL="0" distR="0">
            <wp:extent cx="93980" cy="9398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7">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p>
    <w:p>
      <w:pPr>
        <w:spacing w:after="0" w:line="25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$100 </w:t>
      </w:r>
      <w:r>
        <w:rPr>
          <w:sz w:val="1"/>
          <w:szCs w:val="1"/>
          <w:color w:val="auto"/>
        </w:rPr>
        <w:drawing>
          <wp:inline distT="0" distB="0" distL="0" distR="0">
            <wp:extent cx="954405" cy="1676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8">
                      <a:extLst>
                        <a:ext uri="{28A0092B-C50C-407E-A947-70E740481C1C}"/>
                      </a:extLst>
                    </a:blip>
                    <a:srcRect/>
                    <a:stretch>
                      <a:fillRect/>
                    </a:stretch>
                  </pic:blipFill>
                  <pic:spPr bwMode="auto">
                    <a:xfrm>
                      <a:off x="0" y="0"/>
                      <a:ext cx="954405" cy="167640"/>
                    </a:xfrm>
                    <a:prstGeom prst="rect">
                      <a:avLst/>
                    </a:prstGeom>
                    <a:noFill/>
                    <a:ln>
                      <a:noFill/>
                    </a:ln>
                  </pic:spPr>
                </pic:pic>
              </a:graphicData>
            </a:graphic>
          </wp:inline>
        </w:drawing>
      </w:r>
    </w:p>
    <w:p>
      <w:pPr>
        <w:spacing w:after="0" w:line="162"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$50</w:t>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57"/>
        </w:trPr>
        <w:tc>
          <w:tcPr>
            <w:tcW w:w="240" w:type="dxa"/>
            <w:vAlign w:val="bottom"/>
            <w:vMerge w:val="restart"/>
          </w:tcPr>
          <w:p>
            <w:pPr>
              <w:jc w:val="right"/>
              <w:ind w:right="54"/>
              <w:spacing w:after="0"/>
              <w:rPr>
                <w:sz w:val="20"/>
                <w:szCs w:val="20"/>
                <w:color w:val="auto"/>
              </w:rPr>
            </w:pPr>
            <w:r>
              <w:rPr>
                <w:rFonts w:ascii="Arial" w:cs="Arial" w:eastAsia="Arial" w:hAnsi="Arial"/>
                <w:sz w:val="9"/>
                <w:szCs w:val="9"/>
                <w:b w:val="1"/>
                <w:bCs w:val="1"/>
                <w:color w:val="auto"/>
              </w:rPr>
              <w:t>$0</w:t>
            </w: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4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12/31/2024</w:t>
            </w:r>
          </w:p>
        </w:tc>
        <w:tc>
          <w:tcPr>
            <w:tcW w:w="0" w:type="dxa"/>
            <w:vAlign w:val="bottom"/>
          </w:tcPr>
          <w:p>
            <w:pPr>
              <w:spacing w:after="0" w:line="20" w:lineRule="exact"/>
              <w:rPr>
                <w:sz w:val="1"/>
                <w:szCs w:val="1"/>
                <w:color w:val="auto"/>
              </w:rPr>
            </w:pPr>
          </w:p>
        </w:tc>
      </w:tr>
      <w:tr>
        <w:trPr>
          <w:trHeight w:val="115"/>
        </w:trPr>
        <w:tc>
          <w:tcPr>
            <w:tcW w:w="1440" w:type="dxa"/>
            <w:vAlign w:val="bottom"/>
            <w:gridSpan w:val="2"/>
          </w:tcPr>
          <w:p>
            <w:pPr>
              <w:jc w:val="right"/>
              <w:ind w:right="940"/>
              <w:spacing w:after="0"/>
              <w:rPr>
                <w:sz w:val="20"/>
                <w:szCs w:val="20"/>
                <w:color w:val="auto"/>
              </w:rPr>
            </w:pPr>
            <w:r>
              <w:rPr>
                <w:rFonts w:ascii="Arial" w:cs="Arial" w:eastAsia="Arial" w:hAnsi="Arial"/>
                <w:sz w:val="9"/>
                <w:szCs w:val="9"/>
                <w:b w:val="1"/>
                <w:bCs w:val="1"/>
                <w:color w:val="auto"/>
              </w:rPr>
              <w:t>12/31/2021</w:t>
            </w:r>
          </w:p>
        </w:tc>
        <w:tc>
          <w:tcPr>
            <w:tcW w:w="1080" w:type="dxa"/>
            <w:vAlign w:val="bottom"/>
            <w:gridSpan w:val="2"/>
          </w:tcPr>
          <w:p>
            <w:pPr>
              <w:jc w:val="right"/>
              <w:ind w:right="514"/>
              <w:spacing w:after="0"/>
              <w:rPr>
                <w:sz w:val="20"/>
                <w:szCs w:val="20"/>
                <w:color w:val="auto"/>
              </w:rPr>
            </w:pPr>
            <w:r>
              <w:rPr>
                <w:rFonts w:ascii="Arial" w:cs="Arial" w:eastAsia="Arial" w:hAnsi="Arial"/>
                <w:sz w:val="9"/>
                <w:szCs w:val="9"/>
                <w:b w:val="1"/>
                <w:bCs w:val="1"/>
                <w:color w:val="auto"/>
              </w:rPr>
              <w:t>12/31/2022</w:t>
            </w:r>
          </w:p>
        </w:tc>
        <w:tc>
          <w:tcPr>
            <w:tcW w:w="1400" w:type="dxa"/>
            <w:vAlign w:val="bottom"/>
            <w:gridSpan w:val="4"/>
          </w:tcPr>
          <w:p>
            <w:pPr>
              <w:jc w:val="right"/>
              <w:ind w:right="454"/>
              <w:spacing w:after="0"/>
              <w:rPr>
                <w:sz w:val="20"/>
                <w:szCs w:val="20"/>
                <w:color w:val="auto"/>
              </w:rPr>
            </w:pPr>
            <w:r>
              <w:rPr>
                <w:rFonts w:ascii="Arial" w:cs="Arial" w:eastAsia="Arial" w:hAnsi="Arial"/>
                <w:sz w:val="9"/>
                <w:szCs w:val="9"/>
                <w:b w:val="1"/>
                <w:bCs w:val="1"/>
                <w:color w:val="auto"/>
              </w:rPr>
              <w:t>12/31/2023</w:t>
            </w: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Borders>
              <w:bottom w:val="single" w:sz="8" w:color="3851A5"/>
            </w:tcBorders>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9"/>
                <w:szCs w:val="9"/>
                <w:color w:val="auto"/>
              </w:rPr>
              <w:t>Cumulative TSR</w:t>
            </w:r>
          </w:p>
        </w:tc>
        <w:tc>
          <w:tcPr>
            <w:tcW w:w="100" w:type="dxa"/>
            <w:vAlign w:val="bottom"/>
            <w:tcBorders>
              <w:bottom w:val="single" w:sz="8" w:color="F55F17"/>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tcBorders>
              <w:bottom w:val="single" w:sz="8" w:color="F55F17"/>
            </w:tcBorders>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Arial" w:cs="Arial" w:eastAsia="Arial" w:hAnsi="Arial"/>
                <w:sz w:val="9"/>
                <w:szCs w:val="9"/>
                <w:color w:val="auto"/>
              </w:rPr>
              <w:t>Peer Group TSR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-69850</wp:posOffset>
            </wp:positionV>
            <wp:extent cx="73660" cy="736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9">
                      <a:extLst>
                        <a:ext uri="{28A0092B-C50C-407E-A947-70E740481C1C}"/>
                      </a:extLst>
                    </a:blip>
                    <a:srcRect/>
                    <a:stretch>
                      <a:fillRect/>
                    </a:stretch>
                  </pic:blipFill>
                  <pic:spPr bwMode="auto">
                    <a:xfrm>
                      <a:off x="0" y="0"/>
                      <a:ext cx="73660" cy="7366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-53340</wp:posOffset>
            </wp:positionV>
            <wp:extent cx="4064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0">
                      <a:extLst>
                        <a:ext uri="{28A0092B-C50C-407E-A947-70E740481C1C}"/>
                      </a:extLst>
                    </a:blip>
                    <a:srcRect/>
                    <a:stretch>
                      <a:fillRect/>
                    </a:stretch>
                  </pic:blipFill>
                  <pic:spPr bwMode="auto">
                    <a:xfrm>
                      <a:off x="0" y="0"/>
                      <a:ext cx="40640" cy="4064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020" w:space="400"/>
            <w:col w:w="5000"/>
          </w:cols>
          <w:pgMar w:left="720" w:top="110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75</w:t>
      </w:r>
    </w:p>
    <w:p>
      <w:pPr>
        <w:sectPr>
          <w:pgSz w:w="11880" w:h="15480" w:orient="portrait"/>
          <w:cols w:equalWidth="0" w:num="1">
            <w:col w:w="10420"/>
          </w:cols>
          <w:pgMar w:left="720" w:top="1101" w:right="740" w:bottom="0" w:gutter="0" w:footer="0" w:header="0"/>
          <w:type w:val="continuous"/>
        </w:sectPr>
      </w:pPr>
    </w:p>
    <w:bookmarkStart w:id="81" w:name="page82"/>
    <w:bookmarkEnd w:id="81"/>
    <w:p>
      <w:pPr>
        <w:ind w:right="1600"/>
        <w:spacing w:after="0" w:line="239" w:lineRule="auto"/>
        <w:rPr>
          <w:sz w:val="20"/>
          <w:szCs w:val="20"/>
          <w:color w:val="auto"/>
        </w:rPr>
      </w:pPr>
      <w:r>
        <w:rPr>
          <w:rFonts w:ascii="Times New Roman" w:cs="Times New Roman" w:eastAsia="Times New Roman" w:hAnsi="Times New Roman"/>
          <w:sz w:val="40"/>
          <w:szCs w:val="40"/>
          <w:color w:val="auto"/>
        </w:rPr>
        <w:t>Security Ownership of Certain Beneficial Owners and Management</w:t>
      </w:r>
    </w:p>
    <w:p>
      <w:pPr>
        <w:spacing w:after="0" w:line="200" w:lineRule="exact"/>
        <w:rPr>
          <w:sz w:val="20"/>
          <w:szCs w:val="20"/>
          <w:color w:val="auto"/>
        </w:rPr>
      </w:pPr>
    </w:p>
    <w:p>
      <w:pPr>
        <w:spacing w:after="0" w:line="223"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 following table sets forth certain information known to us regarding the beneficial ownership of our Common Stock as of March 31, 2025 by:</w:t>
      </w:r>
    </w:p>
    <w:p>
      <w:pPr>
        <w:spacing w:after="0" w:line="125" w:lineRule="exact"/>
        <w:rPr>
          <w:sz w:val="20"/>
          <w:szCs w:val="20"/>
          <w:color w:val="auto"/>
        </w:rPr>
      </w:pPr>
    </w:p>
    <w:p>
      <w:pPr>
        <w:ind w:left="180" w:right="1920"/>
        <w:spacing w:after="0" w:line="444" w:lineRule="auto"/>
        <w:rPr>
          <w:sz w:val="20"/>
          <w:szCs w:val="20"/>
          <w:color w:val="auto"/>
        </w:rPr>
      </w:pPr>
      <w:r>
        <w:rPr>
          <w:rFonts w:ascii="Arial" w:cs="Arial" w:eastAsia="Arial" w:hAnsi="Arial"/>
          <w:sz w:val="18"/>
          <w:szCs w:val="18"/>
          <w:color w:val="auto"/>
        </w:rPr>
        <w:t>each person who we know to own beneficially more than 5% of any class of our voting securities; each of our named executive officers and directors individually; and</w:t>
      </w:r>
    </w:p>
    <w:p>
      <w:pPr>
        <w:spacing w:after="0"/>
        <w:rPr>
          <w:sz w:val="20"/>
          <w:szCs w:val="20"/>
          <w:color w:val="auto"/>
        </w:rPr>
      </w:pPr>
      <w:r>
        <w:rPr>
          <w:rFonts w:ascii="Arial" w:cs="Arial" w:eastAsia="Arial" w:hAnsi="Arial"/>
          <w:sz w:val="18"/>
          <w:szCs w:val="18"/>
          <w:color w:val="auto"/>
        </w:rPr>
        <w:t>all of our current executive officers and directors as a group.</w:t>
      </w:r>
    </w:p>
    <w:p>
      <w:pPr>
        <w:spacing w:after="0" w:line="26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or shares of Convertible Preferred Stock that are currently exercisable or convertible, or exercisable or convertible within 60 days of March 31, 2025. Shares issuable pursuant to such options, warrants or shares of Convertible Preferred Stock are deemed outstanding for computing the beneficial ownership of the person holding such options but are not outstanding for computing the beneficial ownership of any other person. Except as described in the footnotes below and subject to applicable community property laws and similar laws, we believe that each person listed below has sole voting and investment power with respect to such shares. The beneficial ownership of our Common Stock and Convertible Preferred Stock in the table is based on, as of March 31, 2025, 3,048,800,731 shares of our Common Stock issued and outstanding and 175,000 shares of Convertible Preferred Stock issued and outstanding, which is convertible into 485,350,618 shares of Common Stock. Stockholders of shares of Common Stock are entitled to one vote per share of Common Stock. Stockholders of shares of convertible Preferred Stock are entitled to a number of votes equal to the number of shares of Common Stock into which the Preferred Stock is convertible, subject to certain adjustments.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350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 of Beneficial Owner</w:t>
            </w:r>
            <w:r>
              <w:rPr>
                <w:rFonts w:ascii="Arial" w:cs="Arial" w:eastAsia="Arial" w:hAnsi="Arial"/>
                <w:sz w:val="17"/>
                <w:szCs w:val="17"/>
                <w:color w:val="FFFFFF"/>
                <w:vertAlign w:val="superscript"/>
              </w:rPr>
              <w:t>(1)</w:t>
            </w:r>
          </w:p>
        </w:tc>
        <w:tc>
          <w:tcPr>
            <w:tcW w:w="16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Common Stock</w:t>
            </w:r>
          </w:p>
        </w:tc>
        <w:tc>
          <w:tcPr>
            <w:tcW w:w="1200" w:type="dxa"/>
            <w:vAlign w:val="bottom"/>
            <w:shd w:val="clear" w:color="auto" w:fill="000000"/>
          </w:tcPr>
          <w:p>
            <w:pPr>
              <w:spacing w:after="0"/>
              <w:rPr>
                <w:sz w:val="24"/>
                <w:szCs w:val="24"/>
                <w:color w:val="auto"/>
              </w:rPr>
            </w:pP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Preferred Stock</w:t>
            </w:r>
          </w:p>
        </w:tc>
        <w:tc>
          <w:tcPr>
            <w:tcW w:w="1200" w:type="dxa"/>
            <w:vAlign w:val="bottom"/>
            <w:shd w:val="clear" w:color="auto" w:fill="000000"/>
          </w:tcPr>
          <w:p>
            <w:pPr>
              <w:spacing w:after="0"/>
              <w:rPr>
                <w:sz w:val="24"/>
                <w:szCs w:val="24"/>
                <w:color w:val="auto"/>
              </w:rPr>
            </w:pP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Voting Power</w:t>
            </w:r>
          </w:p>
        </w:tc>
      </w:tr>
      <w:tr>
        <w:trPr>
          <w:trHeight w:val="354"/>
        </w:trPr>
        <w:tc>
          <w:tcPr>
            <w:tcW w:w="3500" w:type="dxa"/>
            <w:vAlign w:val="bottom"/>
            <w:shd w:val="clear" w:color="auto" w:fill="000000"/>
          </w:tcPr>
          <w:p>
            <w:pPr>
              <w:spacing w:after="0"/>
              <w:rPr>
                <w:sz w:val="24"/>
                <w:szCs w:val="24"/>
                <w:color w:val="auto"/>
              </w:rPr>
            </w:pPr>
          </w:p>
        </w:tc>
        <w:tc>
          <w:tcPr>
            <w:tcW w:w="16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Number of</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Percentage of</w:t>
            </w: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Percentage of</w:t>
            </w:r>
          </w:p>
        </w:tc>
        <w:tc>
          <w:tcPr>
            <w:tcW w:w="1280" w:type="dxa"/>
            <w:vAlign w:val="bottom"/>
            <w:shd w:val="clear" w:color="auto" w:fill="000000"/>
          </w:tcPr>
          <w:p>
            <w:pPr>
              <w:spacing w:after="0"/>
              <w:rPr>
                <w:sz w:val="24"/>
                <w:szCs w:val="24"/>
                <w:color w:val="auto"/>
              </w:rPr>
            </w:pPr>
          </w:p>
        </w:tc>
      </w:tr>
      <w:tr>
        <w:trPr>
          <w:trHeight w:val="160"/>
        </w:trPr>
        <w:tc>
          <w:tcPr>
            <w:tcW w:w="3500" w:type="dxa"/>
            <w:vAlign w:val="bottom"/>
            <w:shd w:val="clear" w:color="auto" w:fill="000000"/>
          </w:tcPr>
          <w:p>
            <w:pPr>
              <w:spacing w:after="0"/>
              <w:rPr>
                <w:sz w:val="13"/>
                <w:szCs w:val="13"/>
                <w:color w:val="auto"/>
              </w:rPr>
            </w:pPr>
          </w:p>
        </w:tc>
        <w:tc>
          <w:tcPr>
            <w:tcW w:w="1680" w:type="dxa"/>
            <w:vAlign w:val="bottom"/>
            <w:shd w:val="clear" w:color="auto" w:fill="000000"/>
          </w:tcPr>
          <w:p>
            <w:pPr>
              <w:ind w:left="240"/>
              <w:spacing w:after="0" w:line="160" w:lineRule="exact"/>
              <w:rPr>
                <w:sz w:val="20"/>
                <w:szCs w:val="20"/>
                <w:color w:val="auto"/>
              </w:rPr>
            </w:pPr>
            <w:r>
              <w:rPr>
                <w:rFonts w:ascii="Arial" w:cs="Arial" w:eastAsia="Arial" w:hAnsi="Arial"/>
                <w:sz w:val="14"/>
                <w:szCs w:val="14"/>
                <w:color w:val="FFFFFF"/>
              </w:rPr>
              <w:t>Shares</w:t>
            </w:r>
          </w:p>
        </w:tc>
        <w:tc>
          <w:tcPr>
            <w:tcW w:w="12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5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2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280" w:type="dxa"/>
            <w:vAlign w:val="bottom"/>
            <w:shd w:val="clear" w:color="auto" w:fill="000000"/>
          </w:tcPr>
          <w:p>
            <w:pPr>
              <w:spacing w:after="0"/>
              <w:rPr>
                <w:sz w:val="13"/>
                <w:szCs w:val="13"/>
                <w:color w:val="auto"/>
              </w:rPr>
            </w:pPr>
          </w:p>
        </w:tc>
      </w:tr>
      <w:tr>
        <w:trPr>
          <w:trHeight w:val="172"/>
        </w:trPr>
        <w:tc>
          <w:tcPr>
            <w:tcW w:w="3500" w:type="dxa"/>
            <w:vAlign w:val="bottom"/>
            <w:shd w:val="clear" w:color="auto" w:fill="000000"/>
          </w:tcPr>
          <w:p>
            <w:pPr>
              <w:spacing w:after="0"/>
              <w:rPr>
                <w:sz w:val="14"/>
                <w:szCs w:val="14"/>
                <w:color w:val="auto"/>
              </w:rPr>
            </w:pPr>
          </w:p>
        </w:tc>
        <w:tc>
          <w:tcPr>
            <w:tcW w:w="1680" w:type="dxa"/>
            <w:vAlign w:val="bottom"/>
            <w:shd w:val="clear" w:color="auto" w:fill="000000"/>
          </w:tcPr>
          <w:p>
            <w:pPr>
              <w:ind w:left="240"/>
              <w:spacing w:after="0"/>
              <w:rPr>
                <w:sz w:val="20"/>
                <w:szCs w:val="20"/>
                <w:color w:val="auto"/>
              </w:rPr>
            </w:pPr>
            <w:r>
              <w:rPr>
                <w:rFonts w:ascii="Arial" w:cs="Arial" w:eastAsia="Arial" w:hAnsi="Arial"/>
                <w:sz w:val="14"/>
                <w:szCs w:val="14"/>
                <w:color w:val="FFFFFF"/>
              </w:rPr>
              <w:t>Beneficially Owned</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Outstanding</w:t>
            </w: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Beneficially Owned</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Outstanding</w:t>
            </w:r>
          </w:p>
        </w:tc>
        <w:tc>
          <w:tcPr>
            <w:tcW w:w="1280" w:type="dxa"/>
            <w:vAlign w:val="bottom"/>
            <w:shd w:val="clear" w:color="auto" w:fill="000000"/>
          </w:tcPr>
          <w:p>
            <w:pPr>
              <w:spacing w:after="0"/>
              <w:rPr>
                <w:sz w:val="14"/>
                <w:szCs w:val="14"/>
                <w:color w:val="auto"/>
              </w:rPr>
            </w:pPr>
          </w:p>
        </w:tc>
      </w:tr>
      <w:tr>
        <w:trPr>
          <w:trHeight w:val="129"/>
        </w:trPr>
        <w:tc>
          <w:tcPr>
            <w:tcW w:w="3500" w:type="dxa"/>
            <w:vAlign w:val="bottom"/>
            <w:shd w:val="clear" w:color="auto" w:fill="000000"/>
          </w:tcPr>
          <w:p>
            <w:pPr>
              <w:spacing w:after="0"/>
              <w:rPr>
                <w:sz w:val="11"/>
                <w:szCs w:val="11"/>
                <w:color w:val="auto"/>
              </w:rPr>
            </w:pPr>
          </w:p>
        </w:tc>
        <w:tc>
          <w:tcPr>
            <w:tcW w:w="168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56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280" w:type="dxa"/>
            <w:vAlign w:val="bottom"/>
            <w:shd w:val="clear" w:color="auto" w:fill="000000"/>
          </w:tcPr>
          <w:p>
            <w:pPr>
              <w:spacing w:after="0"/>
              <w:rPr>
                <w:sz w:val="11"/>
                <w:szCs w:val="11"/>
                <w:color w:val="auto"/>
              </w:rPr>
            </w:pPr>
          </w:p>
        </w:tc>
      </w:tr>
      <w:tr>
        <w:trPr>
          <w:trHeight w:val="306"/>
        </w:trPr>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5% Stockholders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The Public Investment Fund</w:t>
            </w:r>
            <w:r>
              <w:rPr>
                <w:rFonts w:ascii="Arial" w:cs="Arial" w:eastAsia="Arial" w:hAnsi="Arial"/>
                <w:sz w:val="19"/>
                <w:szCs w:val="19"/>
                <w:color w:val="auto"/>
                <w:vertAlign w:val="superscript"/>
              </w:rPr>
              <w:t>(2)</w:t>
            </w:r>
          </w:p>
        </w:tc>
        <w:tc>
          <w:tcPr>
            <w:tcW w:w="1680" w:type="dxa"/>
            <w:vAlign w:val="bottom"/>
          </w:tcPr>
          <w:p>
            <w:pPr>
              <w:ind w:left="240"/>
              <w:spacing w:after="0"/>
              <w:rPr>
                <w:sz w:val="20"/>
                <w:szCs w:val="20"/>
                <w:color w:val="auto"/>
              </w:rPr>
            </w:pPr>
            <w:r>
              <w:rPr>
                <w:rFonts w:ascii="Arial" w:cs="Arial" w:eastAsia="Arial" w:hAnsi="Arial"/>
                <w:sz w:val="16"/>
                <w:szCs w:val="16"/>
                <w:color w:val="auto"/>
              </w:rPr>
              <w:t>2,256,239,302</w:t>
            </w:r>
          </w:p>
        </w:tc>
        <w:tc>
          <w:tcPr>
            <w:tcW w:w="1200" w:type="dxa"/>
            <w:vAlign w:val="bottom"/>
          </w:tcPr>
          <w:p>
            <w:pPr>
              <w:ind w:left="120"/>
              <w:spacing w:after="0"/>
              <w:rPr>
                <w:sz w:val="20"/>
                <w:szCs w:val="20"/>
                <w:color w:val="auto"/>
              </w:rPr>
            </w:pPr>
            <w:r>
              <w:rPr>
                <w:rFonts w:ascii="Arial" w:cs="Arial" w:eastAsia="Arial" w:hAnsi="Arial"/>
                <w:sz w:val="16"/>
                <w:szCs w:val="16"/>
                <w:color w:val="auto"/>
              </w:rPr>
              <w:t>64%</w:t>
            </w:r>
          </w:p>
        </w:tc>
        <w:tc>
          <w:tcPr>
            <w:tcW w:w="1560" w:type="dxa"/>
            <w:vAlign w:val="bottom"/>
          </w:tcPr>
          <w:p>
            <w:pPr>
              <w:ind w:left="120"/>
              <w:spacing w:after="0"/>
              <w:rPr>
                <w:sz w:val="20"/>
                <w:szCs w:val="20"/>
                <w:color w:val="auto"/>
              </w:rPr>
            </w:pPr>
            <w:r>
              <w:rPr>
                <w:rFonts w:ascii="Arial" w:cs="Arial" w:eastAsia="Arial" w:hAnsi="Arial"/>
                <w:sz w:val="16"/>
                <w:szCs w:val="16"/>
                <w:color w:val="auto"/>
              </w:rPr>
              <w:t>175,000</w:t>
            </w:r>
          </w:p>
        </w:tc>
        <w:tc>
          <w:tcPr>
            <w:tcW w:w="1200" w:type="dxa"/>
            <w:vAlign w:val="bottom"/>
          </w:tcPr>
          <w:p>
            <w:pPr>
              <w:ind w:left="120"/>
              <w:spacing w:after="0"/>
              <w:rPr>
                <w:sz w:val="20"/>
                <w:szCs w:val="20"/>
                <w:color w:val="auto"/>
              </w:rPr>
            </w:pPr>
            <w:r>
              <w:rPr>
                <w:rFonts w:ascii="Arial" w:cs="Arial" w:eastAsia="Arial" w:hAnsi="Arial"/>
                <w:sz w:val="16"/>
                <w:szCs w:val="16"/>
                <w:color w:val="auto"/>
              </w:rPr>
              <w:t>100%</w:t>
            </w:r>
          </w:p>
        </w:tc>
        <w:tc>
          <w:tcPr>
            <w:tcW w:w="1280" w:type="dxa"/>
            <w:vAlign w:val="bottom"/>
          </w:tcPr>
          <w:p>
            <w:pPr>
              <w:ind w:left="120"/>
              <w:spacing w:after="0"/>
              <w:rPr>
                <w:sz w:val="20"/>
                <w:szCs w:val="20"/>
                <w:color w:val="auto"/>
              </w:rPr>
            </w:pPr>
            <w:r>
              <w:rPr>
                <w:rFonts w:ascii="Arial" w:cs="Arial" w:eastAsia="Arial" w:hAnsi="Arial"/>
                <w:sz w:val="16"/>
                <w:szCs w:val="16"/>
                <w:color w:val="auto"/>
              </w:rPr>
              <w:t>64%</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84"/>
        </w:trPr>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Named Executive Officers and Directors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Peter Rawlinson</w:t>
            </w:r>
            <w:r>
              <w:rPr>
                <w:rFonts w:ascii="Arial" w:cs="Arial" w:eastAsia="Arial" w:hAnsi="Arial"/>
                <w:sz w:val="19"/>
                <w:szCs w:val="19"/>
                <w:color w:val="auto"/>
                <w:vertAlign w:val="superscript"/>
              </w:rPr>
              <w:t>(3)</w:t>
            </w:r>
          </w:p>
        </w:tc>
        <w:tc>
          <w:tcPr>
            <w:tcW w:w="1680" w:type="dxa"/>
            <w:vAlign w:val="bottom"/>
          </w:tcPr>
          <w:p>
            <w:pPr>
              <w:ind w:left="240"/>
              <w:spacing w:after="0"/>
              <w:rPr>
                <w:sz w:val="20"/>
                <w:szCs w:val="20"/>
                <w:color w:val="auto"/>
              </w:rPr>
            </w:pPr>
            <w:r>
              <w:rPr>
                <w:rFonts w:ascii="Arial" w:cs="Arial" w:eastAsia="Arial" w:hAnsi="Arial"/>
                <w:sz w:val="16"/>
                <w:szCs w:val="16"/>
                <w:color w:val="auto"/>
              </w:rPr>
              <w:t>24,867,891</w:t>
            </w:r>
          </w:p>
        </w:tc>
        <w:tc>
          <w:tcPr>
            <w:tcW w:w="1200" w:type="dxa"/>
            <w:vAlign w:val="bottom"/>
          </w:tcPr>
          <w:p>
            <w:pPr>
              <w:ind w:left="120"/>
              <w:spacing w:after="0"/>
              <w:rPr>
                <w:sz w:val="20"/>
                <w:szCs w:val="20"/>
                <w:color w:val="auto"/>
              </w:rPr>
            </w:pPr>
            <w:r>
              <w:rPr>
                <w:rFonts w:ascii="Arial" w:cs="Arial" w:eastAsia="Arial" w:hAnsi="Arial"/>
                <w:sz w:val="16"/>
                <w:szCs w:val="16"/>
                <w:color w:val="auto"/>
              </w:rPr>
              <w:t>1%</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1%</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Gagan Dhingra</w:t>
            </w:r>
            <w:r>
              <w:rPr>
                <w:rFonts w:ascii="Arial" w:cs="Arial" w:eastAsia="Arial" w:hAnsi="Arial"/>
                <w:sz w:val="19"/>
                <w:szCs w:val="19"/>
                <w:color w:val="auto"/>
                <w:vertAlign w:val="superscript"/>
              </w:rPr>
              <w:t>(4)</w:t>
            </w:r>
          </w:p>
        </w:tc>
        <w:tc>
          <w:tcPr>
            <w:tcW w:w="1680" w:type="dxa"/>
            <w:vAlign w:val="bottom"/>
          </w:tcPr>
          <w:p>
            <w:pPr>
              <w:ind w:left="240"/>
              <w:spacing w:after="0"/>
              <w:rPr>
                <w:sz w:val="20"/>
                <w:szCs w:val="20"/>
                <w:color w:val="auto"/>
              </w:rPr>
            </w:pPr>
            <w:r>
              <w:rPr>
                <w:rFonts w:ascii="Arial" w:cs="Arial" w:eastAsia="Arial" w:hAnsi="Arial"/>
                <w:sz w:val="16"/>
                <w:szCs w:val="16"/>
                <w:color w:val="auto"/>
              </w:rPr>
              <w:t>327,775</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Marc Winterhoff</w:t>
            </w:r>
            <w:r>
              <w:rPr>
                <w:rFonts w:ascii="Arial" w:cs="Arial" w:eastAsia="Arial" w:hAnsi="Arial"/>
                <w:sz w:val="19"/>
                <w:szCs w:val="19"/>
                <w:color w:val="auto"/>
                <w:vertAlign w:val="superscript"/>
              </w:rPr>
              <w:t>(5)</w:t>
            </w:r>
          </w:p>
        </w:tc>
        <w:tc>
          <w:tcPr>
            <w:tcW w:w="1680" w:type="dxa"/>
            <w:vAlign w:val="bottom"/>
          </w:tcPr>
          <w:p>
            <w:pPr>
              <w:ind w:left="240"/>
              <w:spacing w:after="0"/>
              <w:rPr>
                <w:sz w:val="20"/>
                <w:szCs w:val="20"/>
                <w:color w:val="auto"/>
              </w:rPr>
            </w:pPr>
            <w:r>
              <w:rPr>
                <w:rFonts w:ascii="Arial" w:cs="Arial" w:eastAsia="Arial" w:hAnsi="Arial"/>
                <w:sz w:val="16"/>
                <w:szCs w:val="16"/>
                <w:color w:val="auto"/>
              </w:rPr>
              <w:t>744,508</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Eric Bach</w:t>
            </w:r>
            <w:r>
              <w:rPr>
                <w:rFonts w:ascii="Arial" w:cs="Arial" w:eastAsia="Arial" w:hAnsi="Arial"/>
                <w:sz w:val="19"/>
                <w:szCs w:val="19"/>
                <w:color w:val="auto"/>
                <w:vertAlign w:val="superscript"/>
              </w:rPr>
              <w:t>(6)</w:t>
            </w:r>
          </w:p>
        </w:tc>
        <w:tc>
          <w:tcPr>
            <w:tcW w:w="1680" w:type="dxa"/>
            <w:vAlign w:val="bottom"/>
          </w:tcPr>
          <w:p>
            <w:pPr>
              <w:ind w:left="240"/>
              <w:spacing w:after="0"/>
              <w:rPr>
                <w:sz w:val="20"/>
                <w:szCs w:val="20"/>
                <w:color w:val="auto"/>
              </w:rPr>
            </w:pPr>
            <w:r>
              <w:rPr>
                <w:rFonts w:ascii="Arial" w:cs="Arial" w:eastAsia="Arial" w:hAnsi="Arial"/>
                <w:sz w:val="16"/>
                <w:szCs w:val="16"/>
                <w:color w:val="auto"/>
              </w:rPr>
              <w:t>4,692,369</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Michael Bell</w:t>
            </w:r>
            <w:r>
              <w:rPr>
                <w:rFonts w:ascii="Arial" w:cs="Arial" w:eastAsia="Arial" w:hAnsi="Arial"/>
                <w:sz w:val="19"/>
                <w:szCs w:val="19"/>
                <w:color w:val="auto"/>
                <w:vertAlign w:val="superscript"/>
              </w:rPr>
              <w:t>(7)</w:t>
            </w:r>
          </w:p>
        </w:tc>
        <w:tc>
          <w:tcPr>
            <w:tcW w:w="1680" w:type="dxa"/>
            <w:vAlign w:val="bottom"/>
          </w:tcPr>
          <w:p>
            <w:pPr>
              <w:ind w:left="240"/>
              <w:spacing w:after="0"/>
              <w:rPr>
                <w:sz w:val="20"/>
                <w:szCs w:val="20"/>
                <w:color w:val="auto"/>
              </w:rPr>
            </w:pPr>
            <w:r>
              <w:rPr>
                <w:rFonts w:ascii="Arial" w:cs="Arial" w:eastAsia="Arial" w:hAnsi="Arial"/>
                <w:sz w:val="16"/>
                <w:szCs w:val="16"/>
                <w:color w:val="auto"/>
              </w:rPr>
              <w:t>744,334</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Turqi Alnowaiser</w:t>
            </w:r>
            <w:r>
              <w:rPr>
                <w:rFonts w:ascii="Arial" w:cs="Arial" w:eastAsia="Arial" w:hAnsi="Arial"/>
                <w:sz w:val="19"/>
                <w:szCs w:val="19"/>
                <w:color w:val="auto"/>
                <w:vertAlign w:val="superscript"/>
              </w:rPr>
              <w:t>(8)</w:t>
            </w:r>
          </w:p>
        </w:tc>
        <w:tc>
          <w:tcPr>
            <w:tcW w:w="1680" w:type="dxa"/>
            <w:vAlign w:val="bottom"/>
          </w:tcPr>
          <w:p>
            <w:pPr>
              <w:ind w:left="240"/>
              <w:spacing w:after="0"/>
              <w:rPr>
                <w:sz w:val="20"/>
                <w:szCs w:val="20"/>
                <w:color w:val="auto"/>
              </w:rPr>
            </w:pPr>
            <w:r>
              <w:rPr>
                <w:rFonts w:ascii="Arial" w:cs="Arial" w:eastAsia="Arial" w:hAnsi="Arial"/>
                <w:sz w:val="16"/>
                <w:szCs w:val="16"/>
                <w:color w:val="auto"/>
              </w:rPr>
              <w:t>2,250,315,179</w:t>
            </w:r>
          </w:p>
        </w:tc>
        <w:tc>
          <w:tcPr>
            <w:tcW w:w="1200" w:type="dxa"/>
            <w:vAlign w:val="bottom"/>
          </w:tcPr>
          <w:p>
            <w:pPr>
              <w:ind w:left="120"/>
              <w:spacing w:after="0"/>
              <w:rPr>
                <w:sz w:val="20"/>
                <w:szCs w:val="20"/>
                <w:color w:val="auto"/>
              </w:rPr>
            </w:pPr>
            <w:r>
              <w:rPr>
                <w:rFonts w:ascii="Arial" w:cs="Arial" w:eastAsia="Arial" w:hAnsi="Arial"/>
                <w:sz w:val="16"/>
                <w:szCs w:val="16"/>
                <w:color w:val="auto"/>
              </w:rPr>
              <w:t>64%</w:t>
            </w:r>
          </w:p>
        </w:tc>
        <w:tc>
          <w:tcPr>
            <w:tcW w:w="1560" w:type="dxa"/>
            <w:vAlign w:val="bottom"/>
          </w:tcPr>
          <w:p>
            <w:pPr>
              <w:ind w:left="120"/>
              <w:spacing w:after="0"/>
              <w:rPr>
                <w:sz w:val="20"/>
                <w:szCs w:val="20"/>
                <w:color w:val="auto"/>
              </w:rPr>
            </w:pPr>
            <w:r>
              <w:rPr>
                <w:rFonts w:ascii="Arial" w:cs="Arial" w:eastAsia="Arial" w:hAnsi="Arial"/>
                <w:sz w:val="16"/>
                <w:szCs w:val="16"/>
                <w:color w:val="auto"/>
              </w:rPr>
              <w:t>175,000</w:t>
            </w:r>
          </w:p>
        </w:tc>
        <w:tc>
          <w:tcPr>
            <w:tcW w:w="1200" w:type="dxa"/>
            <w:vAlign w:val="bottom"/>
          </w:tcPr>
          <w:p>
            <w:pPr>
              <w:ind w:left="120"/>
              <w:spacing w:after="0"/>
              <w:rPr>
                <w:sz w:val="20"/>
                <w:szCs w:val="20"/>
                <w:color w:val="auto"/>
              </w:rPr>
            </w:pPr>
            <w:r>
              <w:rPr>
                <w:rFonts w:ascii="Arial" w:cs="Arial" w:eastAsia="Arial" w:hAnsi="Arial"/>
                <w:sz w:val="16"/>
                <w:szCs w:val="16"/>
                <w:color w:val="auto"/>
              </w:rPr>
              <w:t>100%</w:t>
            </w:r>
          </w:p>
        </w:tc>
        <w:tc>
          <w:tcPr>
            <w:tcW w:w="1280" w:type="dxa"/>
            <w:vAlign w:val="bottom"/>
          </w:tcPr>
          <w:p>
            <w:pPr>
              <w:ind w:left="120"/>
              <w:spacing w:after="0"/>
              <w:rPr>
                <w:sz w:val="20"/>
                <w:szCs w:val="20"/>
                <w:color w:val="auto"/>
              </w:rPr>
            </w:pPr>
            <w:r>
              <w:rPr>
                <w:rFonts w:ascii="Arial" w:cs="Arial" w:eastAsia="Arial" w:hAnsi="Arial"/>
                <w:sz w:val="16"/>
                <w:szCs w:val="16"/>
                <w:color w:val="auto"/>
              </w:rPr>
              <w:t>64%</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Andrew Liveris</w:t>
            </w:r>
            <w:r>
              <w:rPr>
                <w:rFonts w:ascii="Arial" w:cs="Arial" w:eastAsia="Arial" w:hAnsi="Arial"/>
                <w:sz w:val="19"/>
                <w:szCs w:val="19"/>
                <w:color w:val="auto"/>
                <w:vertAlign w:val="superscript"/>
              </w:rPr>
              <w:t>(9)</w:t>
            </w:r>
          </w:p>
        </w:tc>
        <w:tc>
          <w:tcPr>
            <w:tcW w:w="1680" w:type="dxa"/>
            <w:vAlign w:val="bottom"/>
          </w:tcPr>
          <w:p>
            <w:pPr>
              <w:ind w:left="240"/>
              <w:spacing w:after="0"/>
              <w:rPr>
                <w:sz w:val="20"/>
                <w:szCs w:val="20"/>
                <w:color w:val="auto"/>
              </w:rPr>
            </w:pPr>
            <w:r>
              <w:rPr>
                <w:rFonts w:ascii="Arial" w:cs="Arial" w:eastAsia="Arial" w:hAnsi="Arial"/>
                <w:sz w:val="16"/>
                <w:szCs w:val="16"/>
                <w:color w:val="auto"/>
              </w:rPr>
              <w:t>1,351,911</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Sherif Marakby</w:t>
            </w:r>
            <w:r>
              <w:rPr>
                <w:rFonts w:ascii="Arial" w:cs="Arial" w:eastAsia="Arial" w:hAnsi="Arial"/>
                <w:sz w:val="19"/>
                <w:szCs w:val="19"/>
                <w:color w:val="auto"/>
                <w:vertAlign w:val="superscript"/>
              </w:rPr>
              <w:t>(10)</w:t>
            </w:r>
          </w:p>
        </w:tc>
        <w:tc>
          <w:tcPr>
            <w:tcW w:w="1680" w:type="dxa"/>
            <w:vAlign w:val="bottom"/>
          </w:tcPr>
          <w:p>
            <w:pPr>
              <w:ind w:left="240"/>
              <w:spacing w:after="0"/>
              <w:rPr>
                <w:sz w:val="20"/>
                <w:szCs w:val="20"/>
                <w:color w:val="auto"/>
              </w:rPr>
            </w:pPr>
            <w:r>
              <w:rPr>
                <w:rFonts w:ascii="Arial" w:cs="Arial" w:eastAsia="Arial" w:hAnsi="Arial"/>
                <w:sz w:val="16"/>
                <w:szCs w:val="16"/>
                <w:color w:val="auto"/>
              </w:rPr>
              <w:t>32,258</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Nichelle Maynard-Elliott</w:t>
            </w:r>
            <w:r>
              <w:rPr>
                <w:rFonts w:ascii="Arial" w:cs="Arial" w:eastAsia="Arial" w:hAnsi="Arial"/>
                <w:sz w:val="19"/>
                <w:szCs w:val="19"/>
                <w:color w:val="auto"/>
                <w:vertAlign w:val="superscript"/>
              </w:rPr>
              <w:t>(11)</w:t>
            </w:r>
          </w:p>
        </w:tc>
        <w:tc>
          <w:tcPr>
            <w:tcW w:w="1680" w:type="dxa"/>
            <w:vAlign w:val="bottom"/>
          </w:tcPr>
          <w:p>
            <w:pPr>
              <w:ind w:left="240"/>
              <w:spacing w:after="0"/>
              <w:rPr>
                <w:sz w:val="20"/>
                <w:szCs w:val="20"/>
                <w:color w:val="auto"/>
              </w:rPr>
            </w:pPr>
            <w:r>
              <w:rPr>
                <w:rFonts w:ascii="Arial" w:cs="Arial" w:eastAsia="Arial" w:hAnsi="Arial"/>
                <w:sz w:val="16"/>
                <w:szCs w:val="16"/>
                <w:color w:val="auto"/>
              </w:rPr>
              <w:t>53,289</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500" w:type="dxa"/>
            <w:vAlign w:val="bottom"/>
          </w:tcPr>
          <w:p>
            <w:pPr>
              <w:ind w:left="180"/>
              <w:spacing w:after="0"/>
              <w:rPr>
                <w:sz w:val="20"/>
                <w:szCs w:val="20"/>
                <w:color w:val="auto"/>
              </w:rPr>
            </w:pPr>
            <w:r>
              <w:rPr>
                <w:rFonts w:ascii="Arial" w:cs="Arial" w:eastAsia="Arial" w:hAnsi="Arial"/>
                <w:sz w:val="16"/>
                <w:szCs w:val="16"/>
                <w:color w:val="auto"/>
              </w:rPr>
              <w:t>Chabi Nouri</w:t>
            </w:r>
            <w:r>
              <w:rPr>
                <w:rFonts w:ascii="Arial" w:cs="Arial" w:eastAsia="Arial" w:hAnsi="Arial"/>
                <w:sz w:val="19"/>
                <w:szCs w:val="19"/>
                <w:color w:val="auto"/>
                <w:vertAlign w:val="superscript"/>
              </w:rPr>
              <w:t>(12)</w:t>
            </w:r>
          </w:p>
        </w:tc>
        <w:tc>
          <w:tcPr>
            <w:tcW w:w="1680" w:type="dxa"/>
            <w:vAlign w:val="bottom"/>
          </w:tcPr>
          <w:p>
            <w:pPr>
              <w:ind w:left="240"/>
              <w:spacing w:after="0"/>
              <w:rPr>
                <w:sz w:val="20"/>
                <w:szCs w:val="20"/>
                <w:color w:val="auto"/>
              </w:rPr>
            </w:pPr>
            <w:r>
              <w:rPr>
                <w:rFonts w:ascii="Arial" w:cs="Arial" w:eastAsia="Arial" w:hAnsi="Arial"/>
                <w:sz w:val="16"/>
                <w:szCs w:val="16"/>
                <w:color w:val="auto"/>
              </w:rPr>
              <w:t>29,914</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74"/>
        </w:trPr>
        <w:tc>
          <w:tcPr>
            <w:tcW w:w="35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2371090</wp:posOffset>
                </wp:positionH>
                <wp:positionV relativeFrom="paragraph">
                  <wp:posOffset>-3956685</wp:posOffset>
                </wp:positionV>
                <wp:extent cx="16033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337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7pt,-311.5499pt" to="312.95pt,-311.54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4126230</wp:posOffset>
                </wp:positionH>
                <wp:positionV relativeFrom="paragraph">
                  <wp:posOffset>-3956685</wp:posOffset>
                </wp:positionV>
                <wp:extent cx="16033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337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9pt,-311.5499pt" to="451.15pt,-311.5499pt" o:allowincell="f" strokecolor="#FFFFFF" strokeweight="0.499pt"/>
            </w:pict>
          </mc:Fallback>
        </mc:AlternateConten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82" w:name="page83"/>
    <w:bookmarkEnd w:id="82"/>
    <w:tbl>
      <w:tblPr>
        <w:tblLayout w:type="fixed"/>
        <w:tblInd w:w="2" w:type="dxa"/>
        <w:tblCellMar>
          <w:top w:w="0" w:type="dxa"/>
          <w:left w:w="0" w:type="dxa"/>
          <w:bottom w:w="0" w:type="dxa"/>
          <w:right w:w="0" w:type="dxa"/>
        </w:tblCellMar>
      </w:tblPr>
      <w:tr>
        <w:trPr>
          <w:trHeight w:val="378"/>
        </w:trPr>
        <w:tc>
          <w:tcPr>
            <w:tcW w:w="346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Name of Beneficial Owner</w:t>
            </w:r>
            <w:r>
              <w:rPr>
                <w:rFonts w:ascii="Arial" w:cs="Arial" w:eastAsia="Arial" w:hAnsi="Arial"/>
                <w:sz w:val="17"/>
                <w:szCs w:val="17"/>
                <w:color w:val="FFFFFF"/>
                <w:vertAlign w:val="superscript"/>
              </w:rPr>
              <w:t>(1)</w:t>
            </w:r>
          </w:p>
        </w:tc>
        <w:tc>
          <w:tcPr>
            <w:tcW w:w="1720" w:type="dxa"/>
            <w:vAlign w:val="bottom"/>
            <w:shd w:val="clear" w:color="auto" w:fill="000000"/>
          </w:tcPr>
          <w:p>
            <w:pPr>
              <w:ind w:left="280"/>
              <w:spacing w:after="0"/>
              <w:rPr>
                <w:sz w:val="20"/>
                <w:szCs w:val="20"/>
                <w:color w:val="auto"/>
              </w:rPr>
            </w:pPr>
            <w:r>
              <w:rPr>
                <w:rFonts w:ascii="Arial" w:cs="Arial" w:eastAsia="Arial" w:hAnsi="Arial"/>
                <w:sz w:val="14"/>
                <w:szCs w:val="14"/>
                <w:color w:val="FFFFFF"/>
              </w:rPr>
              <w:t>Common Stock</w:t>
            </w:r>
          </w:p>
        </w:tc>
        <w:tc>
          <w:tcPr>
            <w:tcW w:w="1200" w:type="dxa"/>
            <w:vAlign w:val="bottom"/>
            <w:shd w:val="clear" w:color="auto" w:fill="000000"/>
          </w:tcPr>
          <w:p>
            <w:pPr>
              <w:spacing w:after="0"/>
              <w:rPr>
                <w:sz w:val="24"/>
                <w:szCs w:val="24"/>
                <w:color w:val="auto"/>
              </w:rPr>
            </w:pP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Preferred Stock</w:t>
            </w:r>
          </w:p>
        </w:tc>
        <w:tc>
          <w:tcPr>
            <w:tcW w:w="1200" w:type="dxa"/>
            <w:vAlign w:val="bottom"/>
            <w:shd w:val="clear" w:color="auto" w:fill="000000"/>
          </w:tcPr>
          <w:p>
            <w:pPr>
              <w:spacing w:after="0"/>
              <w:rPr>
                <w:sz w:val="24"/>
                <w:szCs w:val="24"/>
                <w:color w:val="auto"/>
              </w:rPr>
            </w:pPr>
          </w:p>
        </w:tc>
        <w:tc>
          <w:tcPr>
            <w:tcW w:w="128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Voting Power</w:t>
            </w:r>
          </w:p>
        </w:tc>
      </w:tr>
      <w:tr>
        <w:trPr>
          <w:trHeight w:val="354"/>
        </w:trPr>
        <w:tc>
          <w:tcPr>
            <w:tcW w:w="3460" w:type="dxa"/>
            <w:vAlign w:val="bottom"/>
            <w:shd w:val="clear" w:color="auto" w:fill="000000"/>
          </w:tcPr>
          <w:p>
            <w:pPr>
              <w:spacing w:after="0"/>
              <w:rPr>
                <w:sz w:val="24"/>
                <w:szCs w:val="24"/>
                <w:color w:val="auto"/>
              </w:rPr>
            </w:pPr>
          </w:p>
        </w:tc>
        <w:tc>
          <w:tcPr>
            <w:tcW w:w="1720" w:type="dxa"/>
            <w:vAlign w:val="bottom"/>
            <w:shd w:val="clear" w:color="auto" w:fill="000000"/>
          </w:tcPr>
          <w:p>
            <w:pPr>
              <w:ind w:left="280"/>
              <w:spacing w:after="0"/>
              <w:rPr>
                <w:sz w:val="20"/>
                <w:szCs w:val="20"/>
                <w:color w:val="auto"/>
              </w:rPr>
            </w:pPr>
            <w:r>
              <w:rPr>
                <w:rFonts w:ascii="Arial" w:cs="Arial" w:eastAsia="Arial" w:hAnsi="Arial"/>
                <w:sz w:val="14"/>
                <w:szCs w:val="14"/>
                <w:color w:val="FFFFFF"/>
              </w:rPr>
              <w:t>Number of</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Percentage of</w:t>
            </w: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Number of</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Percentage of</w:t>
            </w:r>
          </w:p>
        </w:tc>
        <w:tc>
          <w:tcPr>
            <w:tcW w:w="1280" w:type="dxa"/>
            <w:vAlign w:val="bottom"/>
            <w:shd w:val="clear" w:color="auto" w:fill="000000"/>
          </w:tcPr>
          <w:p>
            <w:pPr>
              <w:spacing w:after="0"/>
              <w:rPr>
                <w:sz w:val="24"/>
                <w:szCs w:val="24"/>
                <w:color w:val="auto"/>
              </w:rPr>
            </w:pPr>
          </w:p>
        </w:tc>
      </w:tr>
      <w:tr>
        <w:trPr>
          <w:trHeight w:val="160"/>
        </w:trPr>
        <w:tc>
          <w:tcPr>
            <w:tcW w:w="3460" w:type="dxa"/>
            <w:vAlign w:val="bottom"/>
            <w:shd w:val="clear" w:color="auto" w:fill="000000"/>
          </w:tcPr>
          <w:p>
            <w:pPr>
              <w:spacing w:after="0"/>
              <w:rPr>
                <w:sz w:val="13"/>
                <w:szCs w:val="13"/>
                <w:color w:val="auto"/>
              </w:rPr>
            </w:pPr>
          </w:p>
        </w:tc>
        <w:tc>
          <w:tcPr>
            <w:tcW w:w="1720" w:type="dxa"/>
            <w:vAlign w:val="bottom"/>
            <w:shd w:val="clear" w:color="auto" w:fill="000000"/>
          </w:tcPr>
          <w:p>
            <w:pPr>
              <w:ind w:left="280"/>
              <w:spacing w:after="0" w:line="160" w:lineRule="exact"/>
              <w:rPr>
                <w:sz w:val="20"/>
                <w:szCs w:val="20"/>
                <w:color w:val="auto"/>
              </w:rPr>
            </w:pPr>
            <w:r>
              <w:rPr>
                <w:rFonts w:ascii="Arial" w:cs="Arial" w:eastAsia="Arial" w:hAnsi="Arial"/>
                <w:sz w:val="14"/>
                <w:szCs w:val="14"/>
                <w:color w:val="FFFFFF"/>
              </w:rPr>
              <w:t>Shares</w:t>
            </w:r>
          </w:p>
        </w:tc>
        <w:tc>
          <w:tcPr>
            <w:tcW w:w="12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56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200" w:type="dxa"/>
            <w:vAlign w:val="bottom"/>
            <w:shd w:val="clear" w:color="auto" w:fill="000000"/>
          </w:tcPr>
          <w:p>
            <w:pPr>
              <w:ind w:left="120"/>
              <w:spacing w:after="0" w:line="160" w:lineRule="exact"/>
              <w:rPr>
                <w:sz w:val="20"/>
                <w:szCs w:val="20"/>
                <w:color w:val="auto"/>
              </w:rPr>
            </w:pPr>
            <w:r>
              <w:rPr>
                <w:rFonts w:ascii="Arial" w:cs="Arial" w:eastAsia="Arial" w:hAnsi="Arial"/>
                <w:sz w:val="14"/>
                <w:szCs w:val="14"/>
                <w:color w:val="FFFFFF"/>
              </w:rPr>
              <w:t>Shares</w:t>
            </w:r>
          </w:p>
        </w:tc>
        <w:tc>
          <w:tcPr>
            <w:tcW w:w="1280" w:type="dxa"/>
            <w:vAlign w:val="bottom"/>
            <w:shd w:val="clear" w:color="auto" w:fill="000000"/>
          </w:tcPr>
          <w:p>
            <w:pPr>
              <w:spacing w:after="0"/>
              <w:rPr>
                <w:sz w:val="13"/>
                <w:szCs w:val="13"/>
                <w:color w:val="auto"/>
              </w:rPr>
            </w:pPr>
          </w:p>
        </w:tc>
      </w:tr>
      <w:tr>
        <w:trPr>
          <w:trHeight w:val="172"/>
        </w:trPr>
        <w:tc>
          <w:tcPr>
            <w:tcW w:w="3460" w:type="dxa"/>
            <w:vAlign w:val="bottom"/>
            <w:shd w:val="clear" w:color="auto" w:fill="000000"/>
          </w:tcPr>
          <w:p>
            <w:pPr>
              <w:spacing w:after="0"/>
              <w:rPr>
                <w:sz w:val="14"/>
                <w:szCs w:val="14"/>
                <w:color w:val="auto"/>
              </w:rPr>
            </w:pPr>
          </w:p>
        </w:tc>
        <w:tc>
          <w:tcPr>
            <w:tcW w:w="1720" w:type="dxa"/>
            <w:vAlign w:val="bottom"/>
            <w:shd w:val="clear" w:color="auto" w:fill="000000"/>
          </w:tcPr>
          <w:p>
            <w:pPr>
              <w:ind w:left="280"/>
              <w:spacing w:after="0"/>
              <w:rPr>
                <w:sz w:val="20"/>
                <w:szCs w:val="20"/>
                <w:color w:val="auto"/>
              </w:rPr>
            </w:pPr>
            <w:r>
              <w:rPr>
                <w:rFonts w:ascii="Arial" w:cs="Arial" w:eastAsia="Arial" w:hAnsi="Arial"/>
                <w:sz w:val="14"/>
                <w:szCs w:val="14"/>
                <w:color w:val="FFFFFF"/>
              </w:rPr>
              <w:t>Beneficially Owned</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Outstanding</w:t>
            </w:r>
          </w:p>
        </w:tc>
        <w:tc>
          <w:tcPr>
            <w:tcW w:w="156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Beneficially Owned</w:t>
            </w:r>
          </w:p>
        </w:tc>
        <w:tc>
          <w:tcPr>
            <w:tcW w:w="12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Outstanding</w:t>
            </w:r>
          </w:p>
        </w:tc>
        <w:tc>
          <w:tcPr>
            <w:tcW w:w="1280" w:type="dxa"/>
            <w:vAlign w:val="bottom"/>
            <w:shd w:val="clear" w:color="auto" w:fill="000000"/>
          </w:tcPr>
          <w:p>
            <w:pPr>
              <w:spacing w:after="0"/>
              <w:rPr>
                <w:sz w:val="14"/>
                <w:szCs w:val="14"/>
                <w:color w:val="auto"/>
              </w:rPr>
            </w:pPr>
          </w:p>
        </w:tc>
      </w:tr>
      <w:tr>
        <w:trPr>
          <w:trHeight w:val="129"/>
        </w:trPr>
        <w:tc>
          <w:tcPr>
            <w:tcW w:w="3460" w:type="dxa"/>
            <w:vAlign w:val="bottom"/>
            <w:shd w:val="clear" w:color="auto" w:fill="000000"/>
          </w:tcPr>
          <w:p>
            <w:pPr>
              <w:spacing w:after="0"/>
              <w:rPr>
                <w:sz w:val="11"/>
                <w:szCs w:val="11"/>
                <w:color w:val="auto"/>
              </w:rPr>
            </w:pPr>
          </w:p>
        </w:tc>
        <w:tc>
          <w:tcPr>
            <w:tcW w:w="172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56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280" w:type="dxa"/>
            <w:vAlign w:val="bottom"/>
            <w:shd w:val="clear" w:color="auto" w:fill="000000"/>
          </w:tcPr>
          <w:p>
            <w:pPr>
              <w:spacing w:after="0"/>
              <w:rPr>
                <w:sz w:val="11"/>
                <w:szCs w:val="11"/>
                <w:color w:val="auto"/>
              </w:rPr>
            </w:pPr>
          </w:p>
        </w:tc>
      </w:tr>
      <w:tr>
        <w:trPr>
          <w:trHeight w:val="370"/>
        </w:trPr>
        <w:tc>
          <w:tcPr>
            <w:tcW w:w="3460" w:type="dxa"/>
            <w:vAlign w:val="bottom"/>
          </w:tcPr>
          <w:p>
            <w:pPr>
              <w:ind w:left="180"/>
              <w:spacing w:after="0"/>
              <w:rPr>
                <w:sz w:val="20"/>
                <w:szCs w:val="20"/>
                <w:color w:val="auto"/>
              </w:rPr>
            </w:pPr>
            <w:r>
              <w:rPr>
                <w:rFonts w:ascii="Arial" w:cs="Arial" w:eastAsia="Arial" w:hAnsi="Arial"/>
                <w:sz w:val="16"/>
                <w:szCs w:val="16"/>
                <w:color w:val="auto"/>
              </w:rPr>
              <w:t>Ori Winitzer</w:t>
            </w:r>
            <w:r>
              <w:rPr>
                <w:rFonts w:ascii="Arial" w:cs="Arial" w:eastAsia="Arial" w:hAnsi="Arial"/>
                <w:sz w:val="19"/>
                <w:szCs w:val="19"/>
                <w:color w:val="auto"/>
                <w:vertAlign w:val="superscript"/>
              </w:rPr>
              <w:t>(13)</w:t>
            </w:r>
          </w:p>
        </w:tc>
        <w:tc>
          <w:tcPr>
            <w:tcW w:w="1720" w:type="dxa"/>
            <w:vAlign w:val="bottom"/>
          </w:tcPr>
          <w:p>
            <w:pPr>
              <w:ind w:left="280"/>
              <w:spacing w:after="0"/>
              <w:rPr>
                <w:sz w:val="20"/>
                <w:szCs w:val="20"/>
                <w:color w:val="auto"/>
              </w:rPr>
            </w:pPr>
            <w:r>
              <w:rPr>
                <w:rFonts w:ascii="Arial" w:cs="Arial" w:eastAsia="Arial" w:hAnsi="Arial"/>
                <w:sz w:val="16"/>
                <w:szCs w:val="16"/>
                <w:color w:val="auto"/>
              </w:rPr>
              <w:t>32,258</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4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348"/>
        </w:trPr>
        <w:tc>
          <w:tcPr>
            <w:tcW w:w="3460" w:type="dxa"/>
            <w:vAlign w:val="bottom"/>
          </w:tcPr>
          <w:p>
            <w:pPr>
              <w:ind w:left="180"/>
              <w:spacing w:after="0"/>
              <w:rPr>
                <w:sz w:val="20"/>
                <w:szCs w:val="20"/>
                <w:color w:val="auto"/>
              </w:rPr>
            </w:pPr>
            <w:r>
              <w:rPr>
                <w:rFonts w:ascii="Arial" w:cs="Arial" w:eastAsia="Arial" w:hAnsi="Arial"/>
                <w:sz w:val="16"/>
                <w:szCs w:val="16"/>
                <w:color w:val="auto"/>
              </w:rPr>
              <w:t>Janet S. Wong</w:t>
            </w:r>
            <w:r>
              <w:rPr>
                <w:rFonts w:ascii="Arial" w:cs="Arial" w:eastAsia="Arial" w:hAnsi="Arial"/>
                <w:sz w:val="19"/>
                <w:szCs w:val="19"/>
                <w:color w:val="auto"/>
                <w:vertAlign w:val="superscript"/>
              </w:rPr>
              <w:t>(14)</w:t>
            </w:r>
          </w:p>
        </w:tc>
        <w:tc>
          <w:tcPr>
            <w:tcW w:w="1720" w:type="dxa"/>
            <w:vAlign w:val="bottom"/>
          </w:tcPr>
          <w:p>
            <w:pPr>
              <w:ind w:left="280"/>
              <w:spacing w:after="0"/>
              <w:rPr>
                <w:sz w:val="20"/>
                <w:szCs w:val="20"/>
                <w:color w:val="auto"/>
              </w:rPr>
            </w:pPr>
            <w:r>
              <w:rPr>
                <w:rFonts w:ascii="Arial" w:cs="Arial" w:eastAsia="Arial" w:hAnsi="Arial"/>
                <w:sz w:val="16"/>
                <w:szCs w:val="16"/>
                <w:color w:val="auto"/>
              </w:rPr>
              <w:t>53,289</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4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84"/>
        </w:trPr>
        <w:tc>
          <w:tcPr>
            <w:tcW w:w="3460" w:type="dxa"/>
            <w:vAlign w:val="bottom"/>
          </w:tcPr>
          <w:p>
            <w:pPr>
              <w:ind w:left="180"/>
              <w:spacing w:after="0"/>
              <w:rPr>
                <w:sz w:val="20"/>
                <w:szCs w:val="20"/>
                <w:color w:val="auto"/>
              </w:rPr>
            </w:pPr>
            <w:r>
              <w:rPr>
                <w:rFonts w:ascii="Arial" w:cs="Arial" w:eastAsia="Arial" w:hAnsi="Arial"/>
                <w:sz w:val="16"/>
                <w:szCs w:val="16"/>
                <w:color w:val="auto"/>
              </w:rPr>
              <w:t>Lisa M. Lambert</w:t>
            </w:r>
          </w:p>
        </w:tc>
        <w:tc>
          <w:tcPr>
            <w:tcW w:w="1720" w:type="dxa"/>
            <w:vAlign w:val="bottom"/>
          </w:tcPr>
          <w:p>
            <w:pPr>
              <w:ind w:left="28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15"/>
        </w:trPr>
        <w:tc>
          <w:tcPr>
            <w:tcW w:w="34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348"/>
        </w:trPr>
        <w:tc>
          <w:tcPr>
            <w:tcW w:w="3460" w:type="dxa"/>
            <w:vAlign w:val="bottom"/>
          </w:tcPr>
          <w:p>
            <w:pPr>
              <w:ind w:left="180"/>
              <w:spacing w:after="0"/>
              <w:rPr>
                <w:sz w:val="20"/>
                <w:szCs w:val="20"/>
                <w:color w:val="auto"/>
              </w:rPr>
            </w:pPr>
            <w:r>
              <w:rPr>
                <w:rFonts w:ascii="Arial" w:cs="Arial" w:eastAsia="Arial" w:hAnsi="Arial"/>
                <w:sz w:val="16"/>
                <w:szCs w:val="16"/>
                <w:color w:val="auto"/>
              </w:rPr>
              <w:t>Glenn R. August, former director</w:t>
            </w:r>
            <w:r>
              <w:rPr>
                <w:rFonts w:ascii="Arial" w:cs="Arial" w:eastAsia="Arial" w:hAnsi="Arial"/>
                <w:sz w:val="19"/>
                <w:szCs w:val="19"/>
                <w:color w:val="auto"/>
                <w:vertAlign w:val="superscript"/>
              </w:rPr>
              <w:t>(15)</w:t>
            </w:r>
          </w:p>
        </w:tc>
        <w:tc>
          <w:tcPr>
            <w:tcW w:w="1720" w:type="dxa"/>
            <w:vAlign w:val="bottom"/>
          </w:tcPr>
          <w:p>
            <w:pPr>
              <w:ind w:left="280"/>
              <w:spacing w:after="0"/>
              <w:rPr>
                <w:sz w:val="20"/>
                <w:szCs w:val="20"/>
                <w:color w:val="auto"/>
              </w:rPr>
            </w:pPr>
            <w:r>
              <w:rPr>
                <w:rFonts w:ascii="Arial" w:cs="Arial" w:eastAsia="Arial" w:hAnsi="Arial"/>
                <w:sz w:val="16"/>
                <w:szCs w:val="16"/>
                <w:color w:val="auto"/>
              </w:rPr>
              <w:t>13,908,128</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1"/>
        </w:trPr>
        <w:tc>
          <w:tcPr>
            <w:tcW w:w="34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7"/>
        </w:trPr>
        <w:tc>
          <w:tcPr>
            <w:tcW w:w="3460" w:type="dxa"/>
            <w:vAlign w:val="bottom"/>
          </w:tcPr>
          <w:p>
            <w:pPr>
              <w:ind w:left="180"/>
              <w:spacing w:after="0"/>
              <w:rPr>
                <w:sz w:val="20"/>
                <w:szCs w:val="20"/>
                <w:color w:val="auto"/>
              </w:rPr>
            </w:pPr>
            <w:r>
              <w:rPr>
                <w:rFonts w:ascii="Arial" w:cs="Arial" w:eastAsia="Arial" w:hAnsi="Arial"/>
                <w:sz w:val="16"/>
                <w:szCs w:val="16"/>
                <w:color w:val="auto"/>
              </w:rPr>
              <w:t>All executive officers and directors as a</w:t>
            </w:r>
          </w:p>
        </w:tc>
        <w:tc>
          <w:tcPr>
            <w:tcW w:w="1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97"/>
        </w:trPr>
        <w:tc>
          <w:tcPr>
            <w:tcW w:w="3460" w:type="dxa"/>
            <w:vAlign w:val="bottom"/>
          </w:tcPr>
          <w:p>
            <w:pPr>
              <w:ind w:left="180"/>
              <w:spacing w:after="0"/>
              <w:rPr>
                <w:sz w:val="20"/>
                <w:szCs w:val="20"/>
                <w:color w:val="auto"/>
              </w:rPr>
            </w:pPr>
            <w:r>
              <w:rPr>
                <w:rFonts w:ascii="Arial" w:cs="Arial" w:eastAsia="Arial" w:hAnsi="Arial"/>
                <w:sz w:val="16"/>
                <w:szCs w:val="16"/>
                <w:color w:val="auto"/>
              </w:rPr>
              <w:t>group (11 persons)</w:t>
            </w:r>
          </w:p>
        </w:tc>
        <w:tc>
          <w:tcPr>
            <w:tcW w:w="1720" w:type="dxa"/>
            <w:vAlign w:val="bottom"/>
          </w:tcPr>
          <w:p>
            <w:pPr>
              <w:ind w:left="280"/>
              <w:spacing w:after="0"/>
              <w:rPr>
                <w:sz w:val="20"/>
                <w:szCs w:val="20"/>
                <w:color w:val="auto"/>
              </w:rPr>
            </w:pPr>
            <w:r>
              <w:rPr>
                <w:rFonts w:ascii="Arial" w:cs="Arial" w:eastAsia="Arial" w:hAnsi="Arial"/>
                <w:sz w:val="16"/>
                <w:szCs w:val="16"/>
                <w:color w:val="auto"/>
              </w:rPr>
              <w:t>2,257,459,142</w:t>
            </w:r>
          </w:p>
        </w:tc>
        <w:tc>
          <w:tcPr>
            <w:tcW w:w="1200" w:type="dxa"/>
            <w:vAlign w:val="bottom"/>
          </w:tcPr>
          <w:p>
            <w:pPr>
              <w:ind w:left="120"/>
              <w:spacing w:after="0"/>
              <w:rPr>
                <w:sz w:val="20"/>
                <w:szCs w:val="20"/>
                <w:color w:val="auto"/>
              </w:rPr>
            </w:pPr>
            <w:r>
              <w:rPr>
                <w:rFonts w:ascii="Arial" w:cs="Arial" w:eastAsia="Arial" w:hAnsi="Arial"/>
                <w:sz w:val="16"/>
                <w:szCs w:val="16"/>
                <w:color w:val="auto"/>
              </w:rPr>
              <w:t>64%</w:t>
            </w:r>
          </w:p>
        </w:tc>
        <w:tc>
          <w:tcPr>
            <w:tcW w:w="1560" w:type="dxa"/>
            <w:vAlign w:val="bottom"/>
          </w:tcPr>
          <w:p>
            <w:pPr>
              <w:ind w:left="120"/>
              <w:spacing w:after="0"/>
              <w:rPr>
                <w:sz w:val="20"/>
                <w:szCs w:val="20"/>
                <w:color w:val="auto"/>
              </w:rPr>
            </w:pPr>
            <w:r>
              <w:rPr>
                <w:rFonts w:ascii="Arial" w:cs="Arial" w:eastAsia="Arial" w:hAnsi="Arial"/>
                <w:sz w:val="16"/>
                <w:szCs w:val="16"/>
                <w:color w:val="auto"/>
              </w:rPr>
              <w:t>175,000</w:t>
            </w:r>
          </w:p>
        </w:tc>
        <w:tc>
          <w:tcPr>
            <w:tcW w:w="1200" w:type="dxa"/>
            <w:vAlign w:val="bottom"/>
          </w:tcPr>
          <w:p>
            <w:pPr>
              <w:ind w:left="120"/>
              <w:spacing w:after="0"/>
              <w:rPr>
                <w:sz w:val="20"/>
                <w:szCs w:val="20"/>
                <w:color w:val="auto"/>
              </w:rPr>
            </w:pPr>
            <w:r>
              <w:rPr>
                <w:rFonts w:ascii="Arial" w:cs="Arial" w:eastAsia="Arial" w:hAnsi="Arial"/>
                <w:sz w:val="16"/>
                <w:szCs w:val="16"/>
                <w:color w:val="auto"/>
              </w:rPr>
              <w:t>100%</w:t>
            </w:r>
          </w:p>
        </w:tc>
        <w:tc>
          <w:tcPr>
            <w:tcW w:w="1280" w:type="dxa"/>
            <w:vAlign w:val="bottom"/>
          </w:tcPr>
          <w:p>
            <w:pPr>
              <w:ind w:left="120"/>
              <w:spacing w:after="0"/>
              <w:rPr>
                <w:sz w:val="20"/>
                <w:szCs w:val="20"/>
                <w:color w:val="auto"/>
              </w:rPr>
            </w:pPr>
            <w:r>
              <w:rPr>
                <w:rFonts w:ascii="Arial" w:cs="Arial" w:eastAsia="Arial" w:hAnsi="Arial"/>
                <w:sz w:val="16"/>
                <w:szCs w:val="16"/>
                <w:color w:val="auto"/>
              </w:rPr>
              <w:t>64%</w:t>
            </w:r>
          </w:p>
        </w:tc>
      </w:tr>
      <w:tr>
        <w:trPr>
          <w:trHeight w:val="138"/>
        </w:trPr>
        <w:tc>
          <w:tcPr>
            <w:tcW w:w="34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2372360</wp:posOffset>
                </wp:positionH>
                <wp:positionV relativeFrom="paragraph">
                  <wp:posOffset>-1941830</wp:posOffset>
                </wp:positionV>
                <wp:extent cx="16033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337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8pt,-152.8999pt" to="313.05pt,-152.89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4127500</wp:posOffset>
                </wp:positionH>
                <wp:positionV relativeFrom="paragraph">
                  <wp:posOffset>-1941830</wp:posOffset>
                </wp:positionV>
                <wp:extent cx="16033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3375"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pt,-152.8999pt" to="451.25pt,-152.8999pt" o:allowincell="f" strokecolor="#FFFFFF" strokeweight="0.499pt"/>
            </w:pict>
          </mc:Fallback>
        </mc:AlternateContent>
      </w:r>
    </w:p>
    <w:p>
      <w:pPr>
        <w:spacing w:after="0" w:line="293" w:lineRule="exact"/>
        <w:rPr>
          <w:sz w:val="20"/>
          <w:szCs w:val="20"/>
          <w:color w:val="auto"/>
        </w:rPr>
      </w:pPr>
    </w:p>
    <w:p>
      <w:pPr>
        <w:ind w:left="2"/>
        <w:spacing w:after="0"/>
        <w:rPr>
          <w:sz w:val="20"/>
          <w:szCs w:val="20"/>
          <w:color w:val="auto"/>
        </w:rPr>
      </w:pPr>
      <w:r>
        <w:rPr>
          <w:rFonts w:ascii="Arial" w:cs="Arial" w:eastAsia="Arial" w:hAnsi="Arial"/>
          <w:sz w:val="12"/>
          <w:szCs w:val="12"/>
          <w:color w:val="auto"/>
        </w:rPr>
        <w:t>* Less than 1%</w:t>
      </w:r>
    </w:p>
    <w:p>
      <w:pPr>
        <w:spacing w:after="0" w:line="62" w:lineRule="exact"/>
        <w:rPr>
          <w:sz w:val="20"/>
          <w:szCs w:val="20"/>
          <w:color w:val="auto"/>
        </w:rPr>
      </w:pPr>
    </w:p>
    <w:p>
      <w:pPr>
        <w:ind w:left="142" w:hanging="142"/>
        <w:spacing w:after="0"/>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Unless otherwise noted, the business address of each of the following entities or individuals is c/o Lucid Group, Inc., 7373 Gateway Boulevard, Newark, CA 94560.</w:t>
      </w:r>
    </w:p>
    <w:p>
      <w:pPr>
        <w:spacing w:after="0" w:line="103" w:lineRule="exact"/>
        <w:rPr>
          <w:rFonts w:ascii="Arial" w:cs="Arial" w:eastAsia="Arial" w:hAnsi="Arial"/>
          <w:sz w:val="17"/>
          <w:szCs w:val="17"/>
          <w:color w:val="auto"/>
          <w:vertAlign w:val="superscript"/>
        </w:rPr>
      </w:pPr>
    </w:p>
    <w:p>
      <w:pPr>
        <w:ind w:left="142" w:hanging="142"/>
        <w:spacing w:after="0" w:line="252" w:lineRule="auto"/>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PIF has sole voting power over 8,041,393 shares of Common Stock held directly by PIF, shared voting power over 2,248,197,909 shares of Common Stock held by Ayar, including 304,262,653 shares of Common Stock issuable upon conversion of the Series A Convertible Preferred Stock and 181,087,965 shares of Common Stock issuable upon conversion of the Series B Convertible Preferred Stock, aggregating to a beneficial ownership of 2,256,239,302 shares of Common Stock held either by PIF or Ayar. The number of shares of Common Stock issuable upon conversion of the Series A Convertible Preferred Stock and Series B Convertible Preferred Stock reflects increases in the compounded returns on the shares of Series A Convertible Preferred Stock and Series B Convertible Preferred Stock in accordance with the terms thereof. PIF is the sovereign wealth fund of the Kingdom of Saudi Arabia. Ayar is a wholly owned subsidiary of PIF. The Board of Directors of PIF has dispositive power over the shares held by PIF and Ayar. Mr. Turqi A. Alnowaiser and Mr. Yasir Alsalman are the co-managers of Ayar, and in such capacity have the authority to vote the securities held by Ayar. Neither Mr. Alnowaiser nor Mr. Alsalman has individual dispositive power with respect to any securities held by Ayar, and each disclaims beneficial ownership of the shares held by Ayar. PIF disclaims beneficial ownership of the Ayar securities except to the extent of its pecuniary interest therein. Interests shown do not include 2,117,270 shares of Common Stock held by Mr. Alnowaiser or 401,454 shares of Common Stock held by Mr. Yasir Alsalman. The business address for PIF is Alr’idah Digital City, Building MU04, Al Nakhil District, P.O. Box 6847, Riyadh 11452, The Kingdom of Saudi Arabia.</w:t>
      </w:r>
    </w:p>
    <w:p>
      <w:pPr>
        <w:spacing w:after="0" w:line="238" w:lineRule="exact"/>
        <w:rPr>
          <w:rFonts w:ascii="Arial" w:cs="Arial" w:eastAsia="Arial" w:hAnsi="Arial"/>
          <w:sz w:val="17"/>
          <w:szCs w:val="17"/>
          <w:color w:val="auto"/>
          <w:vertAlign w:val="superscript"/>
        </w:rPr>
      </w:pPr>
    </w:p>
    <w:p>
      <w:pPr>
        <w:ind w:left="142" w:right="160" w:hanging="142"/>
        <w:spacing w:after="0" w:line="212" w:lineRule="auto"/>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13,918,236 shares of Common Stock and 10,949,655 shares of Common Stock subject to option awards that are currently exercisable or exercisable within 60 days of March 31, 2025.</w:t>
      </w:r>
    </w:p>
    <w:p>
      <w:pPr>
        <w:spacing w:after="0" w:line="104" w:lineRule="exact"/>
        <w:rPr>
          <w:rFonts w:ascii="Arial" w:cs="Arial" w:eastAsia="Arial" w:hAnsi="Arial"/>
          <w:sz w:val="17"/>
          <w:szCs w:val="17"/>
          <w:color w:val="auto"/>
          <w:vertAlign w:val="superscript"/>
        </w:rPr>
      </w:pPr>
    </w:p>
    <w:p>
      <w:pPr>
        <w:ind w:left="142" w:right="240" w:hanging="142"/>
        <w:spacing w:after="0"/>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271,017 shares of Common Stock and 56,758 shares of Common Stock subject to option awards that are currently exercisable or exercisable within 60 days of March 31, 2025.</w:t>
      </w:r>
    </w:p>
    <w:p>
      <w:pPr>
        <w:spacing w:after="0" w:line="193" w:lineRule="exact"/>
        <w:rPr>
          <w:rFonts w:ascii="Arial" w:cs="Arial" w:eastAsia="Arial" w:hAnsi="Arial"/>
          <w:sz w:val="17"/>
          <w:szCs w:val="17"/>
          <w:color w:val="auto"/>
          <w:vertAlign w:val="superscript"/>
        </w:rPr>
      </w:pPr>
    </w:p>
    <w:p>
      <w:pPr>
        <w:ind w:left="142" w:right="180" w:hanging="142"/>
        <w:spacing w:after="0"/>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491,665 shares of Common Stock and 252,843 shares of Common Stock subject to option awards that are currently exercisable or exercisable within 60 days of March 31, 2025.</w:t>
      </w:r>
    </w:p>
    <w:p>
      <w:pPr>
        <w:spacing w:after="0" w:line="193" w:lineRule="exact"/>
        <w:rPr>
          <w:rFonts w:ascii="Arial" w:cs="Arial" w:eastAsia="Arial" w:hAnsi="Arial"/>
          <w:sz w:val="17"/>
          <w:szCs w:val="17"/>
          <w:color w:val="auto"/>
          <w:vertAlign w:val="superscript"/>
        </w:rPr>
      </w:pPr>
    </w:p>
    <w:p>
      <w:pPr>
        <w:ind w:left="142" w:right="320" w:hanging="142"/>
        <w:spacing w:after="0" w:line="212" w:lineRule="auto"/>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1,757,540 shares of Common Stock and 2,934,829 shares of Common Stock subject to option awards that are currently exercisable or exercisable within 60 days of March 31, 2025.</w:t>
      </w:r>
    </w:p>
    <w:p>
      <w:pPr>
        <w:spacing w:after="0" w:line="55" w:lineRule="exact"/>
        <w:rPr>
          <w:rFonts w:ascii="Arial" w:cs="Arial" w:eastAsia="Arial" w:hAnsi="Arial"/>
          <w:sz w:val="17"/>
          <w:szCs w:val="17"/>
          <w:color w:val="auto"/>
          <w:vertAlign w:val="superscript"/>
        </w:rPr>
      </w:pPr>
    </w:p>
    <w:p>
      <w:pPr>
        <w:ind w:left="142" w:hanging="142"/>
        <w:spacing w:after="0"/>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744,334 shares of Common Stock.</w:t>
      </w:r>
    </w:p>
    <w:p>
      <w:pPr>
        <w:spacing w:after="0" w:line="103" w:lineRule="exact"/>
        <w:rPr>
          <w:rFonts w:ascii="Arial" w:cs="Arial" w:eastAsia="Arial" w:hAnsi="Arial"/>
          <w:sz w:val="17"/>
          <w:szCs w:val="17"/>
          <w:color w:val="auto"/>
          <w:vertAlign w:val="superscript"/>
        </w:rPr>
      </w:pPr>
    </w:p>
    <w:p>
      <w:pPr>
        <w:ind w:left="142" w:right="20" w:hanging="142"/>
        <w:spacing w:after="0"/>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(i) 2,117,270 shares of Common Stock held by Mr. Alnowaiser (which does not include 96,822 RSUs that will not vest in the next 60 days, as reported on the Schedule 13D/A filed with the SEC on November 4, 2024 by PIF) and (ii) 2,248,197,909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(2) above.</w:t>
      </w:r>
    </w:p>
    <w:p>
      <w:pPr>
        <w:spacing w:after="0" w:line="220" w:lineRule="exact"/>
        <w:rPr>
          <w:rFonts w:ascii="Arial" w:cs="Arial" w:eastAsia="Arial" w:hAnsi="Arial"/>
          <w:sz w:val="17"/>
          <w:szCs w:val="17"/>
          <w:color w:val="auto"/>
          <w:vertAlign w:val="superscript"/>
        </w:rPr>
      </w:pPr>
    </w:p>
    <w:p>
      <w:pPr>
        <w:ind w:left="142" w:hanging="142"/>
        <w:spacing w:after="0" w:line="235" w:lineRule="auto"/>
        <w:tabs>
          <w:tab w:leader="none" w:pos="14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(i) 546,481 shares of Common Stock held by Mr. Liveris, (ii) 42,083 shares of Common Stock subject to RSUs for which the settlement has been deferred, and (ii) 400,000 shares of Common Stock and 363,347 shares of Common Stock issuable upon exercise of warrants to purchase shares of Common Stock held by Liveris Capital Partners LLC. Mr. Liveris has investment control over Liveris Capital Partners and disclaims beneficial ownership of such shares and warrants held by Liveris Capital Partners LLC. The business address for Liveris Capital Partners LLC is c/o BDO 225NE Mizner Blvd, Suite 685, Boca Raton, FL 33432.</w:t>
      </w:r>
    </w:p>
    <w:p>
      <w:pPr>
        <w:spacing w:after="0" w:line="105" w:lineRule="exact"/>
        <w:rPr>
          <w:rFonts w:ascii="Arial" w:cs="Arial" w:eastAsia="Arial" w:hAnsi="Arial"/>
          <w:sz w:val="17"/>
          <w:szCs w:val="17"/>
          <w:color w:val="auto"/>
          <w:vertAlign w:val="superscript"/>
        </w:rPr>
      </w:pPr>
    </w:p>
    <w:p>
      <w:pPr>
        <w:ind w:left="202" w:right="200" w:hanging="202"/>
        <w:spacing w:after="0"/>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(i) 16,129 shares of Common Stock held by Mr. Marakby and (ii) 16,129 shares of Common Stock subject to RSUs for which the settlement has been deferred.</w:t>
      </w:r>
    </w:p>
    <w:p>
      <w:pPr>
        <w:spacing w:after="0" w:line="193" w:lineRule="exact"/>
        <w:rPr>
          <w:rFonts w:ascii="Arial" w:cs="Arial" w:eastAsia="Arial" w:hAnsi="Arial"/>
          <w:sz w:val="17"/>
          <w:szCs w:val="17"/>
          <w:color w:val="auto"/>
          <w:vertAlign w:val="superscript"/>
        </w:rPr>
      </w:pPr>
    </w:p>
    <w:p>
      <w:pPr>
        <w:ind w:left="202" w:right="120" w:hanging="202"/>
        <w:spacing w:after="0"/>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(i) 11,206 shares of Common Stock held by Ms. Maynard-Elliott and (ii) 42,083 shares of Common Stock subject to RSUs for which the settlement has been deferred.</w:t>
      </w:r>
    </w:p>
    <w:p>
      <w:pPr>
        <w:spacing w:after="0" w:line="144" w:lineRule="exact"/>
        <w:rPr>
          <w:rFonts w:ascii="Arial" w:cs="Arial" w:eastAsia="Arial" w:hAnsi="Arial"/>
          <w:sz w:val="17"/>
          <w:szCs w:val="17"/>
          <w:color w:val="auto"/>
          <w:vertAlign w:val="superscript"/>
        </w:rPr>
      </w:pPr>
    </w:p>
    <w:p>
      <w:pPr>
        <w:ind w:left="202" w:hanging="202"/>
        <w:spacing w:after="0"/>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29,914 shares of Common Stock.</w:t>
      </w:r>
    </w:p>
    <w:p>
      <w:pPr>
        <w:spacing w:after="0" w:line="72" w:lineRule="exact"/>
        <w:rPr>
          <w:rFonts w:ascii="Arial" w:cs="Arial" w:eastAsia="Arial" w:hAnsi="Arial"/>
          <w:sz w:val="17"/>
          <w:szCs w:val="17"/>
          <w:color w:val="auto"/>
          <w:vertAlign w:val="superscript"/>
        </w:rPr>
      </w:pPr>
    </w:p>
    <w:p>
      <w:pPr>
        <w:ind w:left="202" w:hanging="202"/>
        <w:spacing w:after="0" w:line="217" w:lineRule="auto"/>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32,258 shares of Common Stock.</w:t>
      </w:r>
    </w:p>
    <w:p>
      <w:pPr>
        <w:spacing w:after="0" w:line="72" w:lineRule="exact"/>
        <w:rPr>
          <w:rFonts w:ascii="Arial" w:cs="Arial" w:eastAsia="Arial" w:hAnsi="Arial"/>
          <w:sz w:val="17"/>
          <w:szCs w:val="17"/>
          <w:color w:val="auto"/>
          <w:vertAlign w:val="superscript"/>
        </w:rPr>
      </w:pPr>
    </w:p>
    <w:p>
      <w:pPr>
        <w:ind w:left="202" w:hanging="202"/>
        <w:spacing w:after="0" w:line="217" w:lineRule="auto"/>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53,289 shares of Common Stock.</w:t>
      </w:r>
    </w:p>
    <w:p>
      <w:pPr>
        <w:spacing w:after="0" w:line="103" w:lineRule="exact"/>
        <w:rPr>
          <w:rFonts w:ascii="Arial" w:cs="Arial" w:eastAsia="Arial" w:hAnsi="Arial"/>
          <w:sz w:val="17"/>
          <w:szCs w:val="17"/>
          <w:color w:val="auto"/>
          <w:vertAlign w:val="superscript"/>
        </w:rPr>
      </w:pPr>
    </w:p>
    <w:p>
      <w:pPr>
        <w:ind w:left="202" w:right="60" w:hanging="202"/>
        <w:spacing w:after="0"/>
        <w:tabs>
          <w:tab w:leader="none" w:pos="202"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Interests shown consist of (i) 49,554 shares of Common Stock held by Mr. August and (ii) 7,000,000 shares of Common Stock and 6,858,574 shares of Common Stock issuable upon exercise of warrants to purchase shares of Common Stock held by OHA Partner Global Co-Investment III, LLP (“OHA PGCI3”). Mr. August has investment control over OHA PGCI3 and may be deemed to be a beneficial owner of such shares and warrants held by OHA PGCI3. The business address for OHA PGCI3 is OHA PGCI3, c/o Oak Hill Advisors, L.P., 1 Vanderbilt Avenue16th Floor, NYC, NY 10017.</w:t>
      </w:r>
    </w:p>
    <w:p>
      <w:pPr>
        <w:sectPr>
          <w:pgSz w:w="11880" w:h="15480" w:orient="portrait"/>
          <w:cols w:equalWidth="0" w:num="1">
            <w:col w:w="10422"/>
          </w:cols>
          <w:pgMar w:left="718" w:top="99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
        <w:spacing w:after="0"/>
        <w:tabs>
          <w:tab w:leader="none" w:pos="1022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77</w:t>
      </w:r>
    </w:p>
    <w:p>
      <w:pPr>
        <w:sectPr>
          <w:pgSz w:w="11880" w:h="15480" w:orient="portrait"/>
          <w:cols w:equalWidth="0" w:num="1">
            <w:col w:w="10422"/>
          </w:cols>
          <w:pgMar w:left="718" w:top="997" w:right="74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40"/>
          <w:szCs w:val="40"/>
          <w:color w:val="auto"/>
        </w:rPr>
        <w:t>Certain Relationships and Related Party Transactions</w:t>
      </w:r>
    </w:p>
    <w:p>
      <w:pPr>
        <w:spacing w:after="0" w:line="200" w:lineRule="exact"/>
        <w:rPr>
          <w:sz w:val="20"/>
          <w:szCs w:val="20"/>
          <w:color w:val="auto"/>
        </w:rPr>
      </w:pPr>
    </w:p>
    <w:p>
      <w:pPr>
        <w:spacing w:after="0" w:line="24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or currently proposed, to which we were a party or will be a party, in which: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amount involved exceeds $120,000; and</w:t>
      </w:r>
    </w:p>
    <w:p>
      <w:pPr>
        <w:spacing w:after="0" w:line="164" w:lineRule="exact"/>
        <w:rPr>
          <w:sz w:val="20"/>
          <w:szCs w:val="20"/>
          <w:color w:val="auto"/>
        </w:rPr>
      </w:pPr>
    </w:p>
    <w:p>
      <w:pPr>
        <w:ind w:left="180" w:right="20"/>
        <w:spacing w:after="0" w:line="293" w:lineRule="auto"/>
        <w:rPr>
          <w:sz w:val="20"/>
          <w:szCs w:val="20"/>
          <w:color w:val="auto"/>
        </w:rPr>
      </w:pPr>
      <w:r>
        <w:rPr>
          <w:rFonts w:ascii="Arial" w:cs="Arial" w:eastAsia="Arial" w:hAnsi="Arial"/>
          <w:sz w:val="18"/>
          <w:szCs w:val="18"/>
          <w:color w:val="auto"/>
        </w:rPr>
        <w:t>any of our directors, director nominees, executive officers, beneficial holders of more than 5% of any class of our capital stock who had or will have a direct or indirect material interest, or any immediate family member of the foregoing persons.</w:t>
      </w:r>
    </w:p>
    <w:p>
      <w:pPr>
        <w:spacing w:after="0" w:line="200" w:lineRule="exact"/>
        <w:rPr>
          <w:sz w:val="20"/>
          <w:szCs w:val="20"/>
          <w:color w:val="auto"/>
        </w:rPr>
      </w:pPr>
    </w:p>
    <w:p>
      <w:pPr>
        <w:spacing w:after="0" w:line="2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Compensation arrangements are described where required under the sections entitled “Director Compensation” and “Executive Compensation.”</w:t>
      </w:r>
    </w:p>
    <w:p>
      <w:pPr>
        <w:spacing w:after="0" w:line="207"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As referred to in this section, the Public Investment Fund (“PIF”) is an instrumentality of the Kingdom of Saudi Arabia with financial autonomy, as well as independence, in carrying out its investment management and operations activities. Ayar Third Investment Company (“Ayar”) is a wholly-owned subsidiary of PIF.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Saudi Arabia Manufacturing Facility Lease</w:t>
      </w:r>
    </w:p>
    <w:p>
      <w:pPr>
        <w:spacing w:after="0" w:line="193" w:lineRule="exact"/>
        <w:rPr>
          <w:sz w:val="20"/>
          <w:szCs w:val="20"/>
          <w:color w:val="auto"/>
        </w:rPr>
      </w:pPr>
    </w:p>
    <w:p>
      <w:pPr>
        <w:jc w:val="both"/>
        <w:ind w:right="240"/>
        <w:spacing w:after="0" w:line="273" w:lineRule="auto"/>
        <w:rPr>
          <w:sz w:val="20"/>
          <w:szCs w:val="20"/>
          <w:color w:val="auto"/>
        </w:rPr>
      </w:pPr>
      <w:r>
        <w:rPr>
          <w:rFonts w:ascii="Arial" w:cs="Arial" w:eastAsia="Arial" w:hAnsi="Arial"/>
          <w:sz w:val="18"/>
          <w:szCs w:val="18"/>
          <w:color w:val="auto"/>
        </w:rPr>
        <w:t>On February 27, 2022, we announced that we selected King Abdullah Economic City (“KAEC”) in Saudi Arabia as the location of our first international manufacturing plant and, through our subsidiary, entered into a development lease agreement with Emaar, The Economic City (“Emaar”) at KAEC. PIF owns an approximately 25% interest in Emaar, the developer of KAEC. We expect to make payments under the agreement in the aggregate amount of approximately</w:t>
      </w:r>
    </w:p>
    <w:p>
      <w:pPr>
        <w:ind w:right="20"/>
        <w:spacing w:after="0" w:line="287" w:lineRule="auto"/>
        <w:rPr>
          <w:sz w:val="20"/>
          <w:szCs w:val="20"/>
          <w:color w:val="auto"/>
        </w:rPr>
      </w:pPr>
      <w:r>
        <w:rPr>
          <w:rFonts w:ascii="Arial" w:cs="Arial" w:eastAsia="Arial" w:hAnsi="Arial"/>
          <w:sz w:val="18"/>
          <w:szCs w:val="18"/>
          <w:color w:val="auto"/>
        </w:rPr>
        <w:t>SAR 62 million (approximately $16.6 million). During the fiscal year ended December 31, 2024, we made payments under the agreement in the aggregate of approximately SAR 5,422 ($1,443) (exclusive of VAT and service charges).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Gulf International Bank Facility Agreement</w:t>
      </w:r>
    </w:p>
    <w:p>
      <w:pPr>
        <w:spacing w:after="0" w:line="19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On April 29, 2022, our subsidiary Lucid LLC entered into a revolving credit facility agreement (the “GIB Facility Agreement”) with Gulf International Bank Saudi Arabia (“GIB”), maturing on February 28, 2025. PIF owns approximately 98% interest in GIB.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was available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 to 3-month SAIBOR and associated fees.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12, 2023, Lucid LLC entered into an amendment of the GIB Facility Agreement (together with the GIB Facility Agreement, the “2023 GIB Facility Agreement”) to combine the Bridge Facility and the Working Capital Facility into a committed SAR 1 billion (approximately $266.1 million) revolving credit facility (the “2023 GIB Credit Facility”) which may be used for general corporate purposes. Loans under the 2023 GIB Facility Agreement have a maturity of no more than 12 months and bear interest at a rate of 1.40% per annum over SAIBOR (based on the term of borrowing) and associated fees.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February 24, 2025, Lucid LLC entered into an agreement with GIB to renew the 2023 GIB Credit Facility (the “2025</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GIB Credit Facility Agreement,” and together with the 2023 GIB Facility Agreement, the “Amended GIB Facility Agreement”),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maturing on February 24, 2028, to increase the credit facility committed amount from SAR 1.0 billion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$266.1 million) to SAR 1.9 billion (approximately $506.7 million) (the “2025 GIB Credit Facility”). Loans under the 2025</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GIB Credit Facility Agreement may be used for general corporate purposes, have a maturity of no more than 12 months,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bear interest at a rate of 1.40% per annum over SAIBOR (based on the term of borrowing) and associated fees.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Company is required to pay a quarterly commitment fee of 0.25% per annum based on the unutilized portion of the 2025</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GIB Credit Facility.</w:t>
      </w:r>
    </w:p>
    <w:p>
      <w:pPr>
        <w:spacing w:after="0" w:line="2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largest aggregate amount of principal outstanding under the Amended GIB Facility Agreement during fiscal year 2024 was SAR 475 million (approximately $126.4 million). During fiscal year 2024, we paid SAR 18.0 million (approximately</w:t>
      </w:r>
    </w:p>
    <w:p>
      <w:pPr>
        <w:sectPr>
          <w:pgSz w:w="11880" w:h="15480" w:orient="portrait"/>
          <w:cols w:equalWidth="0" w:num="1">
            <w:col w:w="10440"/>
          </w:cols>
          <w:pgMar w:left="720" w:top="876" w:right="720" w:bottom="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40"/>
          </w:cols>
          <w:pgMar w:left="720" w:top="876" w:right="720" w:bottom="0" w:gutter="0" w:footer="0" w:header="0"/>
          <w:type w:val="continuous"/>
        </w:sectPr>
      </w:pPr>
    </w:p>
    <w:bookmarkStart w:id="84" w:name="page85"/>
    <w:bookmarkEnd w:id="84"/>
    <w:p>
      <w:pPr>
        <w:ind w:right="300"/>
        <w:spacing w:after="0" w:line="271" w:lineRule="auto"/>
        <w:rPr>
          <w:sz w:val="20"/>
          <w:szCs w:val="20"/>
          <w:color w:val="auto"/>
        </w:rPr>
      </w:pPr>
      <w:r>
        <w:rPr>
          <w:rFonts w:ascii="Arial" w:cs="Arial" w:eastAsia="Arial" w:hAnsi="Arial"/>
          <w:sz w:val="18"/>
          <w:szCs w:val="18"/>
          <w:color w:val="auto"/>
        </w:rPr>
        <w:t>$4.8 million) of interest under the Amended GIB Facility Agreement. As of December 31, 2024, we had outstanding borrowings of SAR 475 million (approximately $126.4 million) with weighted average interest rate of 7.04%. As of December 31, 2024, availability under the GIB Credit Facility was SAR 523 million (approximately $139.2 million), after giving effect to the outstanding letters of credit.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Construction Service Contract</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On July 1, 2022, Lucid LLC entered into a master services agreement and related agreements with Al Bawani Company Limited (“Al Bawani”) for certain design and construction services in connection with the development of AMP-2. PIF owns an approximately 33% interest in Al Bawani. The capital expenditures incurred to date under these agreements were SAR 865.2 million (approximately $230.3 million) as of December 31, 2024. Net advance payments made to Al Bawani under these agreements were SAR 129.6 million (approximately $34.5 million) as of December 31,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2024 Subscription Agreement</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On March 24, 2024, we entered into a subscription agreement (the “March 2024 Subscription Agreement”) with Ayar, pursuant to which Ayar agreed to purchase 100,000 shares of our Series A Convertible Preferred Stock, par value $0.0001 per share (“Series A Convertible Preferred Stock”), for an aggregate purchase price of $1,000,000,000 in a private placement. On March 29, 2024, we issued the shares of Series A Convertible Preferred Stock pursuant to the March 2024 Subscription Agreement and received aggregate net proceeds of $997.6 million after deducting issuance cost of</w:t>
      </w:r>
    </w:p>
    <w:p>
      <w:pPr>
        <w:spacing w:after="0" w:line="1"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color w:val="auto"/>
        </w:rPr>
        <w:t>$2.4 million. Ayar agreed not to sell, transfer, pledge or otherwise dispose of shares of Common Stock they hold or receive for a period of 12 months after the date of the private placement.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August 2024 Subscription Agreement</w:t>
      </w:r>
    </w:p>
    <w:p>
      <w:pPr>
        <w:spacing w:after="0" w:line="1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4, 2024, we entered into a subscription agreement (the “August 2024 Subscription Agreement”) with Ayar, pursuant to which Ayar agreed to purchase 75,000 shares of our Series B Convertible Preferred Stock, par value $0.0001 per share (“Series B Convertible Preferred Stock” and together with Series A Convertible Preferred Stock, the “Convertible Preferred Stock”), for an aggregate purchase price of $750.0 million in a private placement. On August 16, 2024, we issued the shares of Series B Convertible Preferred Stock pursuant to the August 2024 Subscription Agreement and received net proceeds of $749.4 million after deducting issuance costs of $0.6 million. Ayar agreed not to sell, transfer, pledge or otherwise dispose of shares of Common Stock they hold or receive for a period of 12 months after the date of the private placement.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October 2024 Subscription Agreement</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On October 16, 2024, we entered into a subscription agreement (the “October 2024 Subscription Agreement”) with Ayar, pursuant to which the Company issued and sold to Ayar 396,188,386 shares of the Company’s Common Stock in a private placement. On October 31, 2024, the Company consummated the private placement of shares to Ayar pursuant to the October 2024 Subscription Agreement, at a price per share of $2.59, for aggregate net proceeds of $1,025.7 million after deducting issuance costs of $0.8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Third Amendment to Investor Rights Agreement</w:t>
      </w:r>
    </w:p>
    <w:p>
      <w:pPr>
        <w:spacing w:after="0" w:line="1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March 29, 2024, we entered into an amendment to the Investor Rights Agreement (the “Third IRA Amendment”). Pursuant to the Third IRA Amendment, Ayar is entitled to certain registration rights, including demand, piggy-back and shelf registration rights, with respect to the shares of Series A Convertible Preferred Stock purchased pursuant to the March 2024 Subscription Agreement and any shares of Common Stock issuable upon conversion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Fourth Amendment to Investor Rights Agreement</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August 16, 2024, we entered into an amendment to the Investor Rights Agreement (the “Fourth IRA Amendment”). Pursuant to the Fourth IRA Amendment, Ayar is entitled to certain registration rights, including demand, piggy-back and shelf registration rights, with respect to the shares of Series B Convertible Preferred Stock purchased pursuant to the August 2024 Subscription Agreement and any shares of Common Stock issuable upon conversion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Fifth Amendment to Investor Rights Agreement</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October 16, 2024, we entered into an amendment to the Investor Rights Agreement (the “Fifth IRA Amendment”). Pursuant to the Fifth IRA Amendment, Ayar is entitled to certain registration rights, including demand, piggy-back and shelf registration rights, with respect to the shares of Common Stock purchased pursuant to the October 2024 Subscription Agreement.</w:t>
      </w:r>
    </w:p>
    <w:p>
      <w:pPr>
        <w:sectPr>
          <w:pgSz w:w="11880" w:h="15480" w:orient="portrait"/>
          <w:cols w:equalWidth="0" w:num="1">
            <w:col w:w="10460"/>
          </w:cols>
          <w:pgMar w:left="720" w:top="94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79</w:t>
      </w:r>
    </w:p>
    <w:p>
      <w:pPr>
        <w:sectPr>
          <w:pgSz w:w="11880" w:h="15480" w:orient="portrait"/>
          <w:cols w:equalWidth="0" w:num="1">
            <w:col w:w="10460"/>
          </w:cols>
          <w:pgMar w:left="720" w:top="943" w:right="700" w:bottom="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Agreements with Aston Martin</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June 2023, we entered into an agreement (the “Implementation Agreement”) with Aston Martin Lagonda Global Holdings plc (together with its subsidiaries, “Aston Martin”), under which we and Aston Martin have established a long-term strategic technology and supply arrangement. Pursuant to the terms of the Implementation Agreement, we entered into integration and supply arrangements with Aston Martin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PIF owns an approximately 15% interest in Aston Martin.</w:t>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Strategic Technology Arrangement, we received $4.2 million in integration service fees in 2024. We expect to receive the remaining cash payments of $99 million in technology access fees, along with an additional $4.2 million in integration service fees, through 2026. Aston Martin has also committed to an effective minimum spend with us on powertrain components of $225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Saudi Arabia Corporate Office Lease</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July 2023, the Company entered into a lease agreement with King Abdullah Financial District Development and Management Company, a wholly-owned subsidiary of PIF, for its corporate office in Saudi Arabia. The lease has an initial term of six years expiring in fiscal year 2029. We expect to make payments under the agreement in the aggregate amount of approximately SAR 7.6 million (approximately $2.0 million) (exclusive of VAT and service charges). We made no payment under the agreement, exclusive of VAT and service charges, during the year ended December 31,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Ritz Carlton Riyadh Sponsorship Agreement</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March 2024, Lucid LLC entered into a sponsorship agreement with Luxury Hotels International Saudi A, the operator of the Ritz Carlton Riyadh, concerning specific sponsorship activities at the Ritz Carlton Riyadh. Luxury Hotels International Saudi A is a wholly-owned subsidiary of PIF. The agreement had a term of one month and expired in April 2024. Under the agreement, we made payments totaling approximately SAR 575,000 (approximately $153,031), exclusive of VAT and service charges.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EV Purchase Agreement</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August 2023, Lucid LLC entered into an EV purchase agreement with the Government of Saudi Arabia, as represented by the Ministry of Finance (the “EV Purchase Agreement”).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The Company recognized net vehicle sales amount of SAR 654.6 million (approximately $174.2 million) during the year ended December 31,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Other Transactions</w:t>
      </w:r>
    </w:p>
    <w:p>
      <w:pPr>
        <w:spacing w:after="0" w:line="19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2024, the Company repurchased the Lucid Air vehicle, which Eric Bach personally purchased and owned, at a cost of $65,361. The value of the vehicle, plus a tax gross-up, is approximately $138,330.</w:t>
      </w:r>
    </w:p>
    <w:p>
      <w:pPr>
        <w:spacing w:after="0" w:line="19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March 30, 2024, Mr. Bach purchased a Lucid Air Sapphire from the Company. The total value of the vehicle, including taxes and fees, is approximately $275,468.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Director Compensation Arrangements</w:t>
      </w:r>
    </w:p>
    <w:p>
      <w:pPr>
        <w:spacing w:after="0" w:line="193"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auto"/>
        </w:rPr>
        <w:t>See “Executive Compensation” and “Director Compensation” for information regarding compensation arrangements with our executive officers and directors, respectively, which include, among other things, employment, termination of employment and change in control arrangements, stock awards, stock options and certain other benefits.</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42" w:right="740" w:bottom="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Director and Executive Officer Indemnification</w:t>
      </w:r>
    </w:p>
    <w:p>
      <w:pPr>
        <w:spacing w:after="0" w:line="19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Our certificate of incorporation provides for indemnification for directors and certain officers to the fullest extent permitted by law.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POLICIES AND PROCEDURES FOR RELATED PARTY TRANSACTIONS</w:t>
      </w:r>
    </w:p>
    <w:p>
      <w:pPr>
        <w:spacing w:after="0" w:line="197"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367" w:lineRule="exact"/>
        <w:rPr>
          <w:sz w:val="20"/>
          <w:szCs w:val="20"/>
          <w:color w:val="auto"/>
        </w:rPr>
      </w:pPr>
    </w:p>
    <w:p>
      <w:pPr>
        <w:ind w:left="180" w:right="860"/>
        <w:spacing w:after="0" w:line="451" w:lineRule="auto"/>
        <w:rPr>
          <w:sz w:val="20"/>
          <w:szCs w:val="20"/>
          <w:color w:val="auto"/>
        </w:rPr>
      </w:pPr>
      <w:r>
        <w:rPr>
          <w:rFonts w:ascii="Arial" w:cs="Arial" w:eastAsia="Arial" w:hAnsi="Arial"/>
          <w:sz w:val="18"/>
          <w:szCs w:val="18"/>
          <w:color w:val="auto"/>
        </w:rPr>
        <w:t>any person who is, or at any time during the applicable period was, one of our executive officers or directors; any person who is known by us to be the beneficial owner of more than 5% of our voting stock;</w:t>
      </w:r>
    </w:p>
    <w:p>
      <w:pPr>
        <w:ind w:left="180" w:right="20"/>
        <w:spacing w:after="0" w:line="284" w:lineRule="auto"/>
        <w:rPr>
          <w:sz w:val="20"/>
          <w:szCs w:val="20"/>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367" w:lineRule="exact"/>
        <w:rPr>
          <w:sz w:val="20"/>
          <w:szCs w:val="20"/>
          <w:color w:val="auto"/>
        </w:rPr>
      </w:pPr>
    </w:p>
    <w:p>
      <w:pPr>
        <w:ind w:left="180" w:right="620"/>
        <w:spacing w:after="0" w:line="292" w:lineRule="auto"/>
        <w:rPr>
          <w:sz w:val="20"/>
          <w:szCs w:val="20"/>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21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Our Audit Committee has also established standing pre-approvals for certain classes of related party transactions, such as sales of our vehicles, parts, services, merchandise, and other Lucid products and services purchased by related persons at market prices.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DELINQUENT SECTION 16(A) REPORTS</w:t>
      </w:r>
    </w:p>
    <w:p>
      <w:pPr>
        <w:spacing w:after="0" w:line="197" w:lineRule="exact"/>
        <w:rPr>
          <w:sz w:val="20"/>
          <w:szCs w:val="20"/>
          <w:color w:val="auto"/>
        </w:rPr>
      </w:pPr>
    </w:p>
    <w:p>
      <w:pPr>
        <w:jc w:val="both"/>
        <w:ind w:right="400"/>
        <w:spacing w:after="0" w:line="292"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all Section 16(a) filing requirements were satisfied on a timely basis.</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02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81</w:t>
      </w:r>
    </w:p>
    <w:p>
      <w:pPr>
        <w:sectPr>
          <w:pgSz w:w="11880" w:h="15480" w:orient="portrait"/>
          <w:cols w:equalWidth="0" w:num="1">
            <w:col w:w="10420"/>
          </w:cols>
          <w:pgMar w:left="720" w:top="942" w:right="74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40"/>
          <w:szCs w:val="40"/>
          <w:color w:val="auto"/>
        </w:rPr>
        <w:t>Householding of Proxy Materials; Availability of Annual Report</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spacing w:after="0" w:line="200" w:lineRule="exact"/>
        <w:rPr>
          <w:sz w:val="20"/>
          <w:szCs w:val="20"/>
          <w:color w:val="auto"/>
        </w:rPr>
      </w:pPr>
    </w:p>
    <w:p>
      <w:pPr>
        <w:spacing w:after="0" w:line="26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proxy materials. A Proxy Availability Notice or proxy materials will be delivered in a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Lucid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p>
    <w:p>
      <w:pPr>
        <w:spacing w:after="0" w:line="235"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A copy of our Annual Report on Form 10-K for the year ended December 31, 2024, as filed with the SEC on February 25, 2025,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Other Matters</w:t>
      </w:r>
    </w:p>
    <w:p>
      <w:pPr>
        <w:spacing w:after="0" w:line="200" w:lineRule="exact"/>
        <w:rPr>
          <w:sz w:val="20"/>
          <w:szCs w:val="20"/>
          <w:color w:val="auto"/>
        </w:rPr>
      </w:pPr>
    </w:p>
    <w:p>
      <w:pPr>
        <w:spacing w:after="0" w:line="24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876" w:right="740" w:bottom="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LUCID GROUP, INC.</w:t>
      </w:r>
    </w:p>
    <w:p>
      <w:pPr>
        <w:ind w:right="2600"/>
        <w:spacing w:after="0" w:line="242" w:lineRule="auto"/>
        <w:rPr>
          <w:sz w:val="20"/>
          <w:szCs w:val="20"/>
          <w:color w:val="auto"/>
        </w:rPr>
      </w:pPr>
      <w:r>
        <w:rPr>
          <w:rFonts w:ascii="Times New Roman" w:cs="Times New Roman" w:eastAsia="Times New Roman" w:hAnsi="Times New Roman"/>
          <w:sz w:val="40"/>
          <w:szCs w:val="40"/>
          <w:color w:val="auto"/>
        </w:rPr>
        <w:t>AMENDED AND RESTATED 2021 STOCK INCENTIVE PLAN</w:t>
      </w: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2025 Proxy Statement</w:t>
      </w:r>
    </w:p>
    <w:p>
      <w:pPr>
        <w:sectPr>
          <w:pgSz w:w="11880" w:h="15480" w:orient="portrait"/>
          <w:cols w:equalWidth="0" w:num="1">
            <w:col w:w="10420"/>
          </w:cols>
          <w:pgMar w:left="720" w:top="942" w:right="74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40"/>
          <w:szCs w:val="40"/>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rPr>
              <w:t>Page</w:t>
            </w:r>
          </w:p>
        </w:tc>
      </w:tr>
      <w:tr>
        <w:trPr>
          <w:trHeight w:val="64"/>
        </w:trPr>
        <w:tc>
          <w:tcPr>
            <w:tcW w:w="9980" w:type="dxa"/>
            <w:vAlign w:val="bottom"/>
            <w:gridSpan w:val="3"/>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55"/>
        </w:trPr>
        <w:tc>
          <w:tcPr>
            <w:tcW w:w="9980" w:type="dxa"/>
            <w:vAlign w:val="bottom"/>
            <w:gridSpan w:val="3"/>
          </w:tcPr>
          <w:p>
            <w:pPr>
              <w:spacing w:after="0"/>
              <w:rPr>
                <w:sz w:val="20"/>
                <w:szCs w:val="20"/>
                <w:color w:val="auto"/>
              </w:rPr>
            </w:pPr>
            <w:r>
              <w:rPr>
                <w:rFonts w:ascii="Arial" w:cs="Arial" w:eastAsia="Arial" w:hAnsi="Arial"/>
                <w:sz w:val="18"/>
                <w:szCs w:val="18"/>
                <w:color w:val="auto"/>
                <w:w w:val="89"/>
              </w:rPr>
              <w:t>SECTION 1.  ESTABLISHMENT AND PURPOSE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A-1</w:t>
            </w:r>
          </w:p>
        </w:tc>
      </w:tr>
      <w:tr>
        <w:trPr>
          <w:trHeight w:val="319"/>
        </w:trPr>
        <w:tc>
          <w:tcPr>
            <w:tcW w:w="112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8860" w:type="dxa"/>
            <w:vAlign w:val="bottom"/>
          </w:tcPr>
          <w:p>
            <w:pPr>
              <w:jc w:val="right"/>
              <w:ind w:right="110"/>
              <w:spacing w:after="0"/>
              <w:rPr>
                <w:sz w:val="20"/>
                <w:szCs w:val="20"/>
                <w:color w:val="auto"/>
              </w:rPr>
            </w:pPr>
            <w:r>
              <w:rPr>
                <w:rFonts w:ascii="Arial" w:cs="Arial" w:eastAsia="Arial" w:hAnsi="Arial"/>
                <w:sz w:val="18"/>
                <w:szCs w:val="18"/>
                <w:color w:val="auto"/>
                <w:w w:val="83"/>
              </w:rPr>
              <w:t>DEFINITIONS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A-1</w:t>
            </w:r>
          </w:p>
        </w:tc>
      </w:tr>
      <w:tr>
        <w:trPr>
          <w:trHeight w:val="319"/>
        </w:trPr>
        <w:tc>
          <w:tcPr>
            <w:tcW w:w="112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8860" w:type="dxa"/>
            <w:vAlign w:val="bottom"/>
          </w:tcPr>
          <w:p>
            <w:pPr>
              <w:jc w:val="right"/>
              <w:ind w:right="110"/>
              <w:spacing w:after="0"/>
              <w:rPr>
                <w:sz w:val="20"/>
                <w:szCs w:val="20"/>
                <w:color w:val="auto"/>
              </w:rPr>
            </w:pPr>
            <w:r>
              <w:rPr>
                <w:rFonts w:ascii="Arial" w:cs="Arial" w:eastAsia="Arial" w:hAnsi="Arial"/>
                <w:sz w:val="18"/>
                <w:szCs w:val="18"/>
                <w:color w:val="auto"/>
                <w:w w:val="84"/>
              </w:rPr>
              <w:t>ADMINISTRATION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A-5</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Committee Composition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A-5</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Committee Appointment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A-5</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Committee Responsibilities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A-5</w:t>
            </w:r>
          </w:p>
        </w:tc>
      </w:tr>
      <w:tr>
        <w:trPr>
          <w:trHeight w:val="319"/>
        </w:trPr>
        <w:tc>
          <w:tcPr>
            <w:tcW w:w="112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8860" w:type="dxa"/>
            <w:vAlign w:val="bottom"/>
          </w:tcPr>
          <w:p>
            <w:pPr>
              <w:jc w:val="right"/>
              <w:ind w:right="110"/>
              <w:spacing w:after="0"/>
              <w:rPr>
                <w:sz w:val="20"/>
                <w:szCs w:val="20"/>
                <w:color w:val="auto"/>
              </w:rPr>
            </w:pPr>
            <w:r>
              <w:rPr>
                <w:rFonts w:ascii="Arial" w:cs="Arial" w:eastAsia="Arial" w:hAnsi="Arial"/>
                <w:sz w:val="18"/>
                <w:szCs w:val="18"/>
                <w:color w:val="auto"/>
                <w:w w:val="82"/>
              </w:rPr>
              <w:t>ELIGIBILITY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3"/>
              </w:rPr>
              <w:t>General Rule . . . .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Ten-Percent Stockholders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Attribution Rules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Outstanding Stock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9980" w:type="dxa"/>
            <w:vAlign w:val="bottom"/>
            <w:gridSpan w:val="3"/>
          </w:tcPr>
          <w:p>
            <w:pPr>
              <w:spacing w:after="0"/>
              <w:rPr>
                <w:sz w:val="20"/>
                <w:szCs w:val="20"/>
                <w:color w:val="auto"/>
              </w:rPr>
            </w:pPr>
            <w:r>
              <w:rPr>
                <w:rFonts w:ascii="Arial" w:cs="Arial" w:eastAsia="Arial" w:hAnsi="Arial"/>
                <w:sz w:val="18"/>
                <w:szCs w:val="18"/>
                <w:color w:val="auto"/>
                <w:w w:val="95"/>
              </w:rPr>
              <w:t>SECTION 5.  STOCK SUBJECT TO PLAN; DIRECTOR COMPENSATION LIMIT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Basic Limitation .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A-6</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Additional Shares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A-7</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9"/>
              </w:rPr>
              <w:t>Substitution and Assumption of Awards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A-7</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9"/>
              </w:rPr>
              <w:t>Outside Director Compensation Limit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A-7</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No Repricing . . . .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A-7</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(f)</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Prohibition on Dividends on Unvested Awards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A-7</w:t>
            </w:r>
          </w:p>
        </w:tc>
      </w:tr>
      <w:tr>
        <w:trPr>
          <w:trHeight w:val="319"/>
        </w:trPr>
        <w:tc>
          <w:tcPr>
            <w:tcW w:w="112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8860" w:type="dxa"/>
            <w:vAlign w:val="bottom"/>
          </w:tcPr>
          <w:p>
            <w:pPr>
              <w:jc w:val="right"/>
              <w:ind w:right="110"/>
              <w:spacing w:after="0"/>
              <w:rPr>
                <w:sz w:val="20"/>
                <w:szCs w:val="20"/>
                <w:color w:val="auto"/>
              </w:rPr>
            </w:pPr>
            <w:r>
              <w:rPr>
                <w:rFonts w:ascii="Arial" w:cs="Arial" w:eastAsia="Arial" w:hAnsi="Arial"/>
                <w:sz w:val="18"/>
                <w:szCs w:val="18"/>
                <w:color w:val="auto"/>
                <w:w w:val="84"/>
              </w:rPr>
              <w:t>RESTRICTED SHARES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Restricted Share Award Agreement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Payment for Awards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2"/>
              </w:rPr>
              <w:t>Vesting . . . . . . . . . .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Voting and Dividend Rights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Restrictions on Transfer of Shares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9980" w:type="dxa"/>
            <w:vAlign w:val="bottom"/>
            <w:gridSpan w:val="3"/>
          </w:tcPr>
          <w:p>
            <w:pPr>
              <w:spacing w:after="0"/>
              <w:rPr>
                <w:sz w:val="20"/>
                <w:szCs w:val="20"/>
                <w:color w:val="auto"/>
              </w:rPr>
            </w:pPr>
            <w:r>
              <w:rPr>
                <w:rFonts w:ascii="Arial" w:cs="Arial" w:eastAsia="Arial" w:hAnsi="Arial"/>
                <w:sz w:val="18"/>
                <w:szCs w:val="18"/>
                <w:color w:val="auto"/>
                <w:w w:val="91"/>
              </w:rPr>
              <w:t>SECTION 7.  TERMS AND CONDITIONS OF OPTIONS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Option Award Agreement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Number of Shares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3"/>
              </w:rPr>
              <w:t>Exercise Price . . . .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Withholding Taxes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A-8</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Exercisability and Term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(f)</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Exercise of Options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(g)</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No Rights as a Stockholder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(h)</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92"/>
              </w:rPr>
              <w:t>Modification, Extension and Renewal of Options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9980" w:type="dxa"/>
            <w:vAlign w:val="bottom"/>
            <w:gridSpan w:val="3"/>
          </w:tcPr>
          <w:p>
            <w:pPr>
              <w:ind w:left="180"/>
              <w:spacing w:after="0"/>
              <w:rPr>
                <w:sz w:val="20"/>
                <w:szCs w:val="20"/>
                <w:color w:val="auto"/>
              </w:rPr>
            </w:pPr>
            <w:r>
              <w:rPr>
                <w:rFonts w:ascii="Arial" w:cs="Arial" w:eastAsia="Arial" w:hAnsi="Arial"/>
                <w:sz w:val="18"/>
                <w:szCs w:val="18"/>
                <w:color w:val="auto"/>
                <w:w w:val="90"/>
              </w:rPr>
              <w:t>(i)   Restrictions on Transfer of Shares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(j)</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Buyout Provisions . . . . . . . . . . . . . . . . . . . .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(k)</w:t>
            </w:r>
          </w:p>
        </w:tc>
        <w:tc>
          <w:tcPr>
            <w:tcW w:w="9420" w:type="dxa"/>
            <w:vAlign w:val="bottom"/>
            <w:gridSpan w:val="2"/>
          </w:tcPr>
          <w:p>
            <w:pPr>
              <w:jc w:val="right"/>
              <w:ind w:right="110"/>
              <w:spacing w:after="0"/>
              <w:rPr>
                <w:sz w:val="20"/>
                <w:szCs w:val="20"/>
                <w:color w:val="auto"/>
              </w:rPr>
            </w:pPr>
            <w:r>
              <w:rPr>
                <w:rFonts w:ascii="Arial" w:cs="Arial" w:eastAsia="Arial" w:hAnsi="Arial"/>
                <w:sz w:val="18"/>
                <w:szCs w:val="18"/>
                <w:color w:val="auto"/>
                <w:w w:val="89"/>
              </w:rPr>
              <w:t>No Dividend Equivalents on Options . . . . . . . . . . . . . . . . . . . . . . . . . . . . . . . . . . . . . . . . . . . . . . . . . . . . . . . . . . . . . . . . . . . . . . . . . .</w:t>
            </w:r>
          </w:p>
        </w:tc>
        <w:tc>
          <w:tcPr>
            <w:tcW w:w="440" w:type="dxa"/>
            <w:vAlign w:val="bottom"/>
          </w:tcPr>
          <w:p>
            <w:pPr>
              <w:ind w:left="60"/>
              <w:spacing w:after="0"/>
              <w:rPr>
                <w:sz w:val="20"/>
                <w:szCs w:val="20"/>
                <w:color w:val="auto"/>
              </w:rPr>
            </w:pPr>
            <w:r>
              <w:rPr>
                <w:rFonts w:ascii="Arial" w:cs="Arial" w:eastAsia="Arial" w:hAnsi="Arial"/>
                <w:sz w:val="18"/>
                <w:szCs w:val="18"/>
                <w:color w:val="auto"/>
              </w:rPr>
              <w:t>A-9</w:t>
            </w:r>
          </w:p>
        </w:tc>
      </w:tr>
    </w:tbl>
    <w:p>
      <w:pPr>
        <w:spacing w:after="0" w:line="200" w:lineRule="exact"/>
        <w:rPr>
          <w:sz w:val="20"/>
          <w:szCs w:val="20"/>
          <w:color w:val="auto"/>
        </w:rPr>
      </w:pP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20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A-i</w:t>
      </w:r>
    </w:p>
    <w:p>
      <w:pPr>
        <w:sectPr>
          <w:pgSz w:w="11880" w:h="15480" w:orient="portrait"/>
          <w:cols w:equalWidth="0" w:num="1">
            <w:col w:w="10420"/>
          </w:cols>
          <w:pgMar w:left="720" w:top="876" w:right="7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64"/>
        </w:trPr>
        <w:tc>
          <w:tcPr>
            <w:tcW w:w="9980" w:type="dxa"/>
            <w:vAlign w:val="bottom"/>
            <w:gridSpan w:val="2"/>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55"/>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SECTION 8.  PAYMENT FOR SHARES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3"/>
              </w:rPr>
              <w:t>General Rule . . .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Surrender of Stock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Services Rendered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Cashless Exercise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Exercise/Pledge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(f)</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3"/>
              </w:rPr>
              <w:t>Net Exercise . . . .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(g)</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Promissory Note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(h)</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6"/>
              </w:rPr>
              <w:t>Other Forms of Payment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(i)   Limitations under Applicable Law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SECTION 9.  STOCK APPRECIATION RIGHTS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SAR Award Agreement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Number of Shares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3"/>
              </w:rPr>
              <w:t>Exercise Price . .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Exercisability and Term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Exercise of SARs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(f)</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91"/>
              </w:rPr>
              <w:t>Modification, Extension or Assumption of SARs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(g)</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Buyout Provisions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(h)</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8"/>
              </w:rPr>
              <w:t>No Dividend Equivalents on SARs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SECTION 10.  RESTRICTED STOCK UNITS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9"/>
              </w:rPr>
              <w:t>Restricted Stock Unit Award Agreement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Payment for Awards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Vesting Conditions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6"/>
              </w:rPr>
              <w:t>Voting and Dividend Rights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93"/>
              </w:rPr>
              <w:t>Form and Time of Settlement of Restricted Stock Units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(f)</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Death of Participant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(g)</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Creditors’ Rights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SECTION 11.  CASH-BASED AWARDS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SECTION 12.  STOCK PURCHASE RIGHTS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SECTION 13.  ADJUSTMENT OF SHARES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3"/>
              </w:rPr>
              <w:t>Adjustments . . . .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6"/>
              </w:rPr>
              <w:t>Dissolution or Liquidation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(c)</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6"/>
              </w:rPr>
              <w:t>Merger or Reorganization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(d)</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Change in Control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(e)</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5"/>
              </w:rPr>
              <w:t>Reservation of Rights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19"/>
        </w:trPr>
        <w:tc>
          <w:tcPr>
            <w:tcW w:w="9980" w:type="dxa"/>
            <w:vAlign w:val="bottom"/>
            <w:gridSpan w:val="2"/>
          </w:tcPr>
          <w:p>
            <w:pPr>
              <w:jc w:val="right"/>
              <w:ind w:right="110"/>
              <w:spacing w:after="0"/>
              <w:rPr>
                <w:sz w:val="20"/>
                <w:szCs w:val="20"/>
                <w:color w:val="auto"/>
              </w:rPr>
            </w:pPr>
            <w:r>
              <w:rPr>
                <w:rFonts w:ascii="Arial" w:cs="Arial" w:eastAsia="Arial" w:hAnsi="Arial"/>
                <w:sz w:val="18"/>
                <w:szCs w:val="18"/>
                <w:color w:val="auto"/>
                <w:w w:val="86"/>
              </w:rPr>
              <w:t>SECTION 14.  DEFERRAL OF AWARDS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4"/>
              </w:rPr>
              <w:t>Committee Powers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19"/>
        </w:trPr>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420" w:type="dxa"/>
            <w:vAlign w:val="bottom"/>
          </w:tcPr>
          <w:p>
            <w:pPr>
              <w:jc w:val="right"/>
              <w:ind w:right="110"/>
              <w:spacing w:after="0"/>
              <w:rPr>
                <w:sz w:val="20"/>
                <w:szCs w:val="20"/>
                <w:color w:val="auto"/>
              </w:rPr>
            </w:pPr>
            <w:r>
              <w:rPr>
                <w:rFonts w:ascii="Arial" w:cs="Arial" w:eastAsia="Arial" w:hAnsi="Arial"/>
                <w:sz w:val="18"/>
                <w:szCs w:val="18"/>
                <w:color w:val="auto"/>
                <w:w w:val="83"/>
              </w:rPr>
              <w:t>General Rules . . . . . . . . . . . . . . . . . . . . . . . . . . . . . . . . . . . . . . . . . . . . . . . . . . . . . . . . . . . . . . . . . . . . . . . . . . . . . . . . . . . . . . . . . . . . . . . . . .</w:t>
            </w:r>
          </w:p>
        </w:tc>
        <w:tc>
          <w:tcPr>
            <w:tcW w:w="440" w:type="dxa"/>
            <w:vAlign w:val="bottom"/>
          </w:tcPr>
          <w:p>
            <w:pPr>
              <w:jc w:val="right"/>
              <w:spacing w:after="0"/>
              <w:rPr>
                <w:sz w:val="20"/>
                <w:szCs w:val="20"/>
                <w:color w:val="auto"/>
              </w:rPr>
            </w:pPr>
            <w:r>
              <w:rPr>
                <w:rFonts w:ascii="Arial" w:cs="Arial" w:eastAsia="Arial" w:hAnsi="Arial"/>
                <w:sz w:val="18"/>
                <w:szCs w:val="18"/>
                <w:color w:val="auto"/>
              </w:rPr>
              <w:t>A-14</w:t>
            </w:r>
          </w:p>
        </w:tc>
      </w:tr>
    </w:tbl>
    <w:p>
      <w:pPr>
        <w:spacing w:after="0" w:line="200" w:lineRule="exact"/>
        <w:rPr>
          <w:sz w:val="20"/>
          <w:szCs w:val="20"/>
          <w:color w:val="auto"/>
        </w:rPr>
      </w:pPr>
    </w:p>
    <w:p>
      <w:pPr>
        <w:sectPr>
          <w:pgSz w:w="11880" w:h="15480" w:orient="portrait"/>
          <w:cols w:equalWidth="0" w:num="1">
            <w:col w:w="10420"/>
          </w:cols>
          <w:pgMar w:left="720" w:top="96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A-ii</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61" w:right="740" w:bottom="0" w:gutter="0" w:footer="0" w:header="0"/>
          <w:type w:val="continuous"/>
        </w:sectPr>
      </w:pPr>
    </w:p>
    <w:bookmarkStart w:id="91" w:name="page92"/>
    <w:bookmarkEnd w:id="91"/>
    <w:p>
      <w:pPr>
        <w:ind w:left="10020"/>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6334760</wp:posOffset>
                </wp:positionH>
                <wp:positionV relativeFrom="paragraph">
                  <wp:posOffset>50165</wp:posOffset>
                </wp:positionV>
                <wp:extent cx="27876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7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8pt,3.95pt" to="520.75pt,3.95pt" o:allowincell="f" strokecolor="#000000" strokeweight="0.499pt"/>
            </w:pict>
          </mc:Fallback>
        </mc:AlternateContent>
      </w:r>
    </w:p>
    <w:p>
      <w:pPr>
        <w:spacing w:after="0" w:line="109" w:lineRule="exact"/>
        <w:rPr>
          <w:sz w:val="20"/>
          <w:szCs w:val="20"/>
          <w:color w:val="auto"/>
        </w:rPr>
      </w:pPr>
    </w:p>
    <w:p>
      <w:pPr>
        <w:jc w:val="right"/>
        <w:ind w:right="20"/>
        <w:spacing w:after="0" w:line="417" w:lineRule="auto"/>
        <w:rPr>
          <w:sz w:val="20"/>
          <w:szCs w:val="20"/>
          <w:color w:val="auto"/>
        </w:rPr>
      </w:pPr>
      <w:r>
        <w:rPr>
          <w:rFonts w:ascii="Arial" w:cs="Arial" w:eastAsia="Arial" w:hAnsi="Arial"/>
          <w:sz w:val="16"/>
          <w:szCs w:val="16"/>
          <w:color w:val="auto"/>
        </w:rPr>
        <w:t>SECTION 15.  AWARDS UNDER OTHER PLANS . . . . . . . . . . . . . . . . . . . . . . . . . . . . . . . . . . . . . . . . . . . . . . . . . . . . . . . . . . . . . . . . . . . . . . .  A-14 SECTION 16.  PAYMENT OF DIRECTOR’S FEES IN SECURITIES . . . . . . . . . . . . . . . . . . . . . . . . . . . . . . . . . . . . . . . . . . . . . . . . . . . . . .  A-15 (a)   Effective Date . . . . . . . . . . . . . . . . . . . . . . . . . . . . . . . . . . . . . . . . . . . . . . . . . . . . . . . . . . . . . . . . . . . . . . . . . . . . . . . . . . . . . . . . . . . . . . . . . .  A-15</w:t>
      </w:r>
    </w:p>
    <w:p>
      <w:pPr>
        <w:ind w:left="180"/>
        <w:spacing w:after="0"/>
        <w:tabs>
          <w:tab w:leader="none" w:pos="660" w:val="left"/>
          <w:tab w:leader="none" w:pos="9960" w:val="left"/>
        </w:tabs>
        <w:rPr>
          <w:sz w:val="20"/>
          <w:szCs w:val="20"/>
          <w:color w:val="auto"/>
        </w:rPr>
      </w:pPr>
      <w:r>
        <w:rPr>
          <w:rFonts w:ascii="Arial" w:cs="Arial" w:eastAsia="Arial" w:hAnsi="Arial"/>
          <w:sz w:val="18"/>
          <w:szCs w:val="18"/>
          <w:color w:val="auto"/>
        </w:rPr>
        <w:t>(b)</w:t>
        <w:tab/>
        <w:t>Elections to Receive NSOs, SARs, Restricted Shares, or Restricted Stock Units . . . . . . . . . . . . . . . . . . . . . . . . . . . . . .</w:t>
        <w:tab/>
        <w:t>A-15</w:t>
      </w:r>
    </w:p>
    <w:p>
      <w:pPr>
        <w:spacing w:after="0" w:line="112" w:lineRule="exact"/>
        <w:rPr>
          <w:sz w:val="20"/>
          <w:szCs w:val="20"/>
          <w:color w:val="auto"/>
        </w:rPr>
      </w:pPr>
    </w:p>
    <w:p>
      <w:pPr>
        <w:jc w:val="right"/>
        <w:ind w:right="20"/>
        <w:spacing w:after="0" w:line="416" w:lineRule="auto"/>
        <w:rPr>
          <w:sz w:val="20"/>
          <w:szCs w:val="20"/>
          <w:color w:val="auto"/>
        </w:rPr>
      </w:pPr>
      <w:r>
        <w:rPr>
          <w:rFonts w:ascii="Arial" w:cs="Arial" w:eastAsia="Arial" w:hAnsi="Arial"/>
          <w:sz w:val="16"/>
          <w:szCs w:val="16"/>
          <w:color w:val="auto"/>
        </w:rPr>
        <w:t>(c)   Number and Terms of NSOs, SARs, Restricted Shares or Restricted Stock Units . . . . . . . . . . . . . . . . . . . . . . . . . . . . .  A-15 SECTION 17.  LEGAL AND REGULATORY REQUIREMENTS . . . . . . . . . . . . . . . . . . . . . . . . . . . . . . . . . . . . . . . . . . . . . . . . . . . . . . . . . . .  A-15 SECTION 18.  TAXES . . . . . . . . . . . . . . . . . . . . . . . . . . . . . . . . . . . . . . . . . . . . . . . . . . . . . . . . . . . . . . . . . . . . . . . . . . . . . . . . . . . . . . . . . . . . . . . . . .  A-15 (a)   Withholding Taxes . . . . . . . . . . . . . . . . . . . . . . . . . . . . . . . . . . . . . . . . . . . . . . . . . . . . . . . . . . . . . . . . . . . . . . . . . . . . . . . . . . . . . . . . . . . . .  A-15</w:t>
      </w:r>
    </w:p>
    <w:p>
      <w:pPr>
        <w:spacing w:after="0" w:line="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tab/>
        <w:t>Share Withholding . . . . . . . . . . . . . . . . . . . . . . . . . . . . . . . . . . . . . . . . . . . . . . . . . . . . . . . . . . . . . . . . . . . . . . . . . . . . . . . . . . . . . . . . . . . . .</w:t>
      </w:r>
      <w:r>
        <w:rPr>
          <w:sz w:val="20"/>
          <w:szCs w:val="20"/>
          <w:color w:val="auto"/>
        </w:rPr>
        <w:tab/>
      </w:r>
      <w:r>
        <w:rPr>
          <w:rFonts w:ascii="Arial" w:cs="Arial" w:eastAsia="Arial" w:hAnsi="Arial"/>
          <w:sz w:val="18"/>
          <w:szCs w:val="18"/>
          <w:color w:val="auto"/>
        </w:rPr>
        <w:t>A-15</w:t>
      </w:r>
    </w:p>
    <w:p>
      <w:pPr>
        <w:spacing w:after="0" w:line="112" w:lineRule="exact"/>
        <w:rPr>
          <w:sz w:val="20"/>
          <w:szCs w:val="20"/>
          <w:color w:val="auto"/>
        </w:rPr>
      </w:pPr>
    </w:p>
    <w:p>
      <w:pPr>
        <w:jc w:val="right"/>
        <w:ind w:right="20"/>
        <w:spacing w:after="0" w:line="444" w:lineRule="auto"/>
        <w:rPr>
          <w:sz w:val="20"/>
          <w:szCs w:val="20"/>
          <w:color w:val="auto"/>
        </w:rPr>
      </w:pPr>
      <w:r>
        <w:rPr>
          <w:rFonts w:ascii="Arial" w:cs="Arial" w:eastAsia="Arial" w:hAnsi="Arial"/>
          <w:sz w:val="15"/>
          <w:szCs w:val="15"/>
          <w:color w:val="auto"/>
        </w:rPr>
        <w:t>(c)   Section 409A . . . . . . . . . . . . . . . . . . . . . . . . . . . . . . . . . . . . . . . . . . . . . . . . . . . . . . . . . . . . . . . . . . . . . . . . . . . . . . . . . . . . . . . . . . . . . . . . . . .  A-15 SECTION 19.  TRANSFERABILITY . . . . . . . . . . . . . . . . . . . . . . . . . . . . . . . . . . . . . . . . . . . . . . . . . . . . . . . . . . . . . . . . . . . . . . . . . . . . . . . . . . . . .  A-16 SECTION 20.  PERFORMANCE BASED AWARDS . . . . . . . . . . . . . . . . . . . . . . . . . . . . . . . . . . . . . . . . . . . . . . . . . . . . . . . . . . . . . . . . . . . . .  A-16 SECTION 21.  FORFEITURE, CANCELLATION OR RECOUPMENT OF AWARDS . . . . . . . . . . . . . . . . . . . . . . . . . . . . . . . . . . . . . .  A-16 SECTION 22.  NO EMPLOYMENT RIGHTS . . . . . . . . . . . . . . . . . . . . . . . . . . . . . . . . . . . . . . . . . . . . . . . . . . . . . . . . . . . . . . . . . . . . . . . . . . . .  A-16 SECTION 23.  DURATION AND AMENDMENTS . . . . . . . . . . . . . . . . . . . . . . . . . . . . . . . . . . . . . . . . . . . . . . . . . . . . . . . . . . . . . . . . . . . . . . .  A-16 (a)   Term of the Plan . . . . . . . . . . . . . . . . . . . . . . . . . . . . . . . . . . . . . . . . . . . . . . . . . . . . . . . . . . . . . . . . . . . . . . . . . . . . . . . . . . . . . . . . . . . . . . . .  A-16</w:t>
      </w:r>
    </w:p>
    <w:p>
      <w:pPr>
        <w:spacing w:after="0" w:line="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tab/>
        <w:t>Right to Amend the Plan . . . . . . . . . . . . . . . . . . . . . . . . . . . . . . . . . . . . . . . . . . . . . . . . . . . . . . . . . . . . . . . . . . . . . . . . . . . . . . . . . . . . . . .</w:t>
      </w:r>
      <w:r>
        <w:rPr>
          <w:sz w:val="20"/>
          <w:szCs w:val="20"/>
          <w:color w:val="auto"/>
        </w:rPr>
        <w:tab/>
      </w:r>
      <w:r>
        <w:rPr>
          <w:rFonts w:ascii="Arial" w:cs="Arial" w:eastAsia="Arial" w:hAnsi="Arial"/>
          <w:sz w:val="18"/>
          <w:szCs w:val="18"/>
          <w:color w:val="auto"/>
        </w:rPr>
        <w:t>A-16</w:t>
      </w:r>
    </w:p>
    <w:p>
      <w:pPr>
        <w:spacing w:after="0" w:line="112" w:lineRule="exact"/>
        <w:rPr>
          <w:sz w:val="20"/>
          <w:szCs w:val="20"/>
          <w:color w:val="auto"/>
        </w:rPr>
      </w:pPr>
    </w:p>
    <w:p>
      <w:pPr>
        <w:jc w:val="both"/>
        <w:ind w:right="20" w:firstLine="180"/>
        <w:spacing w:after="0" w:line="460" w:lineRule="auto"/>
        <w:rPr>
          <w:sz w:val="20"/>
          <w:szCs w:val="20"/>
          <w:color w:val="auto"/>
        </w:rPr>
      </w:pPr>
      <w:r>
        <w:rPr>
          <w:rFonts w:ascii="Arial" w:cs="Arial" w:eastAsia="Arial" w:hAnsi="Arial"/>
          <w:sz w:val="15"/>
          <w:szCs w:val="15"/>
          <w:color w:val="auto"/>
        </w:rPr>
        <w:t>(c) Effect of Termination . . . . . . . . . . . . . . . . . . . . . . . . . . . . . . . . . . . . . . . . . . . . . . . . . . . . . . . . . . . . . . . . . . . . . . . . . . . . . . . . . . . . . . . . . . . A-17 SECTION 24. AWARDS TO NON-U.S. PARTICIPANTS. . . . . . . . . . . . . . . . . . . . . . . . . . . . . . . . . . . . . . . . . . . . . . . . . . . . . . . . . . . . . . . . A-17 SECTION 25. GOVERNING LAW . . . . . . . . . . . . . . . . . . . . . . . . . . . . . . . . . . . . . . . . . . . . . . . . . . . . . . . . . . . . . . . . . . . . . . . . . . . . . . . . . . . . . . A-17 SECTION 26. SUCCESSORS AND ASSIGNS . . . . . . . . . . . . . . . . . . . . . . . . . . . . . . . . . . . . . . . . . . . . . . . . . . . . . . . . . . . . . . . . . . . . . . . . . . A-17 SECTION 27. EXECUTION . . . . . . . . . . . . . . . . . . . . . . . . . . . . . . . . . . . . . . . . . . . . . . . . . . . . . . . . . . . . . . . . . . . . . . . . . . . . . . . . . . . . . . . . . . . . A-17</w:t>
      </w:r>
    </w:p>
    <w:p>
      <w:pPr>
        <w:sectPr>
          <w:pgSz w:w="11880" w:h="15480" w:orient="portrait"/>
          <w:cols w:equalWidth="0" w:num="1">
            <w:col w:w="10420"/>
          </w:cols>
          <w:pgMar w:left="720" w:top="96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014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A-iii</w:t>
      </w:r>
    </w:p>
    <w:p>
      <w:pPr>
        <w:sectPr>
          <w:pgSz w:w="11880" w:h="15480" w:orient="portrait"/>
          <w:cols w:equalWidth="0" w:num="1">
            <w:col w:w="10420"/>
          </w:cols>
          <w:pgMar w:left="720" w:top="961" w:right="740" w:bottom="0" w:gutter="0" w:footer="0" w:header="0"/>
          <w:type w:val="continuous"/>
        </w:sectPr>
      </w:pPr>
    </w:p>
    <w:bookmarkStart w:id="92" w:name="page93"/>
    <w:bookmarkEnd w:id="92"/>
    <w:p>
      <w:pPr>
        <w:ind w:left="2"/>
        <w:spacing w:after="0"/>
        <w:rPr>
          <w:sz w:val="20"/>
          <w:szCs w:val="20"/>
          <w:color w:val="auto"/>
        </w:rPr>
      </w:pPr>
      <w:r>
        <w:rPr>
          <w:rFonts w:ascii="Times New Roman" w:cs="Times New Roman" w:eastAsia="Times New Roman" w:hAnsi="Times New Roman"/>
          <w:sz w:val="40"/>
          <w:szCs w:val="40"/>
          <w:color w:val="auto"/>
        </w:rPr>
        <w:t>Lucid Group, Inc.</w:t>
      </w:r>
    </w:p>
    <w:p>
      <w:pPr>
        <w:ind w:left="2"/>
        <w:spacing w:after="0"/>
        <w:rPr>
          <w:sz w:val="20"/>
          <w:szCs w:val="20"/>
          <w:color w:val="auto"/>
        </w:rPr>
      </w:pPr>
      <w:r>
        <w:rPr>
          <w:rFonts w:ascii="Times New Roman" w:cs="Times New Roman" w:eastAsia="Times New Roman" w:hAnsi="Times New Roman"/>
          <w:sz w:val="40"/>
          <w:szCs w:val="40"/>
          <w:color w:val="auto"/>
        </w:rPr>
        <w:t>Amended and Restated 2021 Stock Incentive Plan</w:t>
      </w:r>
    </w:p>
    <w:p>
      <w:pPr>
        <w:spacing w:after="0" w:line="200" w:lineRule="exact"/>
        <w:rPr>
          <w:sz w:val="20"/>
          <w:szCs w:val="20"/>
          <w:color w:val="auto"/>
        </w:rPr>
      </w:pPr>
    </w:p>
    <w:p>
      <w:pPr>
        <w:spacing w:after="0" w:line="245"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ESTABLISHMENT AND PURPOSE.</w:t>
      </w:r>
    </w:p>
    <w:p>
      <w:pPr>
        <w:spacing w:after="0" w:line="193" w:lineRule="exact"/>
        <w:rPr>
          <w:sz w:val="20"/>
          <w:szCs w:val="20"/>
          <w:color w:val="auto"/>
        </w:rPr>
      </w:pPr>
    </w:p>
    <w:p>
      <w:pPr>
        <w:ind w:left="2" w:right="40"/>
        <w:spacing w:after="0" w:line="276" w:lineRule="auto"/>
        <w:rPr>
          <w:sz w:val="20"/>
          <w:szCs w:val="20"/>
          <w:color w:val="auto"/>
        </w:rPr>
      </w:pPr>
      <w:r>
        <w:rPr>
          <w:rFonts w:ascii="Arial" w:cs="Arial" w:eastAsia="Arial" w:hAnsi="Arial"/>
          <w:sz w:val="18"/>
          <w:szCs w:val="18"/>
          <w:color w:val="auto"/>
        </w:rPr>
        <w:t>The Plan was initially adopted by the Board on February 22, 2021. The Plan was amended on June 21, 2021, amended and restated on April 27, 2022, amended and restated on March 2, 2023, amended and restated on April 22, 2024, and further amended and restated on April 22, 2025.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224" w:lineRule="exact"/>
        <w:rPr>
          <w:sz w:val="20"/>
          <w:szCs w:val="20"/>
          <w:color w:val="auto"/>
        </w:rPr>
      </w:pPr>
    </w:p>
    <w:p>
      <w:pPr>
        <w:ind w:left="2"/>
        <w:spacing w:after="0" w:line="274" w:lineRule="auto"/>
        <w:rPr>
          <w:sz w:val="20"/>
          <w:szCs w:val="20"/>
          <w:color w:val="auto"/>
        </w:rPr>
      </w:pPr>
      <w:r>
        <w:rPr>
          <w:rFonts w:ascii="Arial" w:cs="Arial" w:eastAsia="Arial" w:hAnsi="Arial"/>
          <w:sz w:val="18"/>
          <w:szCs w:val="18"/>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“Returning Shares”)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200" w:lineRule="exact"/>
        <w:rPr>
          <w:sz w:val="20"/>
          <w:szCs w:val="20"/>
          <w:color w:val="auto"/>
        </w:rPr>
      </w:pPr>
    </w:p>
    <w:p>
      <w:pPr>
        <w:spacing w:after="0" w:line="285"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2.</w:t>
        <w:tab/>
        <w:t>DEFINITIONS.</w:t>
      </w:r>
    </w:p>
    <w:p>
      <w:pPr>
        <w:spacing w:after="0" w:line="193" w:lineRule="exact"/>
        <w:rPr>
          <w:sz w:val="20"/>
          <w:szCs w:val="20"/>
          <w:color w:val="auto"/>
        </w:rPr>
      </w:pPr>
    </w:p>
    <w:p>
      <w:pPr>
        <w:ind w:left="402" w:hanging="402"/>
        <w:spacing w:after="0"/>
        <w:tabs>
          <w:tab w:leader="none" w:pos="4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“2009 Plan” means the 2009 Share Plan of Atieva, Inc., as amended.</w:t>
      </w:r>
    </w:p>
    <w:p>
      <w:pPr>
        <w:spacing w:after="0" w:line="268" w:lineRule="exact"/>
        <w:rPr>
          <w:rFonts w:ascii="Arial" w:cs="Arial" w:eastAsia="Arial" w:hAnsi="Arial"/>
          <w:sz w:val="18"/>
          <w:szCs w:val="18"/>
          <w:color w:val="auto"/>
        </w:rPr>
      </w:pPr>
    </w:p>
    <w:p>
      <w:pPr>
        <w:ind w:left="422" w:hanging="422"/>
        <w:spacing w:after="0"/>
        <w:tabs>
          <w:tab w:leader="none" w:pos="4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“2014 Plan” means the 2014 Share Plan of Atieva, Inc., as amended.</w:t>
      </w:r>
    </w:p>
    <w:p>
      <w:pPr>
        <w:spacing w:after="0" w:line="268" w:lineRule="exact"/>
        <w:rPr>
          <w:rFonts w:ascii="Arial" w:cs="Arial" w:eastAsia="Arial" w:hAnsi="Arial"/>
          <w:sz w:val="18"/>
          <w:szCs w:val="18"/>
          <w:color w:val="auto"/>
        </w:rPr>
      </w:pPr>
    </w:p>
    <w:p>
      <w:pPr>
        <w:ind w:left="402" w:hanging="402"/>
        <w:spacing w:after="0"/>
        <w:tabs>
          <w:tab w:leader="none" w:pos="4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“2021 Plan” means the Atieva, Inc. 2021 Stock Incentive Plan, as amended.</w:t>
      </w:r>
    </w:p>
    <w:p>
      <w:pPr>
        <w:spacing w:after="0" w:line="268" w:lineRule="exact"/>
        <w:rPr>
          <w:rFonts w:ascii="Arial" w:cs="Arial" w:eastAsia="Arial" w:hAnsi="Arial"/>
          <w:sz w:val="18"/>
          <w:szCs w:val="18"/>
          <w:color w:val="auto"/>
        </w:rPr>
      </w:pPr>
    </w:p>
    <w:p>
      <w:pPr>
        <w:ind w:left="2" w:right="320" w:hanging="2"/>
        <w:spacing w:after="0" w:line="287" w:lineRule="auto"/>
        <w:tabs>
          <w:tab w:leader="none" w:pos="4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“Affiliate” means any entity other than a Subsidiary, if the Company and/or one or more Subsidiaries own not less than 50% of such entity.</w:t>
      </w:r>
    </w:p>
    <w:p>
      <w:pPr>
        <w:spacing w:after="0" w:line="215" w:lineRule="exact"/>
        <w:rPr>
          <w:rFonts w:ascii="Arial" w:cs="Arial" w:eastAsia="Arial" w:hAnsi="Arial"/>
          <w:sz w:val="18"/>
          <w:szCs w:val="18"/>
          <w:color w:val="auto"/>
        </w:rPr>
      </w:pPr>
    </w:p>
    <w:p>
      <w:pPr>
        <w:ind w:left="2" w:right="80" w:hanging="2"/>
        <w:spacing w:after="0" w:line="287" w:lineRule="auto"/>
        <w:tabs>
          <w:tab w:leader="none" w:pos="4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“Award” means any award of an Option, a SAR, a Restricted Share, a Restricted Stock Unit, a Cash-Based Award or a Stock Purchase Right under the Plan.</w:t>
      </w:r>
    </w:p>
    <w:p>
      <w:pPr>
        <w:spacing w:after="0" w:line="215" w:lineRule="exact"/>
        <w:rPr>
          <w:rFonts w:ascii="Arial" w:cs="Arial" w:eastAsia="Arial" w:hAnsi="Arial"/>
          <w:sz w:val="18"/>
          <w:szCs w:val="18"/>
          <w:color w:val="auto"/>
        </w:rPr>
      </w:pPr>
    </w:p>
    <w:p>
      <w:pPr>
        <w:ind w:left="2" w:right="140" w:hanging="2"/>
        <w:spacing w:after="0" w:line="287" w:lineRule="auto"/>
        <w:tabs>
          <w:tab w:leader="none" w:pos="3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“Award Agreement” means the agreement between the Company and the recipient of an Award which contains the terms, conditions and restrictions pertaining to such Award.</w:t>
      </w:r>
    </w:p>
    <w:p>
      <w:pPr>
        <w:spacing w:after="0" w:line="215" w:lineRule="exact"/>
        <w:rPr>
          <w:rFonts w:ascii="Arial" w:cs="Arial" w:eastAsia="Arial" w:hAnsi="Arial"/>
          <w:sz w:val="18"/>
          <w:szCs w:val="18"/>
          <w:color w:val="auto"/>
        </w:rPr>
      </w:pPr>
    </w:p>
    <w:p>
      <w:pPr>
        <w:ind w:left="422" w:hanging="422"/>
        <w:spacing w:after="0"/>
        <w:tabs>
          <w:tab w:leader="none" w:pos="4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“Board of Directors” or “Board” means the Board of Directors of the Company, as constituted from time to time.</w:t>
      </w:r>
    </w:p>
    <w:p>
      <w:pPr>
        <w:spacing w:after="0" w:line="268" w:lineRule="exact"/>
        <w:rPr>
          <w:rFonts w:ascii="Arial" w:cs="Arial" w:eastAsia="Arial" w:hAnsi="Arial"/>
          <w:sz w:val="18"/>
          <w:szCs w:val="18"/>
          <w:color w:val="auto"/>
        </w:rPr>
      </w:pPr>
    </w:p>
    <w:p>
      <w:pPr>
        <w:ind w:left="422" w:hanging="422"/>
        <w:spacing w:after="0"/>
        <w:tabs>
          <w:tab w:leader="none" w:pos="4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“Cash-Based Award” means an Award that entitles the Participant to receive a cash-denominated payment.</w:t>
      </w:r>
    </w:p>
    <w:p>
      <w:pPr>
        <w:spacing w:after="0" w:line="268" w:lineRule="exact"/>
        <w:rPr>
          <w:rFonts w:ascii="Arial" w:cs="Arial" w:eastAsia="Arial" w:hAnsi="Arial"/>
          <w:sz w:val="18"/>
          <w:szCs w:val="18"/>
          <w:color w:val="auto"/>
        </w:rPr>
      </w:pPr>
    </w:p>
    <w:p>
      <w:pPr>
        <w:ind w:left="2" w:right="140" w:hanging="2"/>
        <w:spacing w:after="0" w:line="273" w:lineRule="auto"/>
        <w:tabs>
          <w:tab w:leader="none" w:pos="3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“Cause” means, unless such term or an equivalent term is otherwise defined by the applicable Award Agreement or other written agreement between a Participant and the Company applicable to an Award, any of the following:</w:t>
      </w:r>
    </w:p>
    <w:p>
      <w:pPr>
        <w:ind w:left="2" w:right="80" w:hanging="2"/>
        <w:spacing w:after="0" w:line="275" w:lineRule="auto"/>
        <w:tabs>
          <w:tab w:leader="none" w:pos="2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w:t>
      </w:r>
    </w:p>
    <w:p>
      <w:pPr>
        <w:spacing w:after="0" w:line="1"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(iv) Participant’s gross incompetence in performing his or her duties to the Company or any of its Subsidiaries or Affiliates,</w:t>
      </w:r>
    </w:p>
    <w:p>
      <w:pPr>
        <w:spacing w:after="0" w:line="30" w:lineRule="exact"/>
        <w:rPr>
          <w:rFonts w:ascii="Arial" w:cs="Arial" w:eastAsia="Arial" w:hAnsi="Arial"/>
          <w:sz w:val="18"/>
          <w:szCs w:val="18"/>
          <w:color w:val="auto"/>
        </w:rPr>
      </w:pPr>
    </w:p>
    <w:p>
      <w:pPr>
        <w:ind w:left="2" w:hanging="2"/>
        <w:spacing w:after="0" w:line="290" w:lineRule="auto"/>
        <w:tabs>
          <w:tab w:leader="none" w:pos="2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Participant’s material failure to comply with applicable laws or governmental regulations related to or in the course of Participant’s employment with or providing services to the Company or any of its Subsidiaries or Affiliates, (vi) unauthorized</w:t>
      </w:r>
    </w:p>
    <w:p>
      <w:pPr>
        <w:sectPr>
          <w:pgSz w:w="11880" w:h="15480" w:orient="portrait"/>
          <w:cols w:equalWidth="0" w:num="1">
            <w:col w:w="10422"/>
          </w:cols>
          <w:pgMar w:left="718" w:top="851" w:right="7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101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w:t>
      </w:r>
    </w:p>
    <w:p>
      <w:pPr>
        <w:sectPr>
          <w:pgSz w:w="11880" w:h="15480" w:orient="portrait"/>
          <w:cols w:equalWidth="0" w:num="1">
            <w:col w:w="10422"/>
          </w:cols>
          <w:pgMar w:left="718" w:top="851" w:right="740" w:bottom="0" w:gutter="0" w:footer="0" w:header="0"/>
          <w:type w:val="continuous"/>
        </w:sectPr>
      </w:pPr>
    </w:p>
    <w:bookmarkStart w:id="93" w:name="page94"/>
    <w:bookmarkEnd w:id="93"/>
    <w:p>
      <w:pPr>
        <w:ind w:left="2" w:right="400"/>
        <w:spacing w:after="0" w:line="270" w:lineRule="auto"/>
        <w:rPr>
          <w:sz w:val="20"/>
          <w:szCs w:val="20"/>
          <w:color w:val="auto"/>
        </w:rPr>
      </w:pPr>
      <w:r>
        <w:rPr>
          <w:rFonts w:ascii="Arial" w:cs="Arial" w:eastAsia="Arial" w:hAnsi="Arial"/>
          <w:sz w:val="18"/>
          <w:szCs w:val="18"/>
          <w:color w:val="auto"/>
        </w:rPr>
        <w:t>use or disclosure by Participant of any proprietary information or trade secrets of the Company or any other party to whom the Participant owes an obligation of nondisclosure as a result of his or her relationship with the Company; or</w:t>
      </w:r>
    </w:p>
    <w:p>
      <w:pPr>
        <w:spacing w:after="0" w:line="1" w:lineRule="exact"/>
        <w:rPr>
          <w:sz w:val="20"/>
          <w:szCs w:val="20"/>
          <w:color w:val="auto"/>
        </w:rPr>
      </w:pPr>
    </w:p>
    <w:p>
      <w:pPr>
        <w:ind w:left="2" w:hanging="2"/>
        <w:spacing w:after="0" w:line="274" w:lineRule="auto"/>
        <w:tabs>
          <w:tab w:leader="none" w:pos="3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225" w:lineRule="exact"/>
        <w:rPr>
          <w:sz w:val="20"/>
          <w:szCs w:val="20"/>
          <w:color w:val="auto"/>
        </w:rPr>
      </w:pPr>
    </w:p>
    <w:p>
      <w:pPr>
        <w:ind w:left="362" w:hanging="362"/>
        <w:spacing w:after="0"/>
        <w:tabs>
          <w:tab w:leader="none" w:pos="3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66" w:lineRule="exact"/>
        <w:rPr>
          <w:rFonts w:ascii="Arial" w:cs="Arial" w:eastAsia="Arial" w:hAnsi="Arial"/>
          <w:sz w:val="18"/>
          <w:szCs w:val="18"/>
          <w:color w:val="auto"/>
        </w:rPr>
      </w:pPr>
    </w:p>
    <w:p>
      <w:pPr>
        <w:ind w:left="702" w:right="500" w:hanging="402"/>
        <w:spacing w:after="0" w:line="285" w:lineRule="auto"/>
        <w:tabs>
          <w:tab w:leader="none" w:pos="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change in the composition of the Board occurs, as a result of which fewer than one-half of the incumbent directors are directors who either:</w:t>
      </w:r>
    </w:p>
    <w:p>
      <w:pPr>
        <w:spacing w:after="0" w:line="214" w:lineRule="exact"/>
        <w:rPr>
          <w:rFonts w:ascii="Arial" w:cs="Arial" w:eastAsia="Arial" w:hAnsi="Arial"/>
          <w:sz w:val="18"/>
          <w:szCs w:val="18"/>
          <w:color w:val="auto"/>
        </w:rPr>
      </w:pPr>
    </w:p>
    <w:p>
      <w:pPr>
        <w:ind w:left="1102" w:hanging="403"/>
        <w:spacing w:after="0"/>
        <w:tabs>
          <w:tab w:leader="none" w:pos="11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Had been directors of the Company on the “look-back date” (as defined below) (the “original directors”); or</w:t>
      </w:r>
    </w:p>
    <w:p>
      <w:pPr>
        <w:spacing w:after="0" w:line="268" w:lineRule="exact"/>
        <w:rPr>
          <w:rFonts w:ascii="Arial" w:cs="Arial" w:eastAsia="Arial" w:hAnsi="Arial"/>
          <w:sz w:val="18"/>
          <w:szCs w:val="18"/>
          <w:color w:val="auto"/>
        </w:rPr>
      </w:pPr>
    </w:p>
    <w:p>
      <w:pPr>
        <w:ind w:left="1102" w:right="60" w:hanging="403"/>
        <w:spacing w:after="0" w:line="280" w:lineRule="auto"/>
        <w:tabs>
          <w:tab w:leader="none" w:pos="11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222" w:lineRule="exact"/>
        <w:rPr>
          <w:sz w:val="20"/>
          <w:szCs w:val="20"/>
          <w:color w:val="auto"/>
        </w:rPr>
      </w:pPr>
    </w:p>
    <w:p>
      <w:pPr>
        <w:ind w:left="702"/>
        <w:spacing w:after="0"/>
        <w:rPr>
          <w:sz w:val="20"/>
          <w:szCs w:val="20"/>
          <w:color w:val="auto"/>
        </w:rPr>
      </w:pPr>
      <w:r>
        <w:rPr>
          <w:rFonts w:ascii="Arial" w:cs="Arial" w:eastAsia="Arial" w:hAnsi="Arial"/>
          <w:sz w:val="18"/>
          <w:szCs w:val="18"/>
          <w:color w:val="auto"/>
        </w:rPr>
        <w:t>provided, however, that for this purpose, the “original directors” and “continuing directors” shall not include any</w:t>
      </w:r>
    </w:p>
    <w:p>
      <w:pPr>
        <w:spacing w:after="0" w:line="28" w:lineRule="exact"/>
        <w:rPr>
          <w:sz w:val="20"/>
          <w:szCs w:val="20"/>
          <w:color w:val="auto"/>
        </w:rPr>
      </w:pPr>
    </w:p>
    <w:p>
      <w:pPr>
        <w:ind w:left="702"/>
        <w:spacing w:after="0"/>
        <w:rPr>
          <w:sz w:val="20"/>
          <w:szCs w:val="20"/>
          <w:color w:val="auto"/>
        </w:rPr>
      </w:pPr>
      <w:r>
        <w:rPr>
          <w:rFonts w:ascii="Arial" w:cs="Arial" w:eastAsia="Arial" w:hAnsi="Arial"/>
          <w:sz w:val="18"/>
          <w:szCs w:val="18"/>
          <w:color w:val="auto"/>
        </w:rPr>
        <w:t>individual whose initial assumption of office occurred as a result of an actual or threatened election contest</w:t>
      </w:r>
    </w:p>
    <w:p>
      <w:pPr>
        <w:spacing w:after="0" w:line="28" w:lineRule="exact"/>
        <w:rPr>
          <w:sz w:val="20"/>
          <w:szCs w:val="20"/>
          <w:color w:val="auto"/>
        </w:rPr>
      </w:pPr>
    </w:p>
    <w:p>
      <w:pPr>
        <w:ind w:left="702"/>
        <w:spacing w:after="0"/>
        <w:rPr>
          <w:sz w:val="20"/>
          <w:szCs w:val="20"/>
          <w:color w:val="auto"/>
        </w:rPr>
      </w:pPr>
      <w:r>
        <w:rPr>
          <w:rFonts w:ascii="Arial" w:cs="Arial" w:eastAsia="Arial" w:hAnsi="Arial"/>
          <w:sz w:val="18"/>
          <w:szCs w:val="18"/>
          <w:color w:val="auto"/>
        </w:rPr>
        <w:t>with respect to the election or removal of directors or other actual or threatened solicitation of proxies or consents,</w:t>
      </w:r>
    </w:p>
    <w:p>
      <w:pPr>
        <w:spacing w:after="0" w:line="28" w:lineRule="exact"/>
        <w:rPr>
          <w:sz w:val="20"/>
          <w:szCs w:val="20"/>
          <w:color w:val="auto"/>
        </w:rPr>
      </w:pPr>
    </w:p>
    <w:p>
      <w:pPr>
        <w:ind w:left="702"/>
        <w:spacing w:after="0"/>
        <w:rPr>
          <w:sz w:val="20"/>
          <w:szCs w:val="20"/>
          <w:color w:val="auto"/>
        </w:rPr>
      </w:pPr>
      <w:r>
        <w:rPr>
          <w:rFonts w:ascii="Arial" w:cs="Arial" w:eastAsia="Arial" w:hAnsi="Arial"/>
          <w:sz w:val="18"/>
          <w:szCs w:val="18"/>
          <w:color w:val="auto"/>
        </w:rPr>
        <w:t>by or on behalf of a person other than the Board;</w:t>
      </w:r>
    </w:p>
    <w:p>
      <w:pPr>
        <w:spacing w:after="0" w:line="268" w:lineRule="exact"/>
        <w:rPr>
          <w:sz w:val="20"/>
          <w:szCs w:val="20"/>
          <w:color w:val="auto"/>
        </w:rPr>
      </w:pPr>
    </w:p>
    <w:p>
      <w:pPr>
        <w:ind w:left="702" w:hanging="402"/>
        <w:spacing w:after="0" w:line="275"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702" w:right="160" w:hanging="402"/>
        <w:spacing w:after="0" w:line="273"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w:t>
      </w:r>
    </w:p>
    <w:p>
      <w:pPr>
        <w:ind w:left="702" w:right="640"/>
        <w:spacing w:after="0" w:line="287" w:lineRule="auto"/>
        <w:rPr>
          <w:rFonts w:ascii="Arial" w:cs="Arial" w:eastAsia="Arial" w:hAnsi="Arial"/>
          <w:sz w:val="18"/>
          <w:szCs w:val="18"/>
          <w:color w:val="auto"/>
        </w:rPr>
      </w:pPr>
      <w:r>
        <w:rPr>
          <w:rFonts w:ascii="Arial" w:cs="Arial" w:eastAsia="Arial" w:hAnsi="Arial"/>
          <w:sz w:val="18"/>
          <w:szCs w:val="18"/>
          <w:color w:val="auto"/>
        </w:rPr>
        <w:t>(A) the Company (or its successor) and (B) any direct or indirect parent corporation of the Company (or its successor); or</w:t>
      </w:r>
    </w:p>
    <w:p>
      <w:pPr>
        <w:spacing w:after="0" w:line="215" w:lineRule="exact"/>
        <w:rPr>
          <w:rFonts w:ascii="Arial" w:cs="Arial" w:eastAsia="Arial" w:hAnsi="Arial"/>
          <w:sz w:val="18"/>
          <w:szCs w:val="18"/>
          <w:color w:val="auto"/>
        </w:rPr>
      </w:pPr>
    </w:p>
    <w:p>
      <w:pPr>
        <w:ind w:left="702" w:hanging="402"/>
        <w:spacing w:after="0"/>
        <w:tabs>
          <w:tab w:leader="none" w:pos="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68" w:lineRule="exact"/>
        <w:rPr>
          <w:sz w:val="20"/>
          <w:szCs w:val="20"/>
          <w:color w:val="auto"/>
        </w:rPr>
      </w:pPr>
    </w:p>
    <w:p>
      <w:pPr>
        <w:ind w:left="2" w:right="280"/>
        <w:spacing w:after="0" w:line="287" w:lineRule="auto"/>
        <w:rPr>
          <w:sz w:val="20"/>
          <w:szCs w:val="20"/>
          <w:color w:val="auto"/>
        </w:rPr>
      </w:pPr>
      <w:r>
        <w:rPr>
          <w:rFonts w:ascii="Arial" w:cs="Arial" w:eastAsia="Arial" w:hAnsi="Arial"/>
          <w:sz w:val="18"/>
          <w:szCs w:val="18"/>
          <w:color w:val="auto"/>
        </w:rPr>
        <w:t>For purposes of subsection (j)(i) above, the term “look-back” date means the later of (1) the Effective Date and (2) the date that is 24 months prior to the date of the event that may constitute a Change in Control.</w:t>
      </w:r>
    </w:p>
    <w:p>
      <w:pPr>
        <w:spacing w:after="0" w:line="215" w:lineRule="exact"/>
        <w:rPr>
          <w:sz w:val="20"/>
          <w:szCs w:val="20"/>
          <w:color w:val="auto"/>
        </w:rPr>
      </w:pPr>
    </w:p>
    <w:p>
      <w:pPr>
        <w:ind w:left="2" w:right="20"/>
        <w:spacing w:after="0" w:line="277" w:lineRule="auto"/>
        <w:rPr>
          <w:sz w:val="20"/>
          <w:szCs w:val="20"/>
          <w:color w:val="auto"/>
        </w:rPr>
      </w:pPr>
      <w:r>
        <w:rPr>
          <w:rFonts w:ascii="Arial" w:cs="Arial" w:eastAsia="Arial" w:hAnsi="Arial"/>
          <w:sz w:val="18"/>
          <w:szCs w:val="18"/>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226" w:lineRule="exact"/>
        <w:rPr>
          <w:sz w:val="20"/>
          <w:szCs w:val="20"/>
          <w:color w:val="auto"/>
        </w:rPr>
      </w:pPr>
    </w:p>
    <w:p>
      <w:pPr>
        <w:ind w:left="2" w:right="60"/>
        <w:spacing w:after="0" w:line="277" w:lineRule="auto"/>
        <w:rPr>
          <w:sz w:val="20"/>
          <w:szCs w:val="20"/>
          <w:color w:val="auto"/>
        </w:rPr>
      </w:pPr>
      <w:r>
        <w:rPr>
          <w:rFonts w:ascii="Arial" w:cs="Arial" w:eastAsia="Arial" w:hAnsi="Arial"/>
          <w:sz w:val="18"/>
          <w:szCs w:val="18"/>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94" w:name="page95"/>
    <w:bookmarkEnd w:id="94"/>
    <w:p>
      <w:pPr>
        <w:ind w:left="2" w:right="700" w:hanging="2"/>
        <w:spacing w:after="0" w:line="285" w:lineRule="auto"/>
        <w:tabs>
          <w:tab w:leader="none" w:pos="4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 and the rules and regulations promulgated thereunder.</w:t>
      </w:r>
    </w:p>
    <w:p>
      <w:pPr>
        <w:spacing w:after="0" w:line="214" w:lineRule="exact"/>
        <w:rPr>
          <w:rFonts w:ascii="Arial" w:cs="Arial" w:eastAsia="Arial" w:hAnsi="Arial"/>
          <w:sz w:val="18"/>
          <w:szCs w:val="18"/>
          <w:color w:val="auto"/>
        </w:rPr>
      </w:pPr>
    </w:p>
    <w:p>
      <w:pPr>
        <w:ind w:left="2" w:right="700" w:hanging="2"/>
        <w:spacing w:after="0" w:line="285" w:lineRule="auto"/>
        <w:tabs>
          <w:tab w:leader="none" w:pos="3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“Committee” means the Compensation and Human Capital Committee as designated by the Board, which is authorized to administer the Plan, as described in Section 3 hereof.</w:t>
      </w:r>
    </w:p>
    <w:p>
      <w:pPr>
        <w:spacing w:after="0" w:line="214" w:lineRule="exact"/>
        <w:rPr>
          <w:rFonts w:ascii="Arial" w:cs="Arial" w:eastAsia="Arial" w:hAnsi="Arial"/>
          <w:sz w:val="18"/>
          <w:szCs w:val="18"/>
          <w:color w:val="auto"/>
        </w:rPr>
      </w:pPr>
    </w:p>
    <w:p>
      <w:pPr>
        <w:ind w:left="462" w:hanging="462"/>
        <w:spacing w:after="0"/>
        <w:tabs>
          <w:tab w:leader="none" w:pos="4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“Company” means Lucid Group, Inc., a Delaware corporation, or any successor thereto.</w:t>
      </w:r>
    </w:p>
    <w:p>
      <w:pPr>
        <w:spacing w:after="0" w:line="266" w:lineRule="exact"/>
        <w:rPr>
          <w:rFonts w:ascii="Arial" w:cs="Arial" w:eastAsia="Arial" w:hAnsi="Arial"/>
          <w:sz w:val="18"/>
          <w:szCs w:val="18"/>
          <w:color w:val="auto"/>
        </w:rPr>
      </w:pPr>
    </w:p>
    <w:p>
      <w:pPr>
        <w:ind w:left="2" w:hanging="2"/>
        <w:spacing w:after="0" w:line="274" w:lineRule="auto"/>
        <w:tabs>
          <w:tab w:leader="none" w:pos="4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“Consultant” means a natural person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 provided that such bona fide services shall not be in connection with the offer or sale of securities in a capital-raising transaction and do not directly or indirectly promote or maintain a market for the Company’s securities.</w:t>
      </w:r>
    </w:p>
    <w:p>
      <w:pPr>
        <w:spacing w:after="0" w:line="225" w:lineRule="exact"/>
        <w:rPr>
          <w:rFonts w:ascii="Arial" w:cs="Arial" w:eastAsia="Arial" w:hAnsi="Arial"/>
          <w:sz w:val="18"/>
          <w:szCs w:val="18"/>
          <w:color w:val="auto"/>
        </w:rPr>
      </w:pPr>
    </w:p>
    <w:p>
      <w:pPr>
        <w:ind w:left="422" w:hanging="422"/>
        <w:spacing w:after="0"/>
        <w:tabs>
          <w:tab w:leader="none" w:pos="4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“Disability” means any permanent and total disability as defined by Section 22(e)(3) of the Code.</w:t>
      </w:r>
    </w:p>
    <w:p>
      <w:pPr>
        <w:spacing w:after="0" w:line="266" w:lineRule="exact"/>
        <w:rPr>
          <w:rFonts w:ascii="Arial" w:cs="Arial" w:eastAsia="Arial" w:hAnsi="Arial"/>
          <w:sz w:val="18"/>
          <w:szCs w:val="18"/>
          <w:color w:val="auto"/>
        </w:rPr>
      </w:pPr>
    </w:p>
    <w:p>
      <w:pPr>
        <w:ind w:left="2" w:right="40" w:hanging="2"/>
        <w:spacing w:after="0" w:line="275"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224" w:lineRule="exact"/>
        <w:rPr>
          <w:rFonts w:ascii="Arial" w:cs="Arial" w:eastAsia="Arial" w:hAnsi="Arial"/>
          <w:sz w:val="18"/>
          <w:szCs w:val="18"/>
          <w:color w:val="auto"/>
        </w:rPr>
      </w:pPr>
    </w:p>
    <w:p>
      <w:pPr>
        <w:ind w:left="2" w:right="440" w:hanging="2"/>
        <w:spacing w:after="0" w:line="285" w:lineRule="auto"/>
        <w:tabs>
          <w:tab w:leader="none" w:pos="4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means any individual who is a common-law employee of the Company, a Parent, a Subsidiary, or an Affiliate.</w:t>
      </w:r>
    </w:p>
    <w:p>
      <w:pPr>
        <w:spacing w:after="0" w:line="214" w:lineRule="exact"/>
        <w:rPr>
          <w:rFonts w:ascii="Arial" w:cs="Arial" w:eastAsia="Arial" w:hAnsi="Arial"/>
          <w:sz w:val="18"/>
          <w:szCs w:val="18"/>
          <w:color w:val="auto"/>
        </w:rPr>
      </w:pPr>
    </w:p>
    <w:p>
      <w:pPr>
        <w:ind w:left="2" w:hanging="2"/>
        <w:spacing w:after="0" w:line="285" w:lineRule="auto"/>
        <w:tabs>
          <w:tab w:leader="none" w:pos="3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“ESPP Addendum” means the Lucid Group, Inc. Amended and Restated 2021 Employee Stock Purchase Plan attached to this Plan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2" w:hanging="2"/>
        <w:spacing w:after="0" w:line="285" w:lineRule="auto"/>
        <w:tabs>
          <w:tab w:leader="none" w:pos="3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 as amended, and the rules and regulations promulgated thereunder.</w:t>
      </w:r>
    </w:p>
    <w:p>
      <w:pPr>
        <w:spacing w:after="0" w:line="216" w:lineRule="exact"/>
        <w:rPr>
          <w:rFonts w:ascii="Arial" w:cs="Arial" w:eastAsia="Arial" w:hAnsi="Arial"/>
          <w:sz w:val="18"/>
          <w:szCs w:val="18"/>
          <w:color w:val="auto"/>
        </w:rPr>
      </w:pPr>
    </w:p>
    <w:p>
      <w:pPr>
        <w:ind w:left="2" w:right="60" w:hanging="2"/>
        <w:spacing w:after="0" w:line="277" w:lineRule="auto"/>
        <w:tabs>
          <w:tab w:leader="none" w:pos="3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225" w:lineRule="exact"/>
        <w:rPr>
          <w:rFonts w:ascii="Arial" w:cs="Arial" w:eastAsia="Arial" w:hAnsi="Arial"/>
          <w:sz w:val="18"/>
          <w:szCs w:val="18"/>
          <w:color w:val="auto"/>
        </w:rPr>
      </w:pPr>
    </w:p>
    <w:p>
      <w:pPr>
        <w:ind w:left="2" w:right="160" w:hanging="2"/>
        <w:spacing w:after="0" w:line="263" w:lineRule="auto"/>
        <w:tabs>
          <w:tab w:leader="none" w:pos="4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“Fair Market Value” with respect to a Share, means the market price of one Share, determined by the Committee as follows:</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702" w:right="40" w:hanging="402"/>
        <w:spacing w:after="0" w:line="276" w:lineRule="auto"/>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226" w:lineRule="exact"/>
        <w:rPr>
          <w:rFonts w:ascii="Arial" w:cs="Arial" w:eastAsia="Arial" w:hAnsi="Arial"/>
          <w:sz w:val="18"/>
          <w:szCs w:val="18"/>
          <w:color w:val="auto"/>
        </w:rPr>
      </w:pPr>
    </w:p>
    <w:p>
      <w:pPr>
        <w:ind w:left="702" w:hanging="402"/>
        <w:spacing w:after="0" w:line="282" w:lineRule="auto"/>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702" w:hanging="402"/>
        <w:spacing w:after="0" w:line="287" w:lineRule="auto"/>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none of the foregoing provisions is applicable, then the Fair Market Value shall be determined by the Committee in good faith on such basis as it deems appropriate.</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all cases, the determination of Fair Market Value by the Committee shall be conclusive and binding on all persons.</w:t>
      </w:r>
    </w:p>
    <w:p>
      <w:pPr>
        <w:spacing w:after="0" w:line="268" w:lineRule="exact"/>
        <w:rPr>
          <w:sz w:val="20"/>
          <w:szCs w:val="20"/>
          <w:color w:val="auto"/>
        </w:rPr>
      </w:pPr>
    </w:p>
    <w:p>
      <w:pPr>
        <w:ind w:left="402" w:hanging="402"/>
        <w:spacing w:after="0"/>
        <w:tabs>
          <w:tab w:leader="none" w:pos="4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“ISO” means an employee incentive stock option described in Section 422 of the Code.</w:t>
      </w:r>
    </w:p>
    <w:p>
      <w:pPr>
        <w:spacing w:after="0" w:line="268" w:lineRule="exact"/>
        <w:rPr>
          <w:rFonts w:ascii="Arial" w:cs="Arial" w:eastAsia="Arial" w:hAnsi="Arial"/>
          <w:sz w:val="18"/>
          <w:szCs w:val="18"/>
          <w:color w:val="auto"/>
        </w:rPr>
      </w:pPr>
    </w:p>
    <w:p>
      <w:pPr>
        <w:ind w:left="462" w:hanging="462"/>
        <w:spacing w:after="0"/>
        <w:tabs>
          <w:tab w:leader="none" w:pos="4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“Nonstatutory Option” or “NSO” means an employee stock option that is not an ISO or a Stock Purchase Right.</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48" w:lineRule="exact"/>
        <w:rPr>
          <w:sz w:val="20"/>
          <w:szCs w:val="20"/>
          <w:color w:val="auto"/>
        </w:rPr>
      </w:pPr>
    </w:p>
    <w:p>
      <w:pPr>
        <w:ind w:left="2"/>
        <w:spacing w:after="0"/>
        <w:tabs>
          <w:tab w:leader="none" w:pos="101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A-3</w:t>
      </w:r>
    </w:p>
    <w:p>
      <w:pPr>
        <w:sectPr>
          <w:pgSz w:w="11880" w:h="15480" w:orient="portrait"/>
          <w:cols w:equalWidth="0" w:num="1">
            <w:col w:w="10422"/>
          </w:cols>
          <w:pgMar w:left="718" w:top="943" w:right="740" w:bottom="0" w:gutter="0" w:footer="0" w:header="0"/>
          <w:type w:val="continuous"/>
        </w:sectPr>
      </w:pPr>
    </w:p>
    <w:bookmarkStart w:id="95" w:name="page96"/>
    <w:bookmarkEnd w:id="95"/>
    <w:p>
      <w:pPr>
        <w:ind w:left="402" w:hanging="402"/>
        <w:spacing w:after="0"/>
        <w:tabs>
          <w:tab w:leader="none" w:pos="402"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 means an ISO or NSO granted under the Plan and entitling the holder to purchase Shares.</w:t>
      </w:r>
    </w:p>
    <w:p>
      <w:pPr>
        <w:spacing w:after="0" w:line="266" w:lineRule="exact"/>
        <w:rPr>
          <w:rFonts w:ascii="Arial" w:cs="Arial" w:eastAsia="Arial" w:hAnsi="Arial"/>
          <w:sz w:val="18"/>
          <w:szCs w:val="18"/>
          <w:color w:val="auto"/>
        </w:rPr>
      </w:pPr>
    </w:p>
    <w:p>
      <w:pPr>
        <w:ind w:left="2" w:right="160" w:hanging="2"/>
        <w:spacing w:after="0" w:line="285" w:lineRule="auto"/>
        <w:tabs>
          <w:tab w:leader="none" w:pos="4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“Outside Director” means a member of the Board who is not a common-law employee of, or paid consultant to, the Company, a Parent or a Subsidiary.</w:t>
      </w:r>
    </w:p>
    <w:p>
      <w:pPr>
        <w:spacing w:after="0" w:line="214" w:lineRule="exact"/>
        <w:rPr>
          <w:rFonts w:ascii="Arial" w:cs="Arial" w:eastAsia="Arial" w:hAnsi="Arial"/>
          <w:sz w:val="18"/>
          <w:szCs w:val="18"/>
          <w:color w:val="auto"/>
        </w:rPr>
      </w:pPr>
    </w:p>
    <w:p>
      <w:pPr>
        <w:ind w:left="2" w:right="20" w:hanging="2"/>
        <w:spacing w:after="0" w:line="275" w:lineRule="auto"/>
        <w:tabs>
          <w:tab w:leader="none" w:pos="4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225" w:lineRule="exact"/>
        <w:rPr>
          <w:sz w:val="20"/>
          <w:szCs w:val="20"/>
          <w:color w:val="auto"/>
        </w:rPr>
      </w:pPr>
    </w:p>
    <w:p>
      <w:pPr>
        <w:ind w:left="502" w:hanging="502"/>
        <w:spacing w:after="0"/>
        <w:tabs>
          <w:tab w:leader="none" w:pos="5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“Participant” means a person who holds an Award.</w:t>
      </w:r>
    </w:p>
    <w:p>
      <w:pPr>
        <w:spacing w:after="0" w:line="266" w:lineRule="exact"/>
        <w:rPr>
          <w:rFonts w:ascii="Arial" w:cs="Arial" w:eastAsia="Arial" w:hAnsi="Arial"/>
          <w:sz w:val="18"/>
          <w:szCs w:val="18"/>
          <w:color w:val="auto"/>
        </w:rPr>
      </w:pPr>
    </w:p>
    <w:p>
      <w:pPr>
        <w:ind w:left="2" w:right="220" w:hanging="2"/>
        <w:spacing w:after="0" w:line="262" w:lineRule="auto"/>
        <w:tabs>
          <w:tab w:leader="none" w:pos="5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“Plan” means this Amended and Restated 2021 Stock Incentive Plan of Lucid Group, Inc., as amended from time to time.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02" w:hanging="502"/>
        <w:spacing w:after="0"/>
        <w:tabs>
          <w:tab w:leader="none" w:pos="5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“Purchase Price” means the consideration for which one Share may be acquired under the Plan (other than upon</w:t>
      </w:r>
    </w:p>
    <w:p>
      <w:pPr>
        <w:spacing w:after="0" w:line="26" w:lineRule="exact"/>
        <w:rPr>
          <w:rFonts w:ascii="Arial" w:cs="Arial" w:eastAsia="Arial" w:hAnsi="Arial"/>
          <w:sz w:val="18"/>
          <w:szCs w:val="18"/>
          <w:color w:val="auto"/>
        </w:rPr>
      </w:pPr>
    </w:p>
    <w:p>
      <w:pPr>
        <w:ind w:left="2" w:right="160" w:hanging="2"/>
        <w:spacing w:after="0" w:line="285" w:lineRule="auto"/>
        <w:tabs>
          <w:tab w:leader="none" w:pos="2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exercise of an Option or (ii) exercise of any Stock Purchase Right under the ESPP Addendum), as specified by the Committee.</w:t>
      </w:r>
    </w:p>
    <w:p>
      <w:pPr>
        <w:spacing w:after="0" w:line="214" w:lineRule="exact"/>
        <w:rPr>
          <w:rFonts w:ascii="Arial" w:cs="Arial" w:eastAsia="Arial" w:hAnsi="Arial"/>
          <w:sz w:val="18"/>
          <w:szCs w:val="18"/>
          <w:color w:val="auto"/>
        </w:rPr>
      </w:pPr>
    </w:p>
    <w:p>
      <w:pPr>
        <w:ind w:left="2" w:hanging="2"/>
        <w:spacing w:after="0" w:line="275" w:lineRule="auto"/>
        <w:tabs>
          <w:tab w:leader="none" w:pos="5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“Restatement Date” means the date of the Company’s 2022 Annual Meeting of Stockholders, “Second Restatement Date” means the date of the Company’s 2023 Annual Meeting of Stockholders, “Third Restatement Date” means the date of the Company’s 2024 Annual Meeting of Stockholders, and “Fourth Restatement Date” means the date of the Company’s 2025 Annual Meeting of Stockholders.</w:t>
      </w:r>
    </w:p>
    <w:p>
      <w:pPr>
        <w:spacing w:after="0" w:line="224" w:lineRule="exact"/>
        <w:rPr>
          <w:rFonts w:ascii="Arial" w:cs="Arial" w:eastAsia="Arial" w:hAnsi="Arial"/>
          <w:sz w:val="18"/>
          <w:szCs w:val="18"/>
          <w:color w:val="auto"/>
        </w:rPr>
      </w:pPr>
    </w:p>
    <w:p>
      <w:pPr>
        <w:ind w:left="522" w:hanging="522"/>
        <w:spacing w:after="0"/>
        <w:tabs>
          <w:tab w:leader="none" w:pos="5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“Restricted Share” means a Share awarded under the Plan.</w:t>
      </w:r>
    </w:p>
    <w:p>
      <w:pPr>
        <w:spacing w:after="0" w:line="266" w:lineRule="exact"/>
        <w:rPr>
          <w:rFonts w:ascii="Arial" w:cs="Arial" w:eastAsia="Arial" w:hAnsi="Arial"/>
          <w:sz w:val="18"/>
          <w:szCs w:val="18"/>
          <w:color w:val="auto"/>
        </w:rPr>
      </w:pPr>
    </w:p>
    <w:p>
      <w:pPr>
        <w:ind w:left="2" w:right="60" w:hanging="2"/>
        <w:spacing w:after="0" w:line="285" w:lineRule="auto"/>
        <w:tabs>
          <w:tab w:leader="none" w:pos="4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214" w:lineRule="exact"/>
        <w:rPr>
          <w:rFonts w:ascii="Arial" w:cs="Arial" w:eastAsia="Arial" w:hAnsi="Arial"/>
          <w:sz w:val="18"/>
          <w:szCs w:val="18"/>
          <w:color w:val="auto"/>
        </w:rPr>
      </w:pPr>
    </w:p>
    <w:p>
      <w:pPr>
        <w:ind w:left="542" w:hanging="542"/>
        <w:spacing w:after="0"/>
        <w:tabs>
          <w:tab w:leader="none" w:pos="5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“SAR” means a stock appreciation right granted under the Plan.</w:t>
      </w:r>
    </w:p>
    <w:p>
      <w:pPr>
        <w:spacing w:after="0" w:line="268" w:lineRule="exact"/>
        <w:rPr>
          <w:rFonts w:ascii="Arial" w:cs="Arial" w:eastAsia="Arial" w:hAnsi="Arial"/>
          <w:sz w:val="18"/>
          <w:szCs w:val="18"/>
          <w:color w:val="auto"/>
        </w:rPr>
      </w:pPr>
    </w:p>
    <w:p>
      <w:pPr>
        <w:ind w:left="522" w:hanging="522"/>
        <w:spacing w:after="0"/>
        <w:tabs>
          <w:tab w:leader="none" w:pos="5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409A” means Section 409A of the Code and any regulations or guidance promulgated thereunder.</w:t>
      </w:r>
    </w:p>
    <w:p>
      <w:pPr>
        <w:spacing w:after="0" w:line="268" w:lineRule="exact"/>
        <w:rPr>
          <w:rFonts w:ascii="Arial" w:cs="Arial" w:eastAsia="Arial" w:hAnsi="Arial"/>
          <w:sz w:val="18"/>
          <w:szCs w:val="18"/>
          <w:color w:val="auto"/>
        </w:rPr>
      </w:pPr>
    </w:p>
    <w:p>
      <w:pPr>
        <w:ind w:left="2" w:hanging="2"/>
        <w:spacing w:after="0" w:line="287" w:lineRule="auto"/>
        <w:tabs>
          <w:tab w:leader="none" w:pos="4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Act” means the United States Securities Act of 1933, as amended, the rules and regulations promulgated thereunder.</w:t>
      </w:r>
    </w:p>
    <w:p>
      <w:pPr>
        <w:spacing w:after="0" w:line="215" w:lineRule="exact"/>
        <w:rPr>
          <w:rFonts w:ascii="Arial" w:cs="Arial" w:eastAsia="Arial" w:hAnsi="Arial"/>
          <w:sz w:val="18"/>
          <w:szCs w:val="18"/>
          <w:color w:val="auto"/>
        </w:rPr>
      </w:pPr>
    </w:p>
    <w:p>
      <w:pPr>
        <w:ind w:left="2" w:hanging="2"/>
        <w:spacing w:after="0" w:line="275" w:lineRule="auto"/>
        <w:tabs>
          <w:tab w:leader="none" w:pos="4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02" w:hanging="502"/>
        <w:spacing w:after="0"/>
        <w:tabs>
          <w:tab w:leader="none" w:pos="5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 means one Share of Stock, as adjusted in accordance with Section 13 (if applicable).</w:t>
      </w:r>
    </w:p>
    <w:p>
      <w:pPr>
        <w:spacing w:after="0" w:line="268" w:lineRule="exact"/>
        <w:rPr>
          <w:rFonts w:ascii="Arial" w:cs="Arial" w:eastAsia="Arial" w:hAnsi="Arial"/>
          <w:sz w:val="18"/>
          <w:szCs w:val="18"/>
          <w:color w:val="auto"/>
        </w:rPr>
      </w:pPr>
    </w:p>
    <w:p>
      <w:pPr>
        <w:ind w:left="402" w:hanging="402"/>
        <w:spacing w:after="0"/>
        <w:tabs>
          <w:tab w:leader="none" w:pos="4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means the Common Stock of the Company.</w:t>
      </w:r>
    </w:p>
    <w:p>
      <w:pPr>
        <w:spacing w:after="0" w:line="268" w:lineRule="exact"/>
        <w:rPr>
          <w:rFonts w:ascii="Arial" w:cs="Arial" w:eastAsia="Arial" w:hAnsi="Arial"/>
          <w:sz w:val="18"/>
          <w:szCs w:val="18"/>
          <w:color w:val="auto"/>
        </w:rPr>
      </w:pPr>
    </w:p>
    <w:p>
      <w:pPr>
        <w:ind w:left="622" w:hanging="622"/>
        <w:spacing w:after="0"/>
        <w:tabs>
          <w:tab w:leader="none" w:pos="6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Purchase Right” means an option to purchase Shares granted pursuant to the ESPP Addendum.</w:t>
      </w:r>
    </w:p>
    <w:p>
      <w:pPr>
        <w:spacing w:after="0" w:line="268" w:lineRule="exact"/>
        <w:rPr>
          <w:rFonts w:ascii="Arial" w:cs="Arial" w:eastAsia="Arial" w:hAnsi="Arial"/>
          <w:sz w:val="18"/>
          <w:szCs w:val="18"/>
          <w:color w:val="auto"/>
        </w:rPr>
      </w:pPr>
    </w:p>
    <w:p>
      <w:pPr>
        <w:ind w:left="2" w:hanging="2"/>
        <w:spacing w:after="0" w:line="279" w:lineRule="auto"/>
        <w:tabs>
          <w:tab w:leader="none" w:pos="5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96" w:name="page97"/>
    <w:bookmarkEnd w:id="96"/>
    <w:p>
      <w:pPr>
        <w:ind w:left="2"/>
        <w:spacing w:after="0"/>
        <w:tabs>
          <w:tab w:leader="none" w:pos="1181" w:val="left"/>
        </w:tabs>
        <w:rPr>
          <w:sz w:val="20"/>
          <w:szCs w:val="20"/>
          <w:color w:val="auto"/>
        </w:rPr>
      </w:pPr>
      <w:r>
        <w:rPr>
          <w:rFonts w:ascii="Arial" w:cs="Arial" w:eastAsia="Arial" w:hAnsi="Arial"/>
          <w:sz w:val="18"/>
          <w:szCs w:val="18"/>
          <w:color w:val="auto"/>
        </w:rPr>
        <w:t>SECTION 3.</w:t>
        <w:tab/>
        <w:t>ADMINISTRATION.</w:t>
      </w:r>
    </w:p>
    <w:p>
      <w:pPr>
        <w:spacing w:after="0" w:line="193" w:lineRule="exact"/>
        <w:rPr>
          <w:sz w:val="20"/>
          <w:szCs w:val="20"/>
          <w:color w:val="auto"/>
        </w:rPr>
      </w:pPr>
    </w:p>
    <w:p>
      <w:pPr>
        <w:ind w:left="2" w:hanging="2"/>
        <w:spacing w:after="0" w:line="287" w:lineRule="auto"/>
        <w:tabs>
          <w:tab w:leader="none" w:pos="407"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Committee Composition</w:t>
      </w:r>
      <w:r>
        <w:rPr>
          <w:rFonts w:ascii="Arial" w:cs="Arial" w:eastAsia="Arial" w:hAnsi="Arial"/>
          <w:sz w:val="18"/>
          <w:szCs w:val="18"/>
          <w:color w:val="auto"/>
        </w:rPr>
        <w:t>. The Plan shall be administered by a Committee appointed by the Board, or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acting as the Committee. The Committee shall consist of two or more directors of the Company. In addition, to the extent required by the Board, the composition of the Committee shall satisfy such requirements of the New York Stock Exchange (“NYSE”) or the Nasdaq Stock Market (“Nasdaq”), as applicable, and as the Securities and Exchange Commission may establish for administrators acting under plans intended to qualify for exemption under Rule 16b-3 (or its successor) under the Exchange Act.</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2" w:hanging="1"/>
        <w:spacing w:after="0" w:line="284" w:lineRule="auto"/>
        <w:tabs>
          <w:tab w:leader="none" w:pos="429"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Committee Appointment</w:t>
      </w:r>
      <w:r>
        <w:rPr>
          <w:rFonts w:ascii="Arial" w:cs="Arial" w:eastAsia="Arial" w:hAnsi="Arial"/>
          <w:sz w:val="18"/>
          <w:szCs w:val="18"/>
          <w:color w:val="auto"/>
        </w:rPr>
        <w:t>. The Board may also appoint one or more separate committees of the Board,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 w:right="500" w:hanging="1"/>
        <w:spacing w:after="0" w:line="297" w:lineRule="auto"/>
        <w:tabs>
          <w:tab w:leader="none" w:pos="40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Committee Responsibilities</w:t>
      </w:r>
      <w:r>
        <w:rPr>
          <w:rFonts w:ascii="Arial" w:cs="Arial" w:eastAsia="Arial" w:hAnsi="Arial"/>
          <w:sz w:val="18"/>
          <w:szCs w:val="18"/>
          <w:color w:val="auto"/>
        </w:rPr>
        <w:t>. Subject to the provisions of the Plan, the Committee shall have full authority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to take the following actions:</w:t>
      </w:r>
    </w:p>
    <w:p>
      <w:pPr>
        <w:spacing w:after="0" w:line="214" w:lineRule="exact"/>
        <w:rPr>
          <w:rFonts w:ascii="Arial" w:cs="Arial" w:eastAsia="Arial" w:hAnsi="Arial"/>
          <w:sz w:val="18"/>
          <w:szCs w:val="18"/>
          <w:color w:val="auto"/>
        </w:rPr>
      </w:pPr>
    </w:p>
    <w:p>
      <w:pPr>
        <w:ind w:left="902" w:hanging="502"/>
        <w:spacing w:after="0"/>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interpret the Plan and to apply its provisions;</w:t>
      </w:r>
    </w:p>
    <w:p>
      <w:pPr>
        <w:spacing w:after="0" w:line="275" w:lineRule="exact"/>
        <w:rPr>
          <w:rFonts w:ascii="Arial" w:cs="Arial" w:eastAsia="Arial" w:hAnsi="Arial"/>
          <w:sz w:val="18"/>
          <w:szCs w:val="18"/>
          <w:color w:val="auto"/>
        </w:rPr>
      </w:pPr>
    </w:p>
    <w:p>
      <w:pPr>
        <w:ind w:left="902" w:hanging="502"/>
        <w:spacing w:after="0"/>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adopt, amend, or rescind rules, procedures, and forms relating to the Plan;</w:t>
      </w:r>
    </w:p>
    <w:p>
      <w:pPr>
        <w:spacing w:after="0" w:line="273" w:lineRule="exact"/>
        <w:rPr>
          <w:rFonts w:ascii="Arial" w:cs="Arial" w:eastAsia="Arial" w:hAnsi="Arial"/>
          <w:sz w:val="18"/>
          <w:szCs w:val="18"/>
          <w:color w:val="auto"/>
        </w:rPr>
      </w:pPr>
    </w:p>
    <w:p>
      <w:pPr>
        <w:ind w:left="902" w:right="80" w:hanging="502"/>
        <w:spacing w:after="0" w:line="303"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adopt, amend, or terminate (A) the ESPP Addendum and (B) any sub-plans established for the purpose of satisfying applicable foreign laws including qualifying for preferred tax treatment under applicable foreign tax laws;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2" w:right="660" w:hanging="502"/>
        <w:spacing w:after="0" w:line="294" w:lineRule="auto"/>
        <w:tabs>
          <w:tab w:leader="none" w:pos="9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carry out the purposes of the Plan;</w:t>
      </w:r>
    </w:p>
    <w:p>
      <w:pPr>
        <w:spacing w:after="0" w:line="215" w:lineRule="exact"/>
        <w:rPr>
          <w:rFonts w:ascii="Arial" w:cs="Arial" w:eastAsia="Arial" w:hAnsi="Arial"/>
          <w:sz w:val="18"/>
          <w:szCs w:val="18"/>
          <w:color w:val="auto"/>
        </w:rPr>
      </w:pPr>
    </w:p>
    <w:p>
      <w:pPr>
        <w:ind w:left="902" w:hanging="502"/>
        <w:spacing w:after="0"/>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w:t>
      </w:r>
    </w:p>
    <w:p>
      <w:pPr>
        <w:spacing w:after="0" w:line="273" w:lineRule="exact"/>
        <w:rPr>
          <w:rFonts w:ascii="Arial" w:cs="Arial" w:eastAsia="Arial" w:hAnsi="Arial"/>
          <w:sz w:val="18"/>
          <w:szCs w:val="18"/>
          <w:color w:val="auto"/>
        </w:rPr>
      </w:pPr>
    </w:p>
    <w:p>
      <w:pPr>
        <w:ind w:left="902" w:hanging="502"/>
        <w:spacing w:after="0"/>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select the Participants to whom Awards are to be granted;</w:t>
      </w:r>
    </w:p>
    <w:p>
      <w:pPr>
        <w:spacing w:after="0" w:line="273" w:lineRule="exact"/>
        <w:rPr>
          <w:rFonts w:ascii="Arial" w:cs="Arial" w:eastAsia="Arial" w:hAnsi="Arial"/>
          <w:sz w:val="18"/>
          <w:szCs w:val="18"/>
          <w:color w:val="auto"/>
        </w:rPr>
      </w:pPr>
    </w:p>
    <w:p>
      <w:pPr>
        <w:ind w:left="902" w:hanging="502"/>
        <w:spacing w:after="0"/>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determine the type of Award and number of Shares or amount of cash to be made subject to each Award;</w:t>
      </w:r>
    </w:p>
    <w:p>
      <w:pPr>
        <w:spacing w:after="0" w:line="273" w:lineRule="exact"/>
        <w:rPr>
          <w:rFonts w:ascii="Arial" w:cs="Arial" w:eastAsia="Arial" w:hAnsi="Arial"/>
          <w:sz w:val="18"/>
          <w:szCs w:val="18"/>
          <w:color w:val="auto"/>
        </w:rPr>
      </w:pPr>
    </w:p>
    <w:p>
      <w:pPr>
        <w:ind w:left="902" w:hanging="502"/>
        <w:spacing w:after="0" w:line="284" w:lineRule="auto"/>
        <w:tabs>
          <w:tab w:leader="none" w:pos="9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902" w:right="20" w:hanging="502"/>
        <w:spacing w:after="0" w:line="294" w:lineRule="auto"/>
        <w:tabs>
          <w:tab w:leader="none" w:pos="9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amend any outstanding Award Agreement, subject to applicable legal restrictions and to the consent of the Participant if the Participant’s rights or obligations would be materially impaired;</w:t>
      </w:r>
    </w:p>
    <w:p>
      <w:pPr>
        <w:spacing w:after="0" w:line="215" w:lineRule="exact"/>
        <w:rPr>
          <w:rFonts w:ascii="Arial" w:cs="Arial" w:eastAsia="Arial" w:hAnsi="Arial"/>
          <w:sz w:val="18"/>
          <w:szCs w:val="18"/>
          <w:color w:val="auto"/>
        </w:rPr>
      </w:pPr>
    </w:p>
    <w:p>
      <w:pPr>
        <w:ind w:left="902" w:right="160" w:hanging="502"/>
        <w:spacing w:after="0" w:line="294" w:lineRule="auto"/>
        <w:tabs>
          <w:tab w:leader="none" w:pos="9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prescribe the consideration for the grant of each Award or other right under the Plan and to determine the sufficiency of such consideration;</w:t>
      </w:r>
    </w:p>
    <w:p>
      <w:pPr>
        <w:spacing w:after="0" w:line="215" w:lineRule="exact"/>
        <w:rPr>
          <w:rFonts w:ascii="Arial" w:cs="Arial" w:eastAsia="Arial" w:hAnsi="Arial"/>
          <w:sz w:val="18"/>
          <w:szCs w:val="18"/>
          <w:color w:val="auto"/>
        </w:rPr>
      </w:pPr>
    </w:p>
    <w:p>
      <w:pPr>
        <w:ind w:left="902" w:right="40" w:hanging="502"/>
        <w:spacing w:after="0" w:line="294" w:lineRule="auto"/>
        <w:tabs>
          <w:tab w:leader="none" w:pos="9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determine the disposition of each Award or other right under the Plan in the event of a Participant’s divorce or dissolution of marriage;</w:t>
      </w:r>
    </w:p>
    <w:p>
      <w:pPr>
        <w:sectPr>
          <w:pgSz w:w="11880" w:h="15480" w:orient="portrait"/>
          <w:cols w:equalWidth="0" w:num="1">
            <w:col w:w="10422"/>
          </w:cols>
          <w:pgMar w:left="718" w:top="942" w:right="74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2"/>
        <w:spacing w:after="0"/>
        <w:tabs>
          <w:tab w:leader="none" w:pos="101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A-5</w:t>
      </w:r>
    </w:p>
    <w:p>
      <w:pPr>
        <w:sectPr>
          <w:pgSz w:w="11880" w:h="15480" w:orient="portrait"/>
          <w:cols w:equalWidth="0" w:num="1">
            <w:col w:w="10422"/>
          </w:cols>
          <w:pgMar w:left="718" w:top="942" w:right="740" w:bottom="0" w:gutter="0" w:footer="0" w:header="0"/>
          <w:type w:val="continuous"/>
        </w:sectPr>
      </w:pPr>
    </w:p>
    <w:bookmarkStart w:id="97" w:name="page98"/>
    <w:bookmarkEnd w:id="97"/>
    <w:p>
      <w:pPr>
        <w:ind w:left="902" w:right="60" w:hanging="502"/>
        <w:spacing w:after="0" w:line="290" w:lineRule="auto"/>
        <w:tabs>
          <w:tab w:leader="none" w:pos="9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determine whether Awards under the Plan will be granted in replacement of other grants under an incentive or other compensation plan of an acquired business;</w:t>
      </w:r>
    </w:p>
    <w:p>
      <w:pPr>
        <w:spacing w:after="0" w:line="214" w:lineRule="exact"/>
        <w:rPr>
          <w:rFonts w:ascii="Arial" w:cs="Arial" w:eastAsia="Arial" w:hAnsi="Arial"/>
          <w:sz w:val="18"/>
          <w:szCs w:val="18"/>
          <w:color w:val="auto"/>
        </w:rPr>
      </w:pPr>
    </w:p>
    <w:p>
      <w:pPr>
        <w:ind w:left="902" w:hanging="502"/>
        <w:spacing w:after="0"/>
        <w:tabs>
          <w:tab w:leader="none" w:pos="9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w:t>
      </w:r>
    </w:p>
    <w:p>
      <w:pPr>
        <w:spacing w:after="0" w:line="270" w:lineRule="exact"/>
        <w:rPr>
          <w:rFonts w:ascii="Arial" w:cs="Arial" w:eastAsia="Arial" w:hAnsi="Arial"/>
          <w:sz w:val="18"/>
          <w:szCs w:val="18"/>
          <w:color w:val="auto"/>
        </w:rPr>
      </w:pPr>
    </w:p>
    <w:p>
      <w:pPr>
        <w:ind w:left="902" w:right="140" w:hanging="502"/>
        <w:spacing w:after="0" w:line="290" w:lineRule="auto"/>
        <w:tabs>
          <w:tab w:leader="none" w:pos="9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establish or verify the extent of satisfaction of any performance goals or other conditions applicable to the grant, issuance, exercisability, vesting, and/or ability to retain any Award;</w:t>
      </w:r>
    </w:p>
    <w:p>
      <w:pPr>
        <w:spacing w:after="0" w:line="214" w:lineRule="exact"/>
        <w:rPr>
          <w:rFonts w:ascii="Arial" w:cs="Arial" w:eastAsia="Arial" w:hAnsi="Arial"/>
          <w:sz w:val="18"/>
          <w:szCs w:val="18"/>
          <w:color w:val="auto"/>
        </w:rPr>
      </w:pPr>
    </w:p>
    <w:p>
      <w:pPr>
        <w:ind w:left="902" w:right="260" w:hanging="503"/>
        <w:spacing w:after="0" w:line="290" w:lineRule="auto"/>
        <w:tabs>
          <w:tab w:leader="none" w:pos="9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administer the ESPP Addendum and exercise such authority and take such actions as set forth in the ESPP Addendum; and</w:t>
      </w:r>
    </w:p>
    <w:p>
      <w:pPr>
        <w:spacing w:after="0" w:line="214" w:lineRule="exact"/>
        <w:rPr>
          <w:rFonts w:ascii="Arial" w:cs="Arial" w:eastAsia="Arial" w:hAnsi="Arial"/>
          <w:sz w:val="18"/>
          <w:szCs w:val="18"/>
          <w:color w:val="auto"/>
        </w:rPr>
      </w:pPr>
    </w:p>
    <w:p>
      <w:pPr>
        <w:ind w:left="902" w:hanging="503"/>
        <w:spacing w:after="0"/>
        <w:tabs>
          <w:tab w:leader="none" w:pos="9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take any other actions deemed necessary or advisable for the administration of the Plan.</w:t>
      </w:r>
    </w:p>
    <w:p>
      <w:pPr>
        <w:spacing w:after="0" w:line="270" w:lineRule="exact"/>
        <w:rPr>
          <w:sz w:val="20"/>
          <w:szCs w:val="20"/>
          <w:color w:val="auto"/>
        </w:rPr>
      </w:pPr>
    </w:p>
    <w:p>
      <w:pPr>
        <w:ind w:left="2" w:right="40"/>
        <w:spacing w:after="0" w:line="277" w:lineRule="auto"/>
        <w:rPr>
          <w:sz w:val="20"/>
          <w:szCs w:val="20"/>
          <w:color w:val="auto"/>
        </w:rPr>
      </w:pPr>
      <w:r>
        <w:rPr>
          <w:rFonts w:ascii="Arial" w:cs="Arial" w:eastAsia="Arial" w:hAnsi="Arial"/>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Consistent with Article VIII of the Company’s Third Amended and Restated Certificate of Incorporation (or any successor provision), and to the fullest extent permitted by applicable law (as it now exists and as it may hereafter be amended), no member of the Committee shall be liable for any action that he has taken or has failed to take in good faith with respect to the Plan or any Award under the Plan.</w:t>
      </w:r>
    </w:p>
    <w:p>
      <w:pPr>
        <w:spacing w:after="0" w:line="200" w:lineRule="exact"/>
        <w:rPr>
          <w:sz w:val="20"/>
          <w:szCs w:val="20"/>
          <w:color w:val="auto"/>
        </w:rPr>
      </w:pPr>
    </w:p>
    <w:p>
      <w:pPr>
        <w:spacing w:after="0" w:line="284"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ELIGIBILITY.</w:t>
      </w:r>
    </w:p>
    <w:p>
      <w:pPr>
        <w:spacing w:after="0" w:line="193" w:lineRule="exact"/>
        <w:rPr>
          <w:sz w:val="20"/>
          <w:szCs w:val="20"/>
          <w:color w:val="auto"/>
        </w:rPr>
      </w:pPr>
    </w:p>
    <w:p>
      <w:pPr>
        <w:ind w:left="2" w:right="260" w:hanging="2"/>
        <w:spacing w:after="0" w:line="297" w:lineRule="auto"/>
        <w:tabs>
          <w:tab w:leader="none" w:pos="40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General Rule</w:t>
      </w:r>
      <w:r>
        <w:rPr>
          <w:rFonts w:ascii="Arial" w:cs="Arial" w:eastAsia="Arial" w:hAnsi="Arial"/>
          <w:sz w:val="18"/>
          <w:szCs w:val="18"/>
          <w:color w:val="auto"/>
        </w:rPr>
        <w:t>. Only Employees, Consultants and Outside Directors shall be eligible for the grant of Awards. Only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law employees of the Company, a Parent, or a Subsidiary shall be eligible for the grant of ISOs and Stock Purchase Rights.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2" w:right="340" w:hanging="2"/>
        <w:spacing w:after="0" w:line="282" w:lineRule="auto"/>
        <w:tabs>
          <w:tab w:leader="none" w:pos="42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Ten-Percent Stockholders</w:t>
      </w:r>
      <w:r>
        <w:rPr>
          <w:rFonts w:ascii="Arial" w:cs="Arial" w:eastAsia="Arial" w:hAnsi="Arial"/>
          <w:sz w:val="18"/>
          <w:szCs w:val="18"/>
          <w:color w:val="auto"/>
        </w:rPr>
        <w:t>. An Employee who owns more than 10% of the total combined voting power of all</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outstanding stock of the Company, a Parent or Subsidiary shall not be eligible for the grant of an ISO unless such grant satisfies the requirements of Section 422(c)(5) of the Code.</w:t>
      </w:r>
    </w:p>
    <w:p>
      <w:pPr>
        <w:spacing w:after="0" w:line="222" w:lineRule="exact"/>
        <w:rPr>
          <w:rFonts w:ascii="Arial" w:cs="Arial" w:eastAsia="Arial" w:hAnsi="Arial"/>
          <w:sz w:val="18"/>
          <w:szCs w:val="18"/>
          <w:color w:val="auto"/>
        </w:rPr>
      </w:pPr>
    </w:p>
    <w:p>
      <w:pPr>
        <w:ind w:left="2" w:right="200" w:hanging="2"/>
        <w:spacing w:after="0" w:line="280" w:lineRule="auto"/>
        <w:tabs>
          <w:tab w:leader="none" w:pos="40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Attribution Rules</w:t>
      </w:r>
      <w:r>
        <w:rPr>
          <w:rFonts w:ascii="Arial" w:cs="Arial" w:eastAsia="Arial" w:hAnsi="Arial"/>
          <w:sz w:val="18"/>
          <w:szCs w:val="18"/>
          <w:color w:val="auto"/>
        </w:rPr>
        <w:t>. For purposes of Section 4(b) above, in determining stock ownership, an Employee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223" w:lineRule="exact"/>
        <w:rPr>
          <w:rFonts w:ascii="Arial" w:cs="Arial" w:eastAsia="Arial" w:hAnsi="Arial"/>
          <w:sz w:val="18"/>
          <w:szCs w:val="18"/>
          <w:color w:val="auto"/>
        </w:rPr>
      </w:pPr>
    </w:p>
    <w:p>
      <w:pPr>
        <w:ind w:left="2" w:right="100" w:hanging="2"/>
        <w:spacing w:after="0" w:line="282" w:lineRule="auto"/>
        <w:tabs>
          <w:tab w:leader="none" w:pos="42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Outstanding Stock</w:t>
      </w:r>
      <w:r>
        <w:rPr>
          <w:rFonts w:ascii="Arial" w:cs="Arial" w:eastAsia="Arial" w:hAnsi="Arial"/>
          <w:sz w:val="18"/>
          <w:szCs w:val="18"/>
          <w:color w:val="auto"/>
        </w:rPr>
        <w:t>. For purposes of Section 4(b) above, “outstanding stock” shall include all stock actually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and outstanding immediately after the grant. “Outstanding stock” shall not include Shares authorized for issuance under outstanding options held by the Employee or by any other person.</w:t>
      </w:r>
    </w:p>
    <w:p>
      <w:pPr>
        <w:spacing w:after="0" w:line="241"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STOCK SUBJECT TO PLAN; DIRECTOR COMPENSATION LIMIT.</w:t>
      </w:r>
    </w:p>
    <w:p>
      <w:pPr>
        <w:spacing w:after="0" w:line="193" w:lineRule="exact"/>
        <w:rPr>
          <w:sz w:val="20"/>
          <w:szCs w:val="20"/>
          <w:color w:val="auto"/>
        </w:rPr>
      </w:pPr>
    </w:p>
    <w:p>
      <w:pPr>
        <w:ind w:left="2" w:hanging="2"/>
        <w:spacing w:after="0" w:line="275" w:lineRule="auto"/>
        <w:tabs>
          <w:tab w:leader="none" w:pos="408"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Basic Limitation</w:t>
      </w:r>
      <w:r>
        <w:rPr>
          <w:rFonts w:ascii="Arial" w:cs="Arial" w:eastAsia="Arial" w:hAnsi="Arial"/>
          <w:sz w:val="18"/>
          <w:szCs w:val="18"/>
          <w:color w:val="auto"/>
        </w:rPr>
        <w:t>. Shares offered under the Plan shall be authorized but unissued Shares or treasury Shares.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Fourth Restatement Date, the maximum aggregate number of Shares authorized for issuance as Awards under the Plan on or after the Effective Date shall not exceed the sum of (x) 378,669,244 Shares (consisting of (i) 184,000,000 Shares approved by the Board on April 22, 2025, (ii) 119,000,000 Shares approved by the Board on April 22, 2024, (iii) 39,166,575 Shares approved by the Board on March 2, 2023, (iv) 15,000,000 Shares approved by the Board on April 27, 2022,</w:t>
      </w:r>
    </w:p>
    <w:p>
      <w:pPr>
        <w:spacing w:after="0" w:line="1" w:lineRule="exact"/>
        <w:rPr>
          <w:rFonts w:ascii="Arial" w:cs="Arial" w:eastAsia="Arial" w:hAnsi="Arial"/>
          <w:sz w:val="18"/>
          <w:szCs w:val="18"/>
          <w:color w:val="auto"/>
        </w:rPr>
      </w:pPr>
    </w:p>
    <w:p>
      <w:pPr>
        <w:ind w:left="2" w:right="20" w:hanging="1"/>
        <w:spacing w:after="0" w:line="275" w:lineRule="auto"/>
        <w:tabs>
          <w:tab w:leader="none" w:pos="2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12,500,000 Shares initially authorized for issuance under the Plan as of the Effective Date and (vi)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w:t>
      </w:r>
    </w:p>
    <w:p>
      <w:pPr>
        <w:spacing w:after="0" w:line="1" w:lineRule="exact"/>
        <w:rPr>
          <w:rFonts w:ascii="Arial" w:cs="Arial" w:eastAsia="Arial" w:hAnsi="Arial"/>
          <w:sz w:val="18"/>
          <w:szCs w:val="18"/>
          <w:color w:val="auto"/>
        </w:rPr>
      </w:pPr>
    </w:p>
    <w:p>
      <w:pPr>
        <w:ind w:left="2" w:right="40" w:hanging="1"/>
        <w:spacing w:after="0" w:line="285"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378,669,244 Shares plus, to the</w:t>
      </w:r>
    </w:p>
    <w:p>
      <w:pPr>
        <w:sectPr>
          <w:pgSz w:w="11880" w:h="15480" w:orient="portrait"/>
          <w:cols w:equalWidth="0" w:num="1">
            <w:col w:w="10462"/>
          </w:cols>
          <w:pgMar w:left="718" w:top="943" w:right="700" w:bottom="0" w:gutter="0" w:footer="0" w:header="0"/>
        </w:sectPr>
      </w:pPr>
    </w:p>
    <w:p>
      <w:pPr>
        <w:spacing w:after="0" w:line="200" w:lineRule="exact"/>
        <w:rPr>
          <w:sz w:val="20"/>
          <w:szCs w:val="20"/>
          <w:color w:val="auto"/>
        </w:rPr>
      </w:pPr>
    </w:p>
    <w:p>
      <w:pPr>
        <w:spacing w:after="0" w:line="298"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62"/>
          </w:cols>
          <w:pgMar w:left="718" w:top="943" w:right="700" w:bottom="0" w:gutter="0" w:footer="0" w:header="0"/>
          <w:type w:val="continuous"/>
        </w:sectPr>
      </w:pPr>
    </w:p>
    <w:bookmarkStart w:id="98" w:name="page99"/>
    <w:bookmarkEnd w:id="98"/>
    <w:p>
      <w:pPr>
        <w:ind w:left="2" w:right="20"/>
        <w:spacing w:after="0" w:line="286" w:lineRule="auto"/>
        <w:rPr>
          <w:sz w:val="20"/>
          <w:szCs w:val="20"/>
          <w:color w:val="auto"/>
        </w:rPr>
      </w:pPr>
      <w:r>
        <w:rPr>
          <w:rFonts w:ascii="Arial" w:cs="Arial" w:eastAsia="Arial" w:hAnsi="Arial"/>
          <w:sz w:val="18"/>
          <w:szCs w:val="18"/>
          <w:color w:val="auto"/>
        </w:rPr>
        <w:t>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20,000,000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230" w:lineRule="exact"/>
        <w:rPr>
          <w:sz w:val="20"/>
          <w:szCs w:val="20"/>
          <w:color w:val="auto"/>
        </w:rPr>
      </w:pPr>
    </w:p>
    <w:p>
      <w:pPr>
        <w:ind w:left="2" w:right="20" w:hanging="2"/>
        <w:spacing w:after="0" w:line="286" w:lineRule="auto"/>
        <w:tabs>
          <w:tab w:leader="none" w:pos="429"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Additional Shares</w:t>
      </w:r>
      <w:r>
        <w:rPr>
          <w:rFonts w:ascii="Arial" w:cs="Arial" w:eastAsia="Arial" w:hAnsi="Arial"/>
          <w:sz w:val="18"/>
          <w:szCs w:val="18"/>
          <w:color w:val="auto"/>
        </w:rPr>
        <w:t>. If Restricted Shares or Shares issued upon the exercise of options are forfeited, then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shall 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2" w:right="20" w:hanging="2"/>
        <w:spacing w:after="0" w:line="286" w:lineRule="auto"/>
        <w:tabs>
          <w:tab w:leader="none" w:pos="40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Substitution and Assumption of Awards</w:t>
      </w:r>
      <w:r>
        <w:rPr>
          <w:rFonts w:ascii="Arial" w:cs="Arial" w:eastAsia="Arial" w:hAnsi="Arial"/>
          <w:sz w:val="18"/>
          <w:szCs w:val="18"/>
          <w:color w:val="auto"/>
        </w:rPr>
        <w:t>. The Committee may make Awards under the Plan by assumption,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or 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2" w:hanging="2"/>
        <w:spacing w:after="0" w:line="288" w:lineRule="auto"/>
        <w:tabs>
          <w:tab w:leader="none" w:pos="429"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Outside Director Compensation Limit</w:t>
      </w:r>
      <w:r>
        <w:rPr>
          <w:rFonts w:ascii="Arial" w:cs="Arial" w:eastAsia="Arial" w:hAnsi="Arial"/>
          <w:sz w:val="18"/>
          <w:szCs w:val="18"/>
          <w:color w:val="auto"/>
        </w:rPr>
        <w:t>. The maximum number of Shares subject to Awards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2" w:right="20" w:hanging="2"/>
        <w:spacing w:after="0" w:line="286" w:lineRule="auto"/>
        <w:tabs>
          <w:tab w:leader="none" w:pos="41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Notwithstanding any other provision of the Plan to the contrary, except in connection with a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 w:right="20" w:hanging="2"/>
        <w:spacing w:after="0" w:line="285" w:lineRule="auto"/>
        <w:tabs>
          <w:tab w:leader="none" w:pos="37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Prohibition on Dividends on Unvested Awards</w:t>
      </w:r>
      <w:r>
        <w:rPr>
          <w:rFonts w:ascii="Arial" w:cs="Arial" w:eastAsia="Arial" w:hAnsi="Arial"/>
          <w:sz w:val="18"/>
          <w:szCs w:val="18"/>
          <w:color w:val="auto"/>
        </w:rPr>
        <w:t>. Dividends or dividend equivalents may be credited on behalf of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w:t>
      </w:r>
    </w:p>
    <w:p>
      <w:pPr>
        <w:sectPr>
          <w:pgSz w:w="11880" w:h="15480" w:orient="portrait"/>
          <w:cols w:equalWidth="0" w:num="1">
            <w:col w:w="10442"/>
          </w:cols>
          <w:pgMar w:left="718" w:top="943" w:right="720"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2"/>
        <w:spacing w:after="0"/>
        <w:tabs>
          <w:tab w:leader="none" w:pos="101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A-7</w:t>
      </w:r>
    </w:p>
    <w:p>
      <w:pPr>
        <w:sectPr>
          <w:pgSz w:w="11880" w:h="15480" w:orient="portrait"/>
          <w:cols w:equalWidth="0" w:num="1">
            <w:col w:w="10442"/>
          </w:cols>
          <w:pgMar w:left="718" w:top="943" w:right="720" w:bottom="0" w:gutter="0" w:footer="0" w:header="0"/>
          <w:type w:val="continuous"/>
        </w:sectPr>
      </w:pPr>
    </w:p>
    <w:bookmarkStart w:id="99" w:name="page100"/>
    <w:bookmarkEnd w:id="99"/>
    <w:p>
      <w:pPr>
        <w:ind w:left="2"/>
        <w:spacing w:after="0"/>
        <w:tabs>
          <w:tab w:leader="none" w:pos="1181"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RESTRICTED SHARES.</w:t>
      </w:r>
    </w:p>
    <w:p>
      <w:pPr>
        <w:spacing w:after="0" w:line="193" w:lineRule="exact"/>
        <w:rPr>
          <w:sz w:val="20"/>
          <w:szCs w:val="20"/>
          <w:color w:val="auto"/>
        </w:rPr>
      </w:pPr>
    </w:p>
    <w:p>
      <w:pPr>
        <w:ind w:left="2" w:hanging="2"/>
        <w:spacing w:after="0" w:line="280" w:lineRule="auto"/>
        <w:tabs>
          <w:tab w:leader="none" w:pos="407"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Restricted Share Award Agreement</w:t>
      </w:r>
      <w:r>
        <w:rPr>
          <w:rFonts w:ascii="Arial" w:cs="Arial" w:eastAsia="Arial" w:hAnsi="Arial"/>
          <w:sz w:val="18"/>
          <w:szCs w:val="18"/>
          <w:color w:val="auto"/>
        </w:rPr>
        <w:t>. Each grant of Restricted Shares under the Plan shall be evidenced by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223" w:lineRule="exact"/>
        <w:rPr>
          <w:rFonts w:ascii="Arial" w:cs="Arial" w:eastAsia="Arial" w:hAnsi="Arial"/>
          <w:sz w:val="18"/>
          <w:szCs w:val="18"/>
          <w:color w:val="auto"/>
        </w:rPr>
      </w:pPr>
    </w:p>
    <w:p>
      <w:pPr>
        <w:ind w:left="2" w:right="340" w:hanging="1"/>
        <w:spacing w:after="0" w:line="282" w:lineRule="auto"/>
        <w:tabs>
          <w:tab w:leader="none" w:pos="429"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Restricted Shares may be sold or awarded under the Plan for such consideration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determine, including (without limitation) cash, cash equivalents, full-recourse promissory notes, past services, and future services.</w:t>
      </w:r>
    </w:p>
    <w:p>
      <w:pPr>
        <w:spacing w:after="0" w:line="222" w:lineRule="exact"/>
        <w:rPr>
          <w:rFonts w:ascii="Arial" w:cs="Arial" w:eastAsia="Arial" w:hAnsi="Arial"/>
          <w:sz w:val="18"/>
          <w:szCs w:val="18"/>
          <w:color w:val="auto"/>
        </w:rPr>
      </w:pPr>
    </w:p>
    <w:p>
      <w:pPr>
        <w:ind w:left="2" w:right="40" w:hanging="1"/>
        <w:spacing w:after="0" w:line="285" w:lineRule="auto"/>
        <w:tabs>
          <w:tab w:leader="none" w:pos="40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Each Award of Restricted Shares may or may not be subject to vesting. Vesting shall occur, in full or in</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upon satisfaction of the conditions specified in the Restricted Share Award Agreement. A Restricted Share Award Agreement may provide for accelerated vesting in the event of the Participant’s death, Disability or retirement or other events.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22" w:hanging="421"/>
        <w:spacing w:after="0"/>
        <w:tabs>
          <w:tab w:leader="none" w:pos="422"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A holder of Restricted Shares awarded under the Plan shall have the same voting,</w:t>
      </w:r>
    </w:p>
    <w:p>
      <w:pPr>
        <w:spacing w:after="0" w:line="30" w:lineRule="exact"/>
        <w:rPr>
          <w:rFonts w:ascii="Arial" w:cs="Arial" w:eastAsia="Arial" w:hAnsi="Arial"/>
          <w:sz w:val="18"/>
          <w:szCs w:val="18"/>
          <w:color w:val="auto"/>
        </w:rPr>
      </w:pPr>
    </w:p>
    <w:p>
      <w:pPr>
        <w:ind w:left="2"/>
        <w:spacing w:after="0" w:line="276" w:lineRule="auto"/>
        <w:rPr>
          <w:rFonts w:ascii="Arial" w:cs="Arial" w:eastAsia="Arial" w:hAnsi="Arial"/>
          <w:sz w:val="18"/>
          <w:szCs w:val="18"/>
          <w:color w:val="auto"/>
        </w:rPr>
      </w:pPr>
      <w:r>
        <w:rPr>
          <w:rFonts w:ascii="Arial" w:cs="Arial" w:eastAsia="Arial" w:hAnsi="Arial"/>
          <w:sz w:val="18"/>
          <w:szCs w:val="18"/>
          <w:color w:val="auto"/>
        </w:rPr>
        <w:t>dividend, and 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 w:right="120" w:hanging="1"/>
        <w:spacing w:after="0" w:line="285" w:lineRule="auto"/>
        <w:tabs>
          <w:tab w:leader="none" w:pos="41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Restricted Shares shall be subject to such rights of repurchase, rights of first</w:t>
      </w:r>
      <w:r>
        <w:rPr>
          <w:rFonts w:ascii="Arial" w:cs="Arial" w:eastAsia="Arial" w:hAnsi="Arial"/>
          <w:sz w:val="18"/>
          <w:szCs w:val="18"/>
          <w:i w:val="1"/>
          <w:iCs w:val="1"/>
          <w:color w:val="auto"/>
        </w:rPr>
        <w:t xml:space="preserve"> </w:t>
      </w:r>
      <w:r>
        <w:rPr>
          <w:rFonts w:ascii="Arial" w:cs="Arial" w:eastAsia="Arial" w:hAnsi="Arial"/>
          <w:sz w:val="18"/>
          <w:szCs w:val="18"/>
          <w:color w:val="auto"/>
        </w:rPr>
        <w:t>refusal, or other restrictions as the Committee may determine. Such restrictions shall be set forth in the applicable Restricted Share Award Agreement and shall apply in addition to any general restrictions that may apply to all holders of Shares.</w:t>
      </w:r>
    </w:p>
    <w:p>
      <w:pPr>
        <w:spacing w:after="0" w:line="200" w:lineRule="exact"/>
        <w:rPr>
          <w:sz w:val="20"/>
          <w:szCs w:val="20"/>
          <w:color w:val="auto"/>
        </w:rPr>
      </w:pPr>
    </w:p>
    <w:p>
      <w:pPr>
        <w:spacing w:after="0" w:line="271"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7.</w:t>
        <w:tab/>
        <w:t>TERMS AND CONDITIONS OF OPTIONS.</w:t>
      </w:r>
    </w:p>
    <w:p>
      <w:pPr>
        <w:spacing w:after="0" w:line="193" w:lineRule="exact"/>
        <w:rPr>
          <w:sz w:val="20"/>
          <w:szCs w:val="20"/>
          <w:color w:val="auto"/>
        </w:rPr>
      </w:pPr>
    </w:p>
    <w:p>
      <w:pPr>
        <w:ind w:left="2" w:hanging="1"/>
        <w:spacing w:after="0" w:line="281" w:lineRule="auto"/>
        <w:tabs>
          <w:tab w:leader="none" w:pos="407"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Option Award Agreement</w:t>
      </w:r>
      <w:r>
        <w:rPr>
          <w:rFonts w:ascii="Arial" w:cs="Arial" w:eastAsia="Arial" w:hAnsi="Arial"/>
          <w:sz w:val="18"/>
          <w:szCs w:val="18"/>
          <w:color w:val="auto"/>
        </w:rPr>
        <w:t>. Each grant of an Option under the Plan shall be evidenced by an Option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2" w:right="620" w:hanging="1"/>
        <w:spacing w:after="0" w:line="292" w:lineRule="auto"/>
        <w:tabs>
          <w:tab w:leader="none" w:pos="428"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Option Award Agreement shall specify the number of Shares that are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shall provide for the adjustment of such number in accordance with Section 13.</w:t>
      </w:r>
    </w:p>
    <w:p>
      <w:pPr>
        <w:spacing w:after="0" w:line="214" w:lineRule="exact"/>
        <w:rPr>
          <w:rFonts w:ascii="Arial" w:cs="Arial" w:eastAsia="Arial" w:hAnsi="Arial"/>
          <w:sz w:val="18"/>
          <w:szCs w:val="18"/>
          <w:color w:val="auto"/>
        </w:rPr>
      </w:pPr>
    </w:p>
    <w:p>
      <w:pPr>
        <w:ind w:left="2" w:hanging="1"/>
        <w:spacing w:after="0" w:line="280" w:lineRule="auto"/>
        <w:tabs>
          <w:tab w:leader="none" w:pos="406"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Each Option Award Agreement shall specify the Exercise Price. The Exercise Price of an ISO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225" w:lineRule="exact"/>
        <w:rPr>
          <w:rFonts w:ascii="Arial" w:cs="Arial" w:eastAsia="Arial" w:hAnsi="Arial"/>
          <w:sz w:val="18"/>
          <w:szCs w:val="18"/>
          <w:color w:val="auto"/>
        </w:rPr>
      </w:pPr>
    </w:p>
    <w:p>
      <w:pPr>
        <w:ind w:left="2" w:right="60" w:hanging="1"/>
        <w:spacing w:after="0" w:line="292" w:lineRule="auto"/>
        <w:tabs>
          <w:tab w:leader="none" w:pos="428"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As a condition to the exercise of an Option, the Participant shall make such arrangements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require for the satisfaction of any federal, state, local or foreign withholding tax obligations that may</w:t>
      </w:r>
    </w:p>
    <w:p>
      <w:pPr>
        <w:sectPr>
          <w:pgSz w:w="11880" w:h="15480" w:orient="portrait"/>
          <w:cols w:equalWidth="0" w:num="1">
            <w:col w:w="10422"/>
          </w:cols>
          <w:pgMar w:left="718" w:top="942" w:right="7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2" w:right="740" w:bottom="0" w:gutter="0" w:footer="0" w:header="0"/>
          <w:type w:val="continuous"/>
        </w:sectPr>
      </w:pPr>
    </w:p>
    <w:bookmarkStart w:id="100" w:name="page101"/>
    <w:bookmarkEnd w:id="100"/>
    <w:p>
      <w:pPr>
        <w:ind w:left="2" w:right="60"/>
        <w:spacing w:after="0" w:line="280" w:lineRule="auto"/>
        <w:rPr>
          <w:sz w:val="20"/>
          <w:szCs w:val="20"/>
          <w:color w:val="auto"/>
        </w:rPr>
      </w:pPr>
      <w:r>
        <w:rPr>
          <w:rFonts w:ascii="Arial" w:cs="Arial" w:eastAsia="Arial" w:hAnsi="Arial"/>
          <w:sz w:val="18"/>
          <w:szCs w:val="18"/>
          <w:color w:val="auto"/>
        </w:rPr>
        <w:t>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202" w:lineRule="exact"/>
        <w:rPr>
          <w:sz w:val="20"/>
          <w:szCs w:val="20"/>
          <w:color w:val="auto"/>
        </w:rPr>
      </w:pPr>
    </w:p>
    <w:p>
      <w:pPr>
        <w:ind w:left="2" w:right="20" w:hanging="2"/>
        <w:spacing w:after="0" w:line="275" w:lineRule="auto"/>
        <w:tabs>
          <w:tab w:leader="none" w:pos="411"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Exercisability and Term</w:t>
      </w:r>
      <w:r>
        <w:rPr>
          <w:rFonts w:ascii="Arial" w:cs="Arial" w:eastAsia="Arial" w:hAnsi="Arial"/>
          <w:sz w:val="18"/>
          <w:szCs w:val="18"/>
          <w:color w:val="auto"/>
        </w:rPr>
        <w:t>. Each Option Award Agreement shall specify the date when all or any installment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is to 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2" w:hanging="2"/>
        <w:spacing w:after="0" w:line="276" w:lineRule="auto"/>
        <w:tabs>
          <w:tab w:leader="none" w:pos="379"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Each Option Award Agreement shall set forth the extent to which the Participant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202" w:lineRule="exact"/>
        <w:rPr>
          <w:rFonts w:ascii="Arial" w:cs="Arial" w:eastAsia="Arial" w:hAnsi="Arial"/>
          <w:sz w:val="18"/>
          <w:szCs w:val="18"/>
          <w:color w:val="auto"/>
        </w:rPr>
      </w:pPr>
    </w:p>
    <w:p>
      <w:pPr>
        <w:ind w:left="2" w:hanging="2"/>
        <w:spacing w:after="0" w:line="280" w:lineRule="auto"/>
        <w:tabs>
          <w:tab w:leader="none" w:pos="432"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No Rights as a Stockholder</w:t>
      </w:r>
      <w:r>
        <w:rPr>
          <w:rFonts w:ascii="Arial" w:cs="Arial" w:eastAsia="Arial" w:hAnsi="Arial"/>
          <w:sz w:val="18"/>
          <w:szCs w:val="18"/>
          <w:color w:val="auto"/>
        </w:rPr>
        <w:t>. A Participant shall have no rights as a stockholder with respect to any Shares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by his Option until the date of the issuance of a share certificate for such Shares. No adjustments shall be made, except as provided in Section 13.</w:t>
      </w:r>
    </w:p>
    <w:p>
      <w:pPr>
        <w:spacing w:after="0" w:line="199" w:lineRule="exact"/>
        <w:rPr>
          <w:rFonts w:ascii="Arial" w:cs="Arial" w:eastAsia="Arial" w:hAnsi="Arial"/>
          <w:sz w:val="18"/>
          <w:szCs w:val="18"/>
          <w:color w:val="auto"/>
        </w:rPr>
      </w:pPr>
    </w:p>
    <w:p>
      <w:pPr>
        <w:ind w:left="2" w:right="20" w:hanging="2"/>
        <w:spacing w:after="0" w:line="275"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Modification, Extension and Renewal of Options</w:t>
      </w:r>
      <w:r>
        <w:rPr>
          <w:rFonts w:ascii="Arial" w:cs="Arial" w:eastAsia="Arial" w:hAnsi="Arial"/>
          <w:sz w:val="18"/>
          <w:szCs w:val="18"/>
          <w:color w:val="auto"/>
        </w:rPr>
        <w:t>. Subject to Section 5(e), within the limitations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2" w:hanging="2"/>
        <w:spacing w:after="0" w:line="277" w:lineRule="auto"/>
        <w:tabs>
          <w:tab w:leader="none" w:pos="363"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Any Shares issued upon exercise of an Option shall be subject to such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203" w:lineRule="exact"/>
        <w:rPr>
          <w:rFonts w:ascii="Arial" w:cs="Arial" w:eastAsia="Arial" w:hAnsi="Arial"/>
          <w:sz w:val="18"/>
          <w:szCs w:val="18"/>
          <w:color w:val="auto"/>
        </w:rPr>
      </w:pPr>
    </w:p>
    <w:p>
      <w:pPr>
        <w:ind w:left="2" w:right="40" w:hanging="2"/>
        <w:spacing w:after="0" w:line="280" w:lineRule="auto"/>
        <w:tabs>
          <w:tab w:leader="none" w:pos="372"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Buyout Provisions</w:t>
      </w:r>
      <w:r>
        <w:rPr>
          <w:rFonts w:ascii="Arial" w:cs="Arial" w:eastAsia="Arial" w:hAnsi="Arial"/>
          <w:sz w:val="18"/>
          <w:szCs w:val="18"/>
          <w:color w:val="auto"/>
        </w:rPr>
        <w:t>. Subject to Section 5(e), the Committee may at any time (i) offer to buy out for a payment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or cash equivalents an Option previously granted or (ii) authorize a Participant to elect to cash out an Option previously granted, in either case at such time and based upon such terms and conditions as the Committee shall establish.</w:t>
      </w:r>
    </w:p>
    <w:p>
      <w:pPr>
        <w:spacing w:after="0" w:line="199" w:lineRule="exact"/>
        <w:rPr>
          <w:rFonts w:ascii="Arial" w:cs="Arial" w:eastAsia="Arial" w:hAnsi="Arial"/>
          <w:sz w:val="18"/>
          <w:szCs w:val="18"/>
          <w:color w:val="auto"/>
        </w:rPr>
      </w:pPr>
    </w:p>
    <w:p>
      <w:pPr>
        <w:ind w:left="2" w:right="280" w:hanging="2"/>
        <w:spacing w:after="0" w:line="280" w:lineRule="auto"/>
        <w:tabs>
          <w:tab w:leader="none" w:pos="411"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No Dividend Equivalents on Options</w:t>
      </w:r>
      <w:r>
        <w:rPr>
          <w:rFonts w:ascii="Arial" w:cs="Arial" w:eastAsia="Arial" w:hAnsi="Arial"/>
          <w:sz w:val="18"/>
          <w:szCs w:val="18"/>
          <w:color w:val="auto"/>
        </w:rPr>
        <w:t>. No grant of Options may be accompanied by a tandem award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or provide for dividends, dividend equivalents or other distributions to be paid on such Options (except pursuant to an adjustment or other action contemplated by Section 13).</w:t>
      </w:r>
    </w:p>
    <w:p>
      <w:pPr>
        <w:spacing w:after="0" w:line="218" w:lineRule="exact"/>
        <w:rPr>
          <w:sz w:val="20"/>
          <w:szCs w:val="20"/>
          <w:color w:val="auto"/>
        </w:rPr>
      </w:pPr>
    </w:p>
    <w:p>
      <w:pPr>
        <w:ind w:left="2"/>
        <w:spacing w:after="0"/>
        <w:tabs>
          <w:tab w:leader="none" w:pos="1182"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PAYMENT FOR SHARES.</w:t>
      </w:r>
    </w:p>
    <w:p>
      <w:pPr>
        <w:spacing w:after="0" w:line="193" w:lineRule="exact"/>
        <w:rPr>
          <w:sz w:val="20"/>
          <w:szCs w:val="20"/>
          <w:color w:val="auto"/>
        </w:rPr>
      </w:pPr>
    </w:p>
    <w:p>
      <w:pPr>
        <w:ind w:left="2" w:hanging="2"/>
        <w:spacing w:after="0" w:line="276" w:lineRule="auto"/>
        <w:tabs>
          <w:tab w:leader="none" w:pos="40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General Rule</w:t>
      </w:r>
      <w:r>
        <w:rPr>
          <w:rFonts w:ascii="Arial" w:cs="Arial" w:eastAsia="Arial" w:hAnsi="Arial"/>
          <w:sz w:val="18"/>
          <w:szCs w:val="18"/>
          <w:color w:val="auto"/>
        </w:rPr>
        <w:t>. The entire Exercise Price or Purchase Price of Shares issued under the Plan (other than Shares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202" w:lineRule="exact"/>
        <w:rPr>
          <w:rFonts w:ascii="Arial" w:cs="Arial" w:eastAsia="Arial" w:hAnsi="Arial"/>
          <w:sz w:val="18"/>
          <w:szCs w:val="18"/>
          <w:color w:val="auto"/>
        </w:rPr>
      </w:pPr>
    </w:p>
    <w:p>
      <w:pPr>
        <w:ind w:left="2" w:hanging="2"/>
        <w:spacing w:after="0" w:line="287" w:lineRule="auto"/>
        <w:tabs>
          <w:tab w:leader="none" w:pos="429"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that an Option Award Agreement so provides, payment may be made all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by surrendering, or attesting to the ownership of, Shares which have already been owned by the Participant or his or</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98" w:lineRule="exact"/>
        <w:rPr>
          <w:sz w:val="20"/>
          <w:szCs w:val="20"/>
          <w:color w:val="auto"/>
        </w:rPr>
      </w:pPr>
    </w:p>
    <w:p>
      <w:pPr>
        <w:ind w:left="2"/>
        <w:spacing w:after="0"/>
        <w:tabs>
          <w:tab w:leader="none" w:pos="10162"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A-9</w:t>
      </w:r>
    </w:p>
    <w:p>
      <w:pPr>
        <w:sectPr>
          <w:pgSz w:w="11880" w:h="15480" w:orient="portrait"/>
          <w:cols w:equalWidth="0" w:num="1">
            <w:col w:w="10422"/>
          </w:cols>
          <w:pgMar w:left="718" w:top="943" w:right="740" w:bottom="0" w:gutter="0" w:footer="0" w:header="0"/>
          <w:type w:val="continuous"/>
        </w:sectPr>
      </w:pPr>
    </w:p>
    <w:bookmarkStart w:id="101" w:name="page102"/>
    <w:bookmarkEnd w:id="101"/>
    <w:p>
      <w:pPr>
        <w:ind w:left="2"/>
        <w:spacing w:after="0" w:line="277" w:lineRule="auto"/>
        <w:rPr>
          <w:sz w:val="20"/>
          <w:szCs w:val="20"/>
          <w:color w:val="auto"/>
        </w:rPr>
      </w:pPr>
      <w:r>
        <w:rPr>
          <w:rFonts w:ascii="Arial" w:cs="Arial" w:eastAsia="Arial" w:hAnsi="Arial"/>
          <w:sz w:val="18"/>
          <w:szCs w:val="18"/>
          <w:color w:val="auto"/>
        </w:rPr>
        <w:t>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226" w:lineRule="exact"/>
        <w:rPr>
          <w:sz w:val="20"/>
          <w:szCs w:val="20"/>
          <w:color w:val="auto"/>
        </w:rPr>
      </w:pPr>
    </w:p>
    <w:p>
      <w:pPr>
        <w:ind w:left="2" w:right="60" w:hanging="2"/>
        <w:spacing w:after="0" w:line="277" w:lineRule="auto"/>
        <w:tabs>
          <w:tab w:leader="none" w:pos="406"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Services Rendered</w:t>
      </w:r>
      <w:r>
        <w:rPr>
          <w:rFonts w:ascii="Arial" w:cs="Arial" w:eastAsia="Arial" w:hAnsi="Arial"/>
          <w:sz w:val="18"/>
          <w:szCs w:val="18"/>
          <w:color w:val="auto"/>
        </w:rPr>
        <w:t>. At the discretion of the Committee, Shares may be awarded under the Plan in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225" w:lineRule="exact"/>
        <w:rPr>
          <w:rFonts w:ascii="Arial" w:cs="Arial" w:eastAsia="Arial" w:hAnsi="Arial"/>
          <w:sz w:val="18"/>
          <w:szCs w:val="18"/>
          <w:color w:val="auto"/>
        </w:rPr>
      </w:pPr>
    </w:p>
    <w:p>
      <w:pPr>
        <w:ind w:left="2" w:right="20" w:hanging="2"/>
        <w:spacing w:after="0" w:line="277" w:lineRule="auto"/>
        <w:tabs>
          <w:tab w:leader="none" w:pos="42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To the extent that an Option Award Agreement so provides, if the Stock is traded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225" w:lineRule="exact"/>
        <w:rPr>
          <w:rFonts w:ascii="Arial" w:cs="Arial" w:eastAsia="Arial" w:hAnsi="Arial"/>
          <w:sz w:val="18"/>
          <w:szCs w:val="18"/>
          <w:color w:val="auto"/>
        </w:rPr>
      </w:pPr>
    </w:p>
    <w:p>
      <w:pPr>
        <w:ind w:left="2" w:right="60" w:hanging="2"/>
        <w:spacing w:after="0" w:line="282" w:lineRule="auto"/>
        <w:tabs>
          <w:tab w:leader="none" w:pos="41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Exercise/Pledge</w:t>
      </w:r>
      <w:r>
        <w:rPr>
          <w:rFonts w:ascii="Arial" w:cs="Arial" w:eastAsia="Arial" w:hAnsi="Arial"/>
          <w:sz w:val="18"/>
          <w:szCs w:val="18"/>
          <w:color w:val="auto"/>
        </w:rPr>
        <w:t>. To the extent that an Option Award Agreement so provides, payment may be made all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delivery (on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2" w:hanging="2"/>
        <w:spacing w:after="0" w:line="276" w:lineRule="auto"/>
        <w:tabs>
          <w:tab w:leader="none" w:pos="37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Net Exercise</w:t>
      </w:r>
      <w:r>
        <w:rPr>
          <w:rFonts w:ascii="Arial" w:cs="Arial" w:eastAsia="Arial" w:hAnsi="Arial"/>
          <w:sz w:val="18"/>
          <w:szCs w:val="18"/>
          <w:color w:val="auto"/>
        </w:rPr>
        <w:t>. To the extent that an Option Award Agreement so provides, by a “net exercise” arrangement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224" w:lineRule="exact"/>
        <w:rPr>
          <w:rFonts w:ascii="Arial" w:cs="Arial" w:eastAsia="Arial" w:hAnsi="Arial"/>
          <w:sz w:val="18"/>
          <w:szCs w:val="18"/>
          <w:color w:val="auto"/>
        </w:rPr>
      </w:pPr>
    </w:p>
    <w:p>
      <w:pPr>
        <w:ind w:left="2" w:hanging="2"/>
        <w:spacing w:after="0" w:line="293" w:lineRule="auto"/>
        <w:tabs>
          <w:tab w:leader="none" w:pos="432"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To the extent that an Option Award Agreement or Restricted Share Award Agreement so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may be made all or in part by delivering (on a form prescribed by the Company) a full-recourse promissory note.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 w:right="160" w:hanging="2"/>
        <w:spacing w:after="0" w:line="287" w:lineRule="auto"/>
        <w:tabs>
          <w:tab w:leader="none" w:pos="42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that an Option Award Agreement or Restricted Share Award Agreement 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payment may be made in any other form that is consistent with applicable laws, regulations, and rules.</w:t>
      </w:r>
    </w:p>
    <w:p>
      <w:pPr>
        <w:spacing w:after="0" w:line="215" w:lineRule="exact"/>
        <w:rPr>
          <w:rFonts w:ascii="Arial" w:cs="Arial" w:eastAsia="Arial" w:hAnsi="Arial"/>
          <w:sz w:val="18"/>
          <w:szCs w:val="18"/>
          <w:color w:val="auto"/>
        </w:rPr>
      </w:pPr>
    </w:p>
    <w:p>
      <w:pPr>
        <w:ind w:left="2" w:right="60" w:hanging="2"/>
        <w:spacing w:after="0" w:line="282" w:lineRule="auto"/>
        <w:tabs>
          <w:tab w:leader="none" w:pos="362"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Limitations under Applicable Law</w:t>
      </w:r>
      <w:r>
        <w:rPr>
          <w:rFonts w:ascii="Arial" w:cs="Arial" w:eastAsia="Arial" w:hAnsi="Arial"/>
          <w:sz w:val="18"/>
          <w:szCs w:val="18"/>
          <w:color w:val="auto"/>
        </w:rPr>
        <w:t>. Notwithstanding anything herein or in an Option Award Agreement or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Agreement to the contrary, payment may not be made in any form that is unlawful, as determined by the Committee in its sole discretion.</w:t>
      </w:r>
    </w:p>
    <w:p>
      <w:pPr>
        <w:spacing w:after="0" w:line="241"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STOCK APPRECIATION RIGHTS.</w:t>
      </w:r>
    </w:p>
    <w:p>
      <w:pPr>
        <w:spacing w:after="0" w:line="193" w:lineRule="exact"/>
        <w:rPr>
          <w:sz w:val="20"/>
          <w:szCs w:val="20"/>
          <w:color w:val="auto"/>
        </w:rPr>
      </w:pPr>
    </w:p>
    <w:p>
      <w:pPr>
        <w:ind w:left="2" w:hanging="2"/>
        <w:spacing w:after="0" w:line="280" w:lineRule="auto"/>
        <w:tabs>
          <w:tab w:leader="none" w:pos="408"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SAR Award Agreement</w:t>
      </w:r>
      <w:r>
        <w:rPr>
          <w:rFonts w:ascii="Arial" w:cs="Arial" w:eastAsia="Arial" w:hAnsi="Arial"/>
          <w:sz w:val="18"/>
          <w:szCs w:val="18"/>
          <w:color w:val="auto"/>
        </w:rPr>
        <w:t>. Each grant of a SAR under the Plan shall be evidenced by a SAR Award Agreement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223" w:lineRule="exact"/>
        <w:rPr>
          <w:rFonts w:ascii="Arial" w:cs="Arial" w:eastAsia="Arial" w:hAnsi="Arial"/>
          <w:sz w:val="18"/>
          <w:szCs w:val="18"/>
          <w:color w:val="auto"/>
        </w:rPr>
      </w:pPr>
    </w:p>
    <w:p>
      <w:pPr>
        <w:ind w:left="2" w:right="180" w:hanging="2"/>
        <w:spacing w:after="0" w:line="290" w:lineRule="auto"/>
        <w:tabs>
          <w:tab w:leader="none" w:pos="429"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SAR Award Agreement shall specify the number of Shares to which the SAR pertains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provide for the adjustment of such number in accordance with Section 13.</w:t>
      </w:r>
    </w:p>
    <w:p>
      <w:pPr>
        <w:spacing w:after="0" w:line="214" w:lineRule="exact"/>
        <w:rPr>
          <w:rFonts w:ascii="Arial" w:cs="Arial" w:eastAsia="Arial" w:hAnsi="Arial"/>
          <w:sz w:val="18"/>
          <w:szCs w:val="18"/>
          <w:color w:val="auto"/>
        </w:rPr>
      </w:pPr>
    </w:p>
    <w:p>
      <w:pPr>
        <w:ind w:left="2" w:right="20" w:hanging="2"/>
        <w:spacing w:after="0" w:line="279" w:lineRule="auto"/>
        <w:tabs>
          <w:tab w:leader="none" w:pos="40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Each SAR Award Agreement shall specify the Exercise Price. The Exercise Price of a SAR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223" w:lineRule="exact"/>
        <w:rPr>
          <w:rFonts w:ascii="Arial" w:cs="Arial" w:eastAsia="Arial" w:hAnsi="Arial"/>
          <w:sz w:val="18"/>
          <w:szCs w:val="18"/>
          <w:color w:val="auto"/>
        </w:rPr>
      </w:pPr>
    </w:p>
    <w:p>
      <w:pPr>
        <w:ind w:left="2" w:hanging="2"/>
        <w:spacing w:after="0" w:line="282" w:lineRule="auto"/>
        <w:tabs>
          <w:tab w:leader="none" w:pos="429"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Exercisability and Term</w:t>
      </w:r>
      <w:r>
        <w:rPr>
          <w:rFonts w:ascii="Arial" w:cs="Arial" w:eastAsia="Arial" w:hAnsi="Arial"/>
          <w:sz w:val="18"/>
          <w:szCs w:val="18"/>
          <w:color w:val="auto"/>
        </w:rPr>
        <w:t>. Each SAR Award Agreement shall specify the date when all or any installment of the SAR is</w:t>
      </w:r>
      <w:r>
        <w:rPr>
          <w:rFonts w:ascii="Arial" w:cs="Arial" w:eastAsia="Arial" w:hAnsi="Arial"/>
          <w:sz w:val="18"/>
          <w:szCs w:val="18"/>
          <w:i w:val="1"/>
          <w:iCs w:val="1"/>
          <w:color w:val="auto"/>
        </w:rPr>
        <w:t xml:space="preserve"> </w:t>
      </w:r>
      <w:r>
        <w:rPr>
          <w:rFonts w:ascii="Arial" w:cs="Arial" w:eastAsia="Arial" w:hAnsi="Arial"/>
          <w:sz w:val="18"/>
          <w:szCs w:val="18"/>
          <w:color w:val="auto"/>
        </w:rPr>
        <w:t>to become exercisable. The SAR Award Agreement shall also specify the term of the SAR. A SAR Award Agreement may provide for accelerated exercisability in the event of the Participant’s death, Disability, retirement, or other events and may</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1"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A-10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02" w:name="page103"/>
    <w:bookmarkEnd w:id="102"/>
    <w:p>
      <w:pPr>
        <w:ind w:left="2" w:right="40"/>
        <w:spacing w:after="0" w:line="279" w:lineRule="auto"/>
        <w:rPr>
          <w:sz w:val="20"/>
          <w:szCs w:val="20"/>
          <w:color w:val="auto"/>
        </w:rPr>
      </w:pPr>
      <w:r>
        <w:rPr>
          <w:rFonts w:ascii="Arial" w:cs="Arial" w:eastAsia="Arial" w:hAnsi="Arial"/>
          <w:sz w:val="18"/>
          <w:szCs w:val="18"/>
          <w:color w:val="auto"/>
        </w:rPr>
        <w:t>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200" w:lineRule="exact"/>
        <w:rPr>
          <w:sz w:val="20"/>
          <w:szCs w:val="20"/>
          <w:color w:val="auto"/>
        </w:rPr>
      </w:pPr>
    </w:p>
    <w:p>
      <w:pPr>
        <w:spacing w:after="0" w:line="254" w:lineRule="exact"/>
        <w:rPr>
          <w:sz w:val="20"/>
          <w:szCs w:val="20"/>
          <w:color w:val="auto"/>
        </w:rPr>
      </w:pPr>
    </w:p>
    <w:p>
      <w:pPr>
        <w:ind w:left="2" w:right="40" w:hanging="2"/>
        <w:spacing w:after="0" w:line="276" w:lineRule="auto"/>
        <w:tabs>
          <w:tab w:leader="none" w:pos="41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Exercise of SARs</w:t>
      </w:r>
      <w:r>
        <w:rPr>
          <w:rFonts w:ascii="Arial" w:cs="Arial" w:eastAsia="Arial" w:hAnsi="Arial"/>
          <w:sz w:val="18"/>
          <w:szCs w:val="18"/>
          <w:color w:val="auto"/>
        </w:rPr>
        <w:t>. Upon exercise of a SAR, the Participant (or any person having the right to exercise the SAR after</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226" w:lineRule="exact"/>
        <w:rPr>
          <w:rFonts w:ascii="Arial" w:cs="Arial" w:eastAsia="Arial" w:hAnsi="Arial"/>
          <w:sz w:val="18"/>
          <w:szCs w:val="18"/>
          <w:color w:val="auto"/>
        </w:rPr>
      </w:pPr>
    </w:p>
    <w:p>
      <w:pPr>
        <w:ind w:left="2" w:hanging="2"/>
        <w:spacing w:after="0" w:line="276" w:lineRule="auto"/>
        <w:tabs>
          <w:tab w:leader="none" w:pos="378"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Modification, Extension or Assumption of SARs</w:t>
      </w:r>
      <w:r>
        <w:rPr>
          <w:rFonts w:ascii="Arial" w:cs="Arial" w:eastAsia="Arial" w:hAnsi="Arial"/>
          <w:sz w:val="18"/>
          <w:szCs w:val="18"/>
          <w:color w:val="auto"/>
        </w:rPr>
        <w:t>. Subject to Section 5(e), within the limitations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226" w:lineRule="exact"/>
        <w:rPr>
          <w:rFonts w:ascii="Arial" w:cs="Arial" w:eastAsia="Arial" w:hAnsi="Arial"/>
          <w:sz w:val="18"/>
          <w:szCs w:val="18"/>
          <w:color w:val="auto"/>
        </w:rPr>
      </w:pPr>
    </w:p>
    <w:p>
      <w:pPr>
        <w:ind w:left="2" w:right="340" w:hanging="2"/>
        <w:spacing w:after="0" w:line="282" w:lineRule="auto"/>
        <w:tabs>
          <w:tab w:leader="none" w:pos="43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Buyout Provisions</w:t>
      </w:r>
      <w:r>
        <w:rPr>
          <w:rFonts w:ascii="Arial" w:cs="Arial" w:eastAsia="Arial" w:hAnsi="Arial"/>
          <w:sz w:val="18"/>
          <w:szCs w:val="18"/>
          <w:color w:val="auto"/>
        </w:rPr>
        <w:t>. Subject to Section 5(e), the Committee may at any time (i) offer to buy out for a payment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cash equivalents a SAR previously granted, or (ii) authorize a Participant to elect to cash out a SAR previously granted, in either case at such time and based upon such terms and conditions as the Committee shall establish.</w:t>
      </w:r>
    </w:p>
    <w:p>
      <w:pPr>
        <w:spacing w:after="0" w:line="222" w:lineRule="exact"/>
        <w:rPr>
          <w:rFonts w:ascii="Arial" w:cs="Arial" w:eastAsia="Arial" w:hAnsi="Arial"/>
          <w:sz w:val="18"/>
          <w:szCs w:val="18"/>
          <w:color w:val="auto"/>
        </w:rPr>
      </w:pPr>
    </w:p>
    <w:p>
      <w:pPr>
        <w:ind w:left="2" w:hanging="2"/>
        <w:spacing w:after="0" w:line="282" w:lineRule="auto"/>
        <w:tabs>
          <w:tab w:leader="none" w:pos="423"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Dividend Equivalents on SARs</w:t>
      </w:r>
      <w:r>
        <w:rPr>
          <w:rFonts w:ascii="Arial" w:cs="Arial" w:eastAsia="Arial" w:hAnsi="Arial"/>
          <w:sz w:val="18"/>
          <w:szCs w:val="18"/>
          <w:color w:val="auto"/>
        </w:rPr>
        <w:t>. No grant of SARs may be accompanied by a tandem award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or provide for dividends, dividend equivalents or other distributions to be paid on such SARs (except pursuant to an adjustment or other action contemplated by Section 13).</w:t>
      </w:r>
    </w:p>
    <w:p>
      <w:pPr>
        <w:spacing w:after="0" w:line="241" w:lineRule="exact"/>
        <w:rPr>
          <w:sz w:val="20"/>
          <w:szCs w:val="20"/>
          <w:color w:val="auto"/>
        </w:rPr>
      </w:pPr>
    </w:p>
    <w:p>
      <w:pPr>
        <w:ind w:left="2"/>
        <w:spacing w:after="0"/>
        <w:tabs>
          <w:tab w:leader="none" w:pos="1341" w:val="left"/>
        </w:tabs>
        <w:rPr>
          <w:sz w:val="20"/>
          <w:szCs w:val="20"/>
          <w:color w:val="auto"/>
        </w:rPr>
      </w:pPr>
      <w:r>
        <w:rPr>
          <w:rFonts w:ascii="Arial" w:cs="Arial" w:eastAsia="Arial" w:hAnsi="Arial"/>
          <w:sz w:val="16"/>
          <w:szCs w:val="16"/>
          <w:color w:val="auto"/>
        </w:rPr>
        <w:t>SECTION 10.</w:t>
        <w:tab/>
        <w:t>RESTRICTED STOCK UNITS.</w:t>
      </w:r>
    </w:p>
    <w:p>
      <w:pPr>
        <w:spacing w:after="0" w:line="197" w:lineRule="exact"/>
        <w:rPr>
          <w:sz w:val="20"/>
          <w:szCs w:val="20"/>
          <w:color w:val="auto"/>
        </w:rPr>
      </w:pPr>
    </w:p>
    <w:p>
      <w:pPr>
        <w:ind w:left="2" w:hanging="2"/>
        <w:spacing w:after="0" w:line="280" w:lineRule="auto"/>
        <w:tabs>
          <w:tab w:leader="none" w:pos="40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Restricted Stock Unit Award Agreement</w:t>
      </w:r>
      <w:r>
        <w:rPr>
          <w:rFonts w:ascii="Arial" w:cs="Arial" w:eastAsia="Arial" w:hAnsi="Arial"/>
          <w:sz w:val="18"/>
          <w:szCs w:val="18"/>
          <w:color w:val="auto"/>
        </w:rPr>
        <w:t>. Each grant of Restricted Stock Units under the Plan shall be evidenced by</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223" w:lineRule="exact"/>
        <w:rPr>
          <w:rFonts w:ascii="Arial" w:cs="Arial" w:eastAsia="Arial" w:hAnsi="Arial"/>
          <w:sz w:val="18"/>
          <w:szCs w:val="18"/>
          <w:color w:val="auto"/>
        </w:rPr>
      </w:pPr>
    </w:p>
    <w:p>
      <w:pPr>
        <w:ind w:left="2" w:right="700" w:hanging="1"/>
        <w:spacing w:after="0" w:line="290" w:lineRule="auto"/>
        <w:tabs>
          <w:tab w:leader="none" w:pos="429"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To the extent that an Award is granted in the form of Restricted Stock Units, no cash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shall be required of the Award recipients.</w:t>
      </w:r>
    </w:p>
    <w:p>
      <w:pPr>
        <w:spacing w:after="0" w:line="214" w:lineRule="exact"/>
        <w:rPr>
          <w:rFonts w:ascii="Arial" w:cs="Arial" w:eastAsia="Arial" w:hAnsi="Arial"/>
          <w:sz w:val="18"/>
          <w:szCs w:val="18"/>
          <w:color w:val="auto"/>
        </w:rPr>
      </w:pPr>
    </w:p>
    <w:p>
      <w:pPr>
        <w:ind w:left="2" w:hanging="1"/>
        <w:spacing w:after="0" w:line="280" w:lineRule="auto"/>
        <w:tabs>
          <w:tab w:leader="none" w:pos="40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Vesting Conditions</w:t>
      </w:r>
      <w:r>
        <w:rPr>
          <w:rFonts w:ascii="Arial" w:cs="Arial" w:eastAsia="Arial" w:hAnsi="Arial"/>
          <w:sz w:val="18"/>
          <w:szCs w:val="18"/>
          <w:color w:val="auto"/>
        </w:rPr>
        <w:t>. Each Award of Restricted Stock Units may or may not be subject to vesting. Vesting shall</w:t>
      </w:r>
      <w:r>
        <w:rPr>
          <w:rFonts w:ascii="Arial" w:cs="Arial" w:eastAsia="Arial" w:hAnsi="Arial"/>
          <w:sz w:val="18"/>
          <w:szCs w:val="18"/>
          <w:i w:val="1"/>
          <w:iCs w:val="1"/>
          <w:color w:val="auto"/>
        </w:rPr>
        <w:t xml:space="preserve"> </w:t>
      </w:r>
      <w:r>
        <w:rPr>
          <w:rFonts w:ascii="Arial" w:cs="Arial" w:eastAsia="Arial" w:hAnsi="Arial"/>
          <w:sz w:val="18"/>
          <w:szCs w:val="18"/>
          <w:color w:val="auto"/>
        </w:rPr>
        <w:t>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223" w:lineRule="exact"/>
        <w:rPr>
          <w:rFonts w:ascii="Arial" w:cs="Arial" w:eastAsia="Arial" w:hAnsi="Arial"/>
          <w:sz w:val="18"/>
          <w:szCs w:val="18"/>
          <w:color w:val="auto"/>
        </w:rPr>
      </w:pPr>
    </w:p>
    <w:p>
      <w:pPr>
        <w:ind w:left="2" w:hanging="1"/>
        <w:spacing w:after="0" w:line="277" w:lineRule="auto"/>
        <w:tabs>
          <w:tab w:leader="none" w:pos="429"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Restricted Stock Units shall have no voting rights. Prior to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forfeiture, 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2" w:right="80" w:hanging="1"/>
        <w:spacing w:after="0" w:line="280" w:lineRule="auto"/>
        <w:tabs>
          <w:tab w:leader="none" w:pos="41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Form and Time of Settlement of Restricted Stock Units</w:t>
      </w:r>
      <w:r>
        <w:rPr>
          <w:rFonts w:ascii="Arial" w:cs="Arial" w:eastAsia="Arial" w:hAnsi="Arial"/>
          <w:sz w:val="18"/>
          <w:szCs w:val="18"/>
          <w:color w:val="auto"/>
        </w:rPr>
        <w:t>. Settlement of vested Restricted Stock Units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A-11</w:t>
      </w:r>
    </w:p>
    <w:p>
      <w:pPr>
        <w:sectPr>
          <w:pgSz w:w="11880" w:h="15480" w:orient="portrait"/>
          <w:cols w:equalWidth="0" w:num="1">
            <w:col w:w="10422"/>
          </w:cols>
          <w:pgMar w:left="718" w:top="943" w:right="740" w:bottom="0" w:gutter="0" w:footer="0" w:header="0"/>
          <w:type w:val="continuous"/>
        </w:sectPr>
      </w:pPr>
    </w:p>
    <w:bookmarkStart w:id="103" w:name="page104"/>
    <w:bookmarkEnd w:id="103"/>
    <w:p>
      <w:pPr>
        <w:ind w:left="2"/>
        <w:spacing w:after="0" w:line="277" w:lineRule="auto"/>
        <w:rPr>
          <w:sz w:val="20"/>
          <w:szCs w:val="20"/>
          <w:color w:val="auto"/>
        </w:rPr>
      </w:pPr>
      <w:r>
        <w:rPr>
          <w:rFonts w:ascii="Arial" w:cs="Arial" w:eastAsia="Arial" w:hAnsi="Arial"/>
          <w:sz w:val="18"/>
          <w:szCs w:val="18"/>
          <w:color w:val="auto"/>
        </w:rPr>
        <w:t>(without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229" w:lineRule="exact"/>
        <w:rPr>
          <w:sz w:val="20"/>
          <w:szCs w:val="20"/>
          <w:color w:val="auto"/>
        </w:rPr>
      </w:pPr>
    </w:p>
    <w:p>
      <w:pPr>
        <w:ind w:left="2" w:hanging="2"/>
        <w:spacing w:after="0" w:line="279" w:lineRule="auto"/>
        <w:tabs>
          <w:tab w:leader="none" w:pos="378"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Death of Participant</w:t>
      </w:r>
      <w:r>
        <w:rPr>
          <w:rFonts w:ascii="Arial" w:cs="Arial" w:eastAsia="Arial" w:hAnsi="Arial"/>
          <w:sz w:val="18"/>
          <w:szCs w:val="18"/>
          <w:color w:val="auto"/>
        </w:rPr>
        <w:t>. Any Restricted Stock Unit Award that becomes payable after the Participant’s death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226" w:lineRule="exact"/>
        <w:rPr>
          <w:rFonts w:ascii="Arial" w:cs="Arial" w:eastAsia="Arial" w:hAnsi="Arial"/>
          <w:sz w:val="18"/>
          <w:szCs w:val="18"/>
          <w:color w:val="auto"/>
        </w:rPr>
      </w:pPr>
    </w:p>
    <w:p>
      <w:pPr>
        <w:ind w:left="2" w:right="120" w:hanging="2"/>
        <w:spacing w:after="0" w:line="285" w:lineRule="auto"/>
        <w:tabs>
          <w:tab w:leader="none" w:pos="431"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Creditors’ Rights</w:t>
      </w:r>
      <w:r>
        <w:rPr>
          <w:rFonts w:ascii="Arial" w:cs="Arial" w:eastAsia="Arial" w:hAnsi="Arial"/>
          <w:sz w:val="18"/>
          <w:szCs w:val="18"/>
          <w:color w:val="auto"/>
        </w:rPr>
        <w:t>. A holder of Restricted Stock Units shall have no rights other than those of a general creditor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Restricted Stock Units represent an unfunded and unsecured obligation of the Company, subject to the terms and conditions of the applicable Restricted Stock Unit Award Agreement.</w:t>
      </w:r>
    </w:p>
    <w:p>
      <w:pPr>
        <w:spacing w:after="0" w:line="239"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CASH-BASED AWARDS</w:t>
      </w:r>
    </w:p>
    <w:p>
      <w:pPr>
        <w:spacing w:after="0" w:line="193" w:lineRule="exact"/>
        <w:rPr>
          <w:sz w:val="20"/>
          <w:szCs w:val="20"/>
          <w:color w:val="auto"/>
        </w:rPr>
      </w:pPr>
    </w:p>
    <w:p>
      <w:pPr>
        <w:ind w:left="2" w:right="20"/>
        <w:spacing w:after="0" w:line="280" w:lineRule="auto"/>
        <w:rPr>
          <w:sz w:val="20"/>
          <w:szCs w:val="20"/>
          <w:color w:val="auto"/>
        </w:rPr>
      </w:pPr>
      <w:r>
        <w:rPr>
          <w:rFonts w:ascii="Arial" w:cs="Arial" w:eastAsia="Arial" w:hAnsi="Arial"/>
          <w:sz w:val="18"/>
          <w:szCs w:val="18"/>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00" w:lineRule="exact"/>
        <w:rPr>
          <w:sz w:val="20"/>
          <w:szCs w:val="20"/>
          <w:color w:val="auto"/>
        </w:rPr>
      </w:pPr>
    </w:p>
    <w:p>
      <w:pPr>
        <w:spacing w:after="0" w:line="283"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STOCK PURCHASE RIGHTS</w:t>
      </w:r>
    </w:p>
    <w:p>
      <w:pPr>
        <w:spacing w:after="0" w:line="193" w:lineRule="exact"/>
        <w:rPr>
          <w:sz w:val="20"/>
          <w:szCs w:val="20"/>
          <w:color w:val="auto"/>
        </w:rPr>
      </w:pPr>
    </w:p>
    <w:p>
      <w:pPr>
        <w:ind w:left="2"/>
        <w:spacing w:after="0" w:line="278" w:lineRule="auto"/>
        <w:rPr>
          <w:sz w:val="20"/>
          <w:szCs w:val="20"/>
          <w:color w:val="auto"/>
        </w:rPr>
      </w:pPr>
      <w:r>
        <w:rPr>
          <w:rFonts w:ascii="Arial" w:cs="Arial" w:eastAsia="Arial" w:hAnsi="Arial"/>
          <w:sz w:val="18"/>
          <w:szCs w:val="18"/>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ADJUSTMENT OF SHARES.</w:t>
      </w:r>
    </w:p>
    <w:p>
      <w:pPr>
        <w:spacing w:after="0" w:line="193" w:lineRule="exact"/>
        <w:rPr>
          <w:sz w:val="20"/>
          <w:szCs w:val="20"/>
          <w:color w:val="auto"/>
        </w:rPr>
      </w:pPr>
    </w:p>
    <w:p>
      <w:pPr>
        <w:ind w:left="2" w:hanging="2"/>
        <w:spacing w:after="0" w:line="284" w:lineRule="auto"/>
        <w:tabs>
          <w:tab w:leader="none" w:pos="408"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subdivision of the outstanding Stock, a declaration of a dividend payable in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902" w:hanging="503"/>
        <w:spacing w:after="0"/>
        <w:tabs>
          <w:tab w:leader="none" w:pos="9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class(es) and number of securities available for future Awards and the limitations set forth under Section 5;</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51"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A-12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04" w:name="page105"/>
    <w:bookmarkEnd w:id="104"/>
    <w:p>
      <w:pPr>
        <w:ind w:left="902" w:hanging="502"/>
        <w:spacing w:after="0"/>
        <w:tabs>
          <w:tab w:leader="none" w:pos="9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class(es) and number of securities covered by each outstanding Award;</w:t>
      </w:r>
    </w:p>
    <w:p>
      <w:pPr>
        <w:spacing w:after="0" w:line="266" w:lineRule="exact"/>
        <w:rPr>
          <w:rFonts w:ascii="Arial" w:cs="Arial" w:eastAsia="Arial" w:hAnsi="Arial"/>
          <w:sz w:val="18"/>
          <w:szCs w:val="18"/>
          <w:color w:val="auto"/>
        </w:rPr>
      </w:pPr>
    </w:p>
    <w:p>
      <w:pPr>
        <w:ind w:left="902" w:hanging="502"/>
        <w:spacing w:after="0"/>
        <w:tabs>
          <w:tab w:leader="none" w:pos="9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under each outstanding Option and SAR; and</w:t>
      </w:r>
    </w:p>
    <w:p>
      <w:pPr>
        <w:spacing w:after="0" w:line="266" w:lineRule="exact"/>
        <w:rPr>
          <w:rFonts w:ascii="Arial" w:cs="Arial" w:eastAsia="Arial" w:hAnsi="Arial"/>
          <w:sz w:val="18"/>
          <w:szCs w:val="18"/>
          <w:color w:val="auto"/>
        </w:rPr>
      </w:pPr>
    </w:p>
    <w:p>
      <w:pPr>
        <w:ind w:left="902" w:hanging="502"/>
        <w:spacing w:after="0"/>
        <w:tabs>
          <w:tab w:leader="none" w:pos="9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 Purchase Rights to the extent set forth in the ESPP Addendum.</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Committee will make such adjustments, and its determination will be final, binding and conclusive.</w:t>
      </w:r>
    </w:p>
    <w:p>
      <w:pPr>
        <w:spacing w:after="0" w:line="266" w:lineRule="exact"/>
        <w:rPr>
          <w:sz w:val="20"/>
          <w:szCs w:val="20"/>
          <w:color w:val="auto"/>
        </w:rPr>
      </w:pPr>
    </w:p>
    <w:p>
      <w:pPr>
        <w:ind w:left="2" w:hanging="2"/>
        <w:spacing w:after="0" w:line="278" w:lineRule="auto"/>
        <w:tabs>
          <w:tab w:leader="none" w:pos="429"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SARs, and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shall terminate immediately prior to the dissolution or liquidation of the Company and Stock Purchase Rights shall be subject to such treatment as set forth in the ESPP Addendum.</w:t>
      </w:r>
    </w:p>
    <w:p>
      <w:pPr>
        <w:spacing w:after="0" w:line="220" w:lineRule="exact"/>
        <w:rPr>
          <w:rFonts w:ascii="Arial" w:cs="Arial" w:eastAsia="Arial" w:hAnsi="Arial"/>
          <w:sz w:val="18"/>
          <w:szCs w:val="18"/>
          <w:color w:val="auto"/>
        </w:rPr>
      </w:pPr>
    </w:p>
    <w:p>
      <w:pPr>
        <w:ind w:left="2" w:hanging="2"/>
        <w:spacing w:after="0" w:line="280" w:lineRule="auto"/>
        <w:tabs>
          <w:tab w:leader="none" w:pos="407"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Merger or Reorganization</w:t>
      </w:r>
      <w:r>
        <w:rPr>
          <w:rFonts w:ascii="Arial" w:cs="Arial" w:eastAsia="Arial" w:hAnsi="Arial"/>
          <w:sz w:val="18"/>
          <w:szCs w:val="18"/>
          <w:color w:val="auto"/>
        </w:rPr>
        <w:t>. In the event that the Company is a party to a merger or other reorganization,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shall be subject to the agreement of merger or reorganization. Subject to compliance with Section 409A, such agreement may provide for one or more of the following with respect to Awards other than Stock Purchase Rights, without limitation:</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902" w:hanging="503"/>
        <w:spacing w:after="0"/>
        <w:tabs>
          <w:tab w:leader="none" w:pos="9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continuation of the outstanding Awards by the Company, if the Company is a surviving corporation;</w:t>
      </w:r>
    </w:p>
    <w:p>
      <w:pPr>
        <w:spacing w:after="0" w:line="266" w:lineRule="exact"/>
        <w:rPr>
          <w:rFonts w:ascii="Arial" w:cs="Arial" w:eastAsia="Arial" w:hAnsi="Arial"/>
          <w:sz w:val="18"/>
          <w:szCs w:val="18"/>
          <w:color w:val="auto"/>
        </w:rPr>
      </w:pPr>
    </w:p>
    <w:p>
      <w:pPr>
        <w:ind w:left="902" w:hanging="503"/>
        <w:spacing w:after="0"/>
        <w:tabs>
          <w:tab w:leader="none" w:pos="9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assumption of the outstanding Awards by the surviving corporation or its parent or subsidiary;</w:t>
      </w:r>
    </w:p>
    <w:p>
      <w:pPr>
        <w:spacing w:after="0" w:line="266" w:lineRule="exact"/>
        <w:rPr>
          <w:rFonts w:ascii="Arial" w:cs="Arial" w:eastAsia="Arial" w:hAnsi="Arial"/>
          <w:sz w:val="18"/>
          <w:szCs w:val="18"/>
          <w:color w:val="auto"/>
        </w:rPr>
      </w:pPr>
    </w:p>
    <w:p>
      <w:pPr>
        <w:ind w:left="902" w:right="160" w:hanging="503"/>
        <w:spacing w:after="0" w:line="262"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or subsidiary of its own awards for the outstanding Awards;</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902" w:right="280" w:hanging="503"/>
        <w:spacing w:after="0" w:line="287" w:lineRule="auto"/>
        <w:tabs>
          <w:tab w:leader="none" w:pos="901"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Immediate vesting, exercisability, or settlement of outstanding Awards followed by the cancellation of such Awards upon or immediately prior to the effectiveness of such transaction;</w:t>
      </w:r>
    </w:p>
    <w:p>
      <w:pPr>
        <w:spacing w:after="0" w:line="215" w:lineRule="exact"/>
        <w:rPr>
          <w:rFonts w:ascii="Arial" w:cs="Arial" w:eastAsia="Arial" w:hAnsi="Arial"/>
          <w:sz w:val="18"/>
          <w:szCs w:val="18"/>
          <w:color w:val="auto"/>
        </w:rPr>
      </w:pPr>
    </w:p>
    <w:p>
      <w:pPr>
        <w:ind w:left="902" w:right="220" w:hanging="503"/>
        <w:spacing w:after="0" w:line="280" w:lineRule="auto"/>
        <w:tabs>
          <w:tab w:leader="none" w:pos="9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221" w:lineRule="exact"/>
        <w:rPr>
          <w:rFonts w:ascii="Arial" w:cs="Arial" w:eastAsia="Arial" w:hAnsi="Arial"/>
          <w:sz w:val="18"/>
          <w:szCs w:val="18"/>
          <w:color w:val="auto"/>
        </w:rPr>
      </w:pPr>
    </w:p>
    <w:p>
      <w:pPr>
        <w:ind w:left="902" w:hanging="503"/>
        <w:spacing w:after="0" w:line="275" w:lineRule="auto"/>
        <w:tabs>
          <w:tab w:leader="none" w:pos="901"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200" w:lineRule="exact"/>
        <w:rPr>
          <w:sz w:val="20"/>
          <w:szCs w:val="20"/>
          <w:color w:val="auto"/>
        </w:rPr>
      </w:pPr>
    </w:p>
    <w:p>
      <w:pPr>
        <w:spacing w:after="0" w:line="261" w:lineRule="exact"/>
        <w:rPr>
          <w:sz w:val="20"/>
          <w:szCs w:val="20"/>
          <w:color w:val="auto"/>
        </w:rPr>
      </w:pPr>
    </w:p>
    <w:p>
      <w:pPr>
        <w:jc w:val="both"/>
        <w:ind w:left="2"/>
        <w:spacing w:after="0" w:line="273" w:lineRule="auto"/>
        <w:rPr>
          <w:sz w:val="20"/>
          <w:szCs w:val="20"/>
          <w:color w:val="auto"/>
        </w:rPr>
      </w:pPr>
      <w:r>
        <w:rPr>
          <w:rFonts w:ascii="Arial" w:cs="Arial" w:eastAsia="Arial" w:hAnsi="Arial"/>
          <w:sz w:val="18"/>
          <w:szCs w:val="18"/>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w:t>
      </w:r>
    </w:p>
    <w:p>
      <w:pPr>
        <w:ind w:left="2"/>
        <w:spacing w:after="0"/>
        <w:rPr>
          <w:sz w:val="20"/>
          <w:szCs w:val="20"/>
          <w:color w:val="auto"/>
        </w:rPr>
      </w:pPr>
      <w:r>
        <w:rPr>
          <w:rFonts w:ascii="Arial" w:cs="Arial" w:eastAsia="Arial" w:hAnsi="Arial"/>
          <w:sz w:val="18"/>
          <w:szCs w:val="18"/>
          <w:color w:val="auto"/>
        </w:rPr>
        <w:t>a merger or other reorganization, outstanding Stock Purchase Rights shall be subject to the terms of the ESPP Addendum.</w:t>
      </w:r>
    </w:p>
    <w:p>
      <w:pPr>
        <w:spacing w:after="0" w:line="266" w:lineRule="exact"/>
        <w:rPr>
          <w:sz w:val="20"/>
          <w:szCs w:val="20"/>
          <w:color w:val="auto"/>
        </w:rPr>
      </w:pPr>
    </w:p>
    <w:p>
      <w:pPr>
        <w:ind w:left="2" w:right="120"/>
        <w:spacing w:after="0" w:line="287" w:lineRule="auto"/>
        <w:rPr>
          <w:sz w:val="20"/>
          <w:szCs w:val="20"/>
          <w:color w:val="auto"/>
        </w:rPr>
      </w:pPr>
      <w:r>
        <w:rPr>
          <w:rFonts w:ascii="Arial" w:cs="Arial" w:eastAsia="Arial" w:hAnsi="Arial"/>
          <w:sz w:val="18"/>
          <w:szCs w:val="18"/>
          <w:color w:val="auto"/>
        </w:rPr>
        <w:t>The Company will have no obligation to treat all Awards, all Awards held by a Participant, or all Awards of the same type, similarly.</w:t>
      </w:r>
    </w:p>
    <w:p>
      <w:pPr>
        <w:spacing w:after="0" w:line="214" w:lineRule="exact"/>
        <w:rPr>
          <w:sz w:val="20"/>
          <w:szCs w:val="20"/>
          <w:color w:val="auto"/>
        </w:rPr>
      </w:pPr>
    </w:p>
    <w:p>
      <w:pPr>
        <w:ind w:left="2" w:hanging="2"/>
        <w:spacing w:after="0" w:line="275" w:lineRule="auto"/>
        <w:tabs>
          <w:tab w:leader="none" w:pos="429"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addition to (and without limiting) the actions that may be taken under Section 13(c),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 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A-13</w:t>
      </w:r>
    </w:p>
    <w:p>
      <w:pPr>
        <w:sectPr>
          <w:pgSz w:w="11880" w:h="15480" w:orient="portrait"/>
          <w:cols w:equalWidth="0" w:num="1">
            <w:col w:w="10422"/>
          </w:cols>
          <w:pgMar w:left="718" w:top="943" w:right="740" w:bottom="0" w:gutter="0" w:footer="0" w:header="0"/>
          <w:type w:val="continuous"/>
        </w:sectPr>
      </w:pPr>
    </w:p>
    <w:bookmarkStart w:id="105" w:name="page106"/>
    <w:bookmarkEnd w:id="105"/>
    <w:p>
      <w:pPr>
        <w:ind w:left="2"/>
        <w:spacing w:after="0" w:line="283" w:lineRule="auto"/>
        <w:rPr>
          <w:sz w:val="20"/>
          <w:szCs w:val="20"/>
          <w:color w:val="auto"/>
        </w:rPr>
      </w:pPr>
      <w:r>
        <w:rPr>
          <w:rFonts w:ascii="Arial" w:cs="Arial" w:eastAsia="Arial" w:hAnsi="Arial"/>
          <w:sz w:val="18"/>
          <w:szCs w:val="18"/>
          <w:color w:val="auto"/>
        </w:rPr>
        <w:t>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233" w:lineRule="exact"/>
        <w:rPr>
          <w:sz w:val="20"/>
          <w:szCs w:val="20"/>
          <w:color w:val="auto"/>
        </w:rPr>
      </w:pPr>
    </w:p>
    <w:p>
      <w:pPr>
        <w:ind w:left="402" w:hanging="402"/>
        <w:spacing w:after="0"/>
        <w:tabs>
          <w:tab w:leader="none" w:pos="402"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Reservation of Rights</w:t>
      </w:r>
      <w:r>
        <w:rPr>
          <w:rFonts w:ascii="Arial" w:cs="Arial" w:eastAsia="Arial" w:hAnsi="Arial"/>
          <w:sz w:val="18"/>
          <w:szCs w:val="18"/>
          <w:color w:val="auto"/>
        </w:rPr>
        <w:t>.  Except as provided in this Section 13, a Participant shall have no rights by reason of any</w:t>
      </w:r>
    </w:p>
    <w:p>
      <w:pPr>
        <w:spacing w:after="0" w:line="36" w:lineRule="exact"/>
        <w:rPr>
          <w:rFonts w:ascii="Arial" w:cs="Arial" w:eastAsia="Arial" w:hAnsi="Arial"/>
          <w:sz w:val="18"/>
          <w:szCs w:val="18"/>
          <w:color w:val="auto"/>
        </w:rPr>
      </w:pPr>
    </w:p>
    <w:p>
      <w:pPr>
        <w:ind w:left="2"/>
        <w:spacing w:after="0" w:line="283" w:lineRule="auto"/>
        <w:rPr>
          <w:rFonts w:ascii="Arial" w:cs="Arial" w:eastAsia="Arial" w:hAnsi="Arial"/>
          <w:sz w:val="18"/>
          <w:szCs w:val="18"/>
          <w:color w:val="auto"/>
        </w:rPr>
      </w:pPr>
      <w:r>
        <w:rPr>
          <w:rFonts w:ascii="Arial" w:cs="Arial" w:eastAsia="Arial" w:hAnsi="Arial"/>
          <w:sz w:val="18"/>
          <w:szCs w:val="18"/>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251"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DEFERRAL OF AWARDS.</w:t>
      </w:r>
    </w:p>
    <w:p>
      <w:pPr>
        <w:spacing w:after="0" w:line="193" w:lineRule="exact"/>
        <w:rPr>
          <w:sz w:val="20"/>
          <w:szCs w:val="20"/>
          <w:color w:val="auto"/>
        </w:rPr>
      </w:pPr>
    </w:p>
    <w:p>
      <w:pPr>
        <w:ind w:left="2" w:right="40" w:hanging="2"/>
        <w:spacing w:after="0" w:line="297" w:lineRule="auto"/>
        <w:tabs>
          <w:tab w:leader="none" w:pos="407"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Committee Powers</w:t>
      </w:r>
      <w:r>
        <w:rPr>
          <w:rFonts w:ascii="Arial" w:cs="Arial" w:eastAsia="Arial" w:hAnsi="Arial"/>
          <w:sz w:val="18"/>
          <w:szCs w:val="18"/>
          <w:color w:val="auto"/>
        </w:rPr>
        <w:t>. Subject to compliance with Section 409A, the Committee (in its sole discretion) may permit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 Participant to:</w:t>
      </w:r>
    </w:p>
    <w:p>
      <w:pPr>
        <w:spacing w:after="0" w:line="214" w:lineRule="exact"/>
        <w:rPr>
          <w:rFonts w:ascii="Arial" w:cs="Arial" w:eastAsia="Arial" w:hAnsi="Arial"/>
          <w:sz w:val="18"/>
          <w:szCs w:val="18"/>
          <w:color w:val="auto"/>
        </w:rPr>
      </w:pPr>
    </w:p>
    <w:p>
      <w:pPr>
        <w:ind w:left="902" w:hanging="502"/>
        <w:spacing w:after="0" w:line="289" w:lineRule="auto"/>
        <w:tabs>
          <w:tab w:leader="none" w:pos="901" w:val="left"/>
        </w:tabs>
        <w:numPr>
          <w:ilvl w:val="1"/>
          <w:numId w:val="97"/>
        </w:numPr>
        <w:rPr>
          <w:rFonts w:ascii="Arial" w:cs="Arial" w:eastAsia="Arial" w:hAnsi="Arial"/>
          <w:sz w:val="18"/>
          <w:szCs w:val="18"/>
          <w:color w:val="auto"/>
        </w:rPr>
      </w:pPr>
      <w:r>
        <w:rPr>
          <w:rFonts w:ascii="Arial" w:cs="Arial" w:eastAsia="Arial" w:hAnsi="Arial"/>
          <w:sz w:val="18"/>
          <w:szCs w:val="18"/>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221" w:lineRule="exact"/>
        <w:rPr>
          <w:rFonts w:ascii="Arial" w:cs="Arial" w:eastAsia="Arial" w:hAnsi="Arial"/>
          <w:sz w:val="18"/>
          <w:szCs w:val="18"/>
          <w:color w:val="auto"/>
        </w:rPr>
      </w:pPr>
    </w:p>
    <w:p>
      <w:pPr>
        <w:ind w:left="902" w:right="220" w:hanging="502"/>
        <w:spacing w:after="0" w:line="297"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converted into an equal number of Restricted Stock Units; or</w:t>
      </w:r>
    </w:p>
    <w:p>
      <w:pPr>
        <w:spacing w:after="0" w:line="214" w:lineRule="exact"/>
        <w:rPr>
          <w:rFonts w:ascii="Arial" w:cs="Arial" w:eastAsia="Arial" w:hAnsi="Arial"/>
          <w:sz w:val="18"/>
          <w:szCs w:val="18"/>
          <w:color w:val="auto"/>
        </w:rPr>
      </w:pPr>
    </w:p>
    <w:p>
      <w:pPr>
        <w:ind w:left="902" w:right="140" w:hanging="502"/>
        <w:spacing w:after="0" w:line="28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222" w:lineRule="exact"/>
        <w:rPr>
          <w:sz w:val="20"/>
          <w:szCs w:val="20"/>
          <w:color w:val="auto"/>
        </w:rPr>
      </w:pPr>
    </w:p>
    <w:p>
      <w:pPr>
        <w:ind w:left="2"/>
        <w:spacing w:after="0" w:line="297" w:lineRule="auto"/>
        <w:rPr>
          <w:sz w:val="20"/>
          <w:szCs w:val="20"/>
          <w:color w:val="auto"/>
        </w:rPr>
      </w:pPr>
      <w:r>
        <w:rPr>
          <w:rFonts w:ascii="Arial" w:cs="Arial" w:eastAsia="Arial" w:hAnsi="Arial"/>
          <w:sz w:val="18"/>
          <w:szCs w:val="18"/>
          <w:color w:val="auto"/>
        </w:rPr>
        <w:t>Such amounts shall be determined by reference to the Fair Market Value of such Shares as of the date when they otherwise would have been delivered to such Participant.</w:t>
      </w:r>
    </w:p>
    <w:p>
      <w:pPr>
        <w:spacing w:after="0" w:line="214" w:lineRule="exact"/>
        <w:rPr>
          <w:sz w:val="20"/>
          <w:szCs w:val="20"/>
          <w:color w:val="auto"/>
        </w:rPr>
      </w:pPr>
    </w:p>
    <w:p>
      <w:pPr>
        <w:ind w:left="2" w:hanging="2"/>
        <w:spacing w:after="0" w:line="283" w:lineRule="auto"/>
        <w:tabs>
          <w:tab w:leader="none" w:pos="429"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General Rules</w:t>
      </w:r>
      <w:r>
        <w:rPr>
          <w:rFonts w:ascii="Arial" w:cs="Arial" w:eastAsia="Arial" w:hAnsi="Arial"/>
          <w:sz w:val="18"/>
          <w:szCs w:val="18"/>
          <w:color w:val="auto"/>
        </w:rPr>
        <w:t>. A deferred compensation account established under this Section 14 may be credited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246"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AWARDS UNDER OTHER PLANS.</w:t>
      </w:r>
    </w:p>
    <w:p>
      <w:pPr>
        <w:spacing w:after="0" w:line="193" w:lineRule="exact"/>
        <w:rPr>
          <w:sz w:val="20"/>
          <w:szCs w:val="20"/>
          <w:color w:val="auto"/>
        </w:rPr>
      </w:pPr>
    </w:p>
    <w:p>
      <w:pPr>
        <w:jc w:val="both"/>
        <w:ind w:left="2" w:right="60"/>
        <w:spacing w:after="0" w:line="287" w:lineRule="auto"/>
        <w:rPr>
          <w:sz w:val="20"/>
          <w:szCs w:val="20"/>
          <w:color w:val="auto"/>
        </w:rPr>
      </w:pPr>
      <w:r>
        <w:rPr>
          <w:rFonts w:ascii="Arial" w:cs="Arial" w:eastAsia="Arial" w:hAnsi="Arial"/>
          <w:sz w:val="18"/>
          <w:szCs w:val="18"/>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A-14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06" w:name="page107"/>
    <w:bookmarkEnd w:id="106"/>
    <w:p>
      <w:pPr>
        <w:ind w:left="2"/>
        <w:spacing w:after="0"/>
        <w:tabs>
          <w:tab w:leader="none" w:pos="1281"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color w:val="auto"/>
        </w:rPr>
        <w:t>PAYMENT OF DIRECTOR’S FEES IN SECURITIES.</w:t>
      </w:r>
    </w:p>
    <w:p>
      <w:pPr>
        <w:spacing w:after="0" w:line="193" w:lineRule="exact"/>
        <w:rPr>
          <w:sz w:val="20"/>
          <w:szCs w:val="20"/>
          <w:color w:val="auto"/>
        </w:rPr>
      </w:pPr>
    </w:p>
    <w:p>
      <w:pPr>
        <w:ind w:left="2" w:right="480" w:hanging="2"/>
        <w:spacing w:after="0" w:line="292" w:lineRule="auto"/>
        <w:tabs>
          <w:tab w:leader="none" w:pos="408"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No provision of this Section 16 shall be effective unless and until the Board has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such provision.</w:t>
      </w:r>
    </w:p>
    <w:p>
      <w:pPr>
        <w:spacing w:after="0" w:line="214" w:lineRule="exact"/>
        <w:rPr>
          <w:rFonts w:ascii="Arial" w:cs="Arial" w:eastAsia="Arial" w:hAnsi="Arial"/>
          <w:sz w:val="18"/>
          <w:szCs w:val="18"/>
          <w:color w:val="auto"/>
        </w:rPr>
      </w:pPr>
    </w:p>
    <w:p>
      <w:pPr>
        <w:ind w:left="2" w:right="40" w:hanging="2"/>
        <w:spacing w:after="0" w:line="281" w:lineRule="auto"/>
        <w:tabs>
          <w:tab w:leader="none" w:pos="429"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Elections to Receive NSOs, SARs, Restricted Shares, or Restricted Stock Units</w:t>
      </w:r>
      <w:r>
        <w:rPr>
          <w:rFonts w:ascii="Arial" w:cs="Arial" w:eastAsia="Arial" w:hAnsi="Arial"/>
          <w:sz w:val="18"/>
          <w:szCs w:val="18"/>
          <w:color w:val="auto"/>
        </w:rPr>
        <w:t>. An Outside Director may elect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his 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224" w:lineRule="exact"/>
        <w:rPr>
          <w:rFonts w:ascii="Arial" w:cs="Arial" w:eastAsia="Arial" w:hAnsi="Arial"/>
          <w:sz w:val="18"/>
          <w:szCs w:val="18"/>
          <w:color w:val="auto"/>
        </w:rPr>
      </w:pPr>
    </w:p>
    <w:p>
      <w:pPr>
        <w:ind w:left="2" w:right="240" w:hanging="2"/>
        <w:spacing w:after="0" w:line="282" w:lineRule="auto"/>
        <w:tabs>
          <w:tab w:leader="none" w:pos="406"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Number and Terms of NSOs, SARs, Restricted Shares or Restricted Stock Units</w:t>
      </w:r>
      <w:r>
        <w:rPr>
          <w:rFonts w:ascii="Arial" w:cs="Arial" w:eastAsia="Arial" w:hAnsi="Arial"/>
          <w:sz w:val="18"/>
          <w:szCs w:val="18"/>
          <w:color w:val="auto"/>
        </w:rPr>
        <w:t>. The number of NSOs, SARs,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243"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LEGAL AND REGULATORY REQUIREMENTS.</w:t>
      </w:r>
    </w:p>
    <w:p>
      <w:pPr>
        <w:spacing w:after="0" w:line="193"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w:t>
      </w:r>
    </w:p>
    <w:p>
      <w:pPr>
        <w:spacing w:after="0" w:line="4" w:lineRule="exact"/>
        <w:rPr>
          <w:sz w:val="20"/>
          <w:szCs w:val="20"/>
          <w:color w:val="auto"/>
        </w:rPr>
      </w:pPr>
    </w:p>
    <w:p>
      <w:pPr>
        <w:ind w:left="2" w:right="180" w:hanging="2"/>
        <w:spacing w:after="0" w:line="292" w:lineRule="auto"/>
        <w:tabs>
          <w:tab w:leader="none" w:pos="2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tax consequences expected, but not realized, by any Participant or other person due to the receipt, exercise or settlement of any Award granted under the Plan.</w:t>
      </w:r>
    </w:p>
    <w:p>
      <w:pPr>
        <w:spacing w:after="0" w:line="234"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color w:val="auto"/>
        </w:rPr>
        <w:t>TAXES.</w:t>
      </w:r>
    </w:p>
    <w:p>
      <w:pPr>
        <w:spacing w:after="0" w:line="193" w:lineRule="exact"/>
        <w:rPr>
          <w:sz w:val="20"/>
          <w:szCs w:val="20"/>
          <w:color w:val="auto"/>
        </w:rPr>
      </w:pPr>
    </w:p>
    <w:p>
      <w:pPr>
        <w:ind w:left="2" w:hanging="2"/>
        <w:spacing w:after="0" w:line="282" w:lineRule="auto"/>
        <w:tabs>
          <w:tab w:leader="none" w:pos="40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To the extent required by applicable federal, state, local, or foreign law, a Participant or his or</w:t>
      </w:r>
      <w:r>
        <w:rPr>
          <w:rFonts w:ascii="Arial" w:cs="Arial" w:eastAsia="Arial" w:hAnsi="Arial"/>
          <w:sz w:val="18"/>
          <w:szCs w:val="18"/>
          <w:i w:val="1"/>
          <w:iCs w:val="1"/>
          <w:color w:val="auto"/>
        </w:rPr>
        <w:t xml:space="preserve"> </w:t>
      </w:r>
      <w:r>
        <w:rPr>
          <w:rFonts w:ascii="Arial" w:cs="Arial" w:eastAsia="Arial" w:hAnsi="Arial"/>
          <w:sz w:val="18"/>
          <w:szCs w:val="18"/>
          <w:color w:val="auto"/>
        </w:rPr>
        <w:t>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224" w:lineRule="exact"/>
        <w:rPr>
          <w:rFonts w:ascii="Arial" w:cs="Arial" w:eastAsia="Arial" w:hAnsi="Arial"/>
          <w:sz w:val="18"/>
          <w:szCs w:val="18"/>
          <w:color w:val="auto"/>
        </w:rPr>
      </w:pPr>
    </w:p>
    <w:p>
      <w:pPr>
        <w:ind w:left="2" w:hanging="2"/>
        <w:spacing w:after="0" w:line="282" w:lineRule="auto"/>
        <w:tabs>
          <w:tab w:leader="none" w:pos="429"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Share Withholding</w:t>
      </w:r>
      <w:r>
        <w:rPr>
          <w:rFonts w:ascii="Arial" w:cs="Arial" w:eastAsia="Arial" w:hAnsi="Arial"/>
          <w:sz w:val="18"/>
          <w:szCs w:val="18"/>
          <w:color w:val="auto"/>
        </w:rPr>
        <w:t>. The Committee may permit a Participant to satisfy all or part of his or her withholding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2" w:hanging="2"/>
        <w:spacing w:after="0" w:line="277" w:lineRule="auto"/>
        <w:tabs>
          <w:tab w:leader="none" w:pos="406"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The Plan as well as payments and benefits under the Plan are intended to be exempt from,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subject thereto, to comply with Section 409A, and, accordingly, to the maximum extent permitted, the Plan shall be interpreted in accordance therewith.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w:t>
      </w:r>
    </w:p>
    <w:p>
      <w:pPr>
        <w:spacing w:after="0" w:line="3" w:lineRule="exact"/>
        <w:rPr>
          <w:rFonts w:ascii="Arial" w:cs="Arial" w:eastAsia="Arial" w:hAnsi="Arial"/>
          <w:sz w:val="18"/>
          <w:szCs w:val="18"/>
          <w:color w:val="auto"/>
        </w:rPr>
      </w:pPr>
    </w:p>
    <w:p>
      <w:pPr>
        <w:ind w:left="2" w:hanging="2"/>
        <w:spacing w:after="0" w:line="279" w:lineRule="auto"/>
        <w:tabs>
          <w:tab w:leader="none" w:pos="22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Notwithstanding anything contained herein to the contrary, to the extent required in order to avoid accelerated taxation and/or tax penalties under Section 409A, a Participant shall not be considered to have terminated employment or service with the Company or a Parent or Subsidiary, for purposes of the Plan and no payment shall be due to the Participant under the Plan or any Award until the Participant would be considered to have incurred a “separation from service” from the Company or a Parent or Subsidiary within the meaning of Section 409A. Each</w:t>
      </w:r>
    </w:p>
    <w:p>
      <w:pPr>
        <w:sectPr>
          <w:pgSz w:w="11880" w:h="15480" w:orient="portrait"/>
          <w:cols w:equalWidth="0" w:num="1">
            <w:col w:w="10422"/>
          </w:cols>
          <w:pgMar w:left="718" w:top="942" w:right="74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A-15</w:t>
      </w:r>
    </w:p>
    <w:p>
      <w:pPr>
        <w:sectPr>
          <w:pgSz w:w="11880" w:h="15480" w:orient="portrait"/>
          <w:cols w:equalWidth="0" w:num="1">
            <w:col w:w="10422"/>
          </w:cols>
          <w:pgMar w:left="718" w:top="942" w:right="740" w:bottom="0" w:gutter="0" w:footer="0" w:header="0"/>
          <w:type w:val="continuous"/>
        </w:sectPr>
      </w:pPr>
    </w:p>
    <w:bookmarkStart w:id="107" w:name="page108"/>
    <w:bookmarkEnd w:id="107"/>
    <w:p>
      <w:pPr>
        <w:ind w:left="2" w:right="60"/>
        <w:spacing w:after="0" w:line="279" w:lineRule="auto"/>
        <w:rPr>
          <w:sz w:val="20"/>
          <w:szCs w:val="20"/>
          <w:color w:val="auto"/>
        </w:rPr>
      </w:pPr>
      <w:r>
        <w:rPr>
          <w:rFonts w:ascii="Arial" w:cs="Arial" w:eastAsia="Arial" w:hAnsi="Arial"/>
          <w:sz w:val="18"/>
          <w:szCs w:val="18"/>
          <w:color w:val="auto"/>
        </w:rPr>
        <w:t>amount to be paid or benefit to be provided under this Plan shall be construed as a separate identified payment for purposes of Section 409A. The Company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 taxes and penalties incurred under Section 409A.</w:t>
      </w:r>
    </w:p>
    <w:p>
      <w:pPr>
        <w:spacing w:after="0" w:line="200" w:lineRule="exact"/>
        <w:rPr>
          <w:sz w:val="20"/>
          <w:szCs w:val="20"/>
          <w:color w:val="auto"/>
        </w:rPr>
      </w:pPr>
    </w:p>
    <w:p>
      <w:pPr>
        <w:spacing w:after="0" w:line="273"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color w:val="auto"/>
        </w:rPr>
        <w:t>TRANSFERABILITY.</w:t>
      </w:r>
    </w:p>
    <w:p>
      <w:pPr>
        <w:spacing w:after="0" w:line="193" w:lineRule="exact"/>
        <w:rPr>
          <w:sz w:val="20"/>
          <w:szCs w:val="20"/>
          <w:color w:val="auto"/>
        </w:rPr>
      </w:pPr>
    </w:p>
    <w:p>
      <w:pPr>
        <w:ind w:left="2" w:right="20"/>
        <w:spacing w:after="0" w:line="276" w:lineRule="auto"/>
        <w:rPr>
          <w:sz w:val="20"/>
          <w:szCs w:val="20"/>
          <w:color w:val="auto"/>
        </w:rPr>
      </w:pPr>
      <w:r>
        <w:rPr>
          <w:rFonts w:ascii="Arial" w:cs="Arial" w:eastAsia="Arial" w:hAnsi="Arial"/>
          <w:sz w:val="18"/>
          <w:szCs w:val="18"/>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200" w:lineRule="exact"/>
        <w:rPr>
          <w:sz w:val="20"/>
          <w:szCs w:val="20"/>
          <w:color w:val="auto"/>
        </w:rPr>
      </w:pPr>
    </w:p>
    <w:p>
      <w:pPr>
        <w:spacing w:after="0" w:line="278" w:lineRule="exact"/>
        <w:rPr>
          <w:sz w:val="20"/>
          <w:szCs w:val="20"/>
          <w:color w:val="auto"/>
        </w:rPr>
      </w:pPr>
    </w:p>
    <w:p>
      <w:pPr>
        <w:ind w:left="2"/>
        <w:spacing w:after="0"/>
        <w:tabs>
          <w:tab w:leader="none" w:pos="1301"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color w:val="auto"/>
        </w:rPr>
        <w:t>PERFORMANCE BASED AWARDS.</w:t>
      </w:r>
    </w:p>
    <w:p>
      <w:pPr>
        <w:spacing w:after="0" w:line="193" w:lineRule="exact"/>
        <w:rPr>
          <w:sz w:val="20"/>
          <w:szCs w:val="20"/>
          <w:color w:val="auto"/>
        </w:rPr>
      </w:pPr>
    </w:p>
    <w:p>
      <w:pPr>
        <w:ind w:left="2" w:right="40"/>
        <w:spacing w:after="0" w:line="280" w:lineRule="auto"/>
        <w:rPr>
          <w:sz w:val="20"/>
          <w:szCs w:val="20"/>
          <w:color w:val="auto"/>
        </w:rPr>
      </w:pPr>
      <w:r>
        <w:rPr>
          <w:rFonts w:ascii="Arial" w:cs="Arial" w:eastAsia="Arial" w:hAnsi="Arial"/>
          <w:sz w:val="18"/>
          <w:szCs w:val="18"/>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240"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color w:val="auto"/>
        </w:rPr>
        <w:t>FORFEITURE, CANCELLATION OR RECOUPMENT OF AWARDS.</w:t>
      </w:r>
    </w:p>
    <w:p>
      <w:pPr>
        <w:spacing w:after="0" w:line="193" w:lineRule="exact"/>
        <w:rPr>
          <w:sz w:val="20"/>
          <w:szCs w:val="20"/>
          <w:color w:val="auto"/>
        </w:rPr>
      </w:pPr>
    </w:p>
    <w:p>
      <w:pPr>
        <w:ind w:left="2"/>
        <w:spacing w:after="0" w:line="275" w:lineRule="auto"/>
        <w:rPr>
          <w:sz w:val="20"/>
          <w:szCs w:val="20"/>
          <w:color w:val="auto"/>
        </w:rPr>
      </w:pPr>
      <w:r>
        <w:rPr>
          <w:rFonts w:ascii="Arial" w:cs="Arial" w:eastAsia="Arial" w:hAnsi="Arial"/>
          <w:sz w:val="18"/>
          <w:szCs w:val="18"/>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or amended by the Company from time to time, including, without limitation, the Company’s Compensation Recoupment Policy. Notwithstanding the foregoing, Stock Purchase Rights shall be subject to the terms of the ESPP Addendum.</w:t>
      </w:r>
    </w:p>
    <w:p>
      <w:pPr>
        <w:spacing w:after="0" w:line="200" w:lineRule="exact"/>
        <w:rPr>
          <w:sz w:val="20"/>
          <w:szCs w:val="20"/>
          <w:color w:val="auto"/>
        </w:rPr>
      </w:pPr>
    </w:p>
    <w:p>
      <w:pPr>
        <w:spacing w:after="0" w:line="260" w:lineRule="exact"/>
        <w:rPr>
          <w:sz w:val="20"/>
          <w:szCs w:val="20"/>
          <w:color w:val="auto"/>
        </w:rPr>
      </w:pPr>
    </w:p>
    <w:p>
      <w:pPr>
        <w:ind w:left="2" w:right="20"/>
        <w:spacing w:after="0" w:line="276" w:lineRule="auto"/>
        <w:rPr>
          <w:sz w:val="20"/>
          <w:szCs w:val="20"/>
          <w:color w:val="auto"/>
        </w:rPr>
      </w:pPr>
      <w:r>
        <w:rPr>
          <w:rFonts w:ascii="Arial" w:cs="Arial" w:eastAsia="Arial" w:hAnsi="Arial"/>
          <w:sz w:val="18"/>
          <w:szCs w:val="18"/>
          <w:color w:val="auto"/>
        </w:rPr>
        <w:t>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45"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color w:val="auto"/>
        </w:rPr>
        <w:t>NO EMPLOYMENT RIGHTS.</w:t>
      </w:r>
    </w:p>
    <w:p>
      <w:pPr>
        <w:spacing w:after="0" w:line="193" w:lineRule="exact"/>
        <w:rPr>
          <w:sz w:val="20"/>
          <w:szCs w:val="20"/>
          <w:color w:val="auto"/>
        </w:rPr>
      </w:pPr>
    </w:p>
    <w:p>
      <w:pPr>
        <w:ind w:left="2" w:right="220"/>
        <w:spacing w:after="0" w:line="282" w:lineRule="auto"/>
        <w:rPr>
          <w:sz w:val="20"/>
          <w:szCs w:val="20"/>
          <w:color w:val="auto"/>
        </w:rPr>
      </w:pPr>
      <w:r>
        <w:rPr>
          <w:rFonts w:ascii="Arial" w:cs="Arial" w:eastAsia="Arial" w:hAnsi="Arial"/>
          <w:sz w:val="18"/>
          <w:szCs w:val="18"/>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241"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23.</w:t>
        <w:tab/>
        <w:t>DURATION AND AMENDMENTS.</w:t>
      </w:r>
    </w:p>
    <w:p>
      <w:pPr>
        <w:spacing w:after="0" w:line="193" w:lineRule="exact"/>
        <w:rPr>
          <w:sz w:val="20"/>
          <w:szCs w:val="20"/>
          <w:color w:val="auto"/>
        </w:rPr>
      </w:pPr>
    </w:p>
    <w:p>
      <w:pPr>
        <w:ind w:left="402" w:hanging="402"/>
        <w:spacing w:after="0"/>
        <w:tabs>
          <w:tab w:leader="none" w:pos="402"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come into existence on the date of its adoption by the Board;</w:t>
      </w:r>
    </w:p>
    <w:p>
      <w:pPr>
        <w:spacing w:after="0" w:line="30" w:lineRule="exact"/>
        <w:rPr>
          <w:rFonts w:ascii="Arial" w:cs="Arial" w:eastAsia="Arial" w:hAnsi="Arial"/>
          <w:sz w:val="18"/>
          <w:szCs w:val="18"/>
          <w:color w:val="auto"/>
        </w:rPr>
      </w:pPr>
    </w:p>
    <w:p>
      <w:pPr>
        <w:ind w:left="2" w:right="80"/>
        <w:spacing w:after="0" w:line="265" w:lineRule="auto"/>
        <w:rPr>
          <w:rFonts w:ascii="Arial" w:cs="Arial" w:eastAsia="Arial" w:hAnsi="Arial"/>
          <w:sz w:val="18"/>
          <w:szCs w:val="18"/>
          <w:color w:val="auto"/>
        </w:rPr>
      </w:pPr>
      <w:r>
        <w:rPr>
          <w:rFonts w:ascii="Arial" w:cs="Arial" w:eastAsia="Arial" w:hAnsi="Arial"/>
          <w:sz w:val="18"/>
          <w:szCs w:val="18"/>
          <w:color w:val="auto"/>
        </w:rPr>
        <w:t>provided, however, that no Award may be granted hereunder prior to the Effective Date. The Board may suspend or terminate the Plan at any time. No ISOs may be granted after the tenth (10</w:t>
      </w:r>
      <w:r>
        <w:rPr>
          <w:rFonts w:ascii="Arial" w:cs="Arial" w:eastAsia="Arial" w:hAnsi="Arial"/>
          <w:sz w:val="21"/>
          <w:szCs w:val="21"/>
          <w:color w:val="auto"/>
          <w:vertAlign w:val="superscript"/>
        </w:rPr>
        <w:t>th</w:t>
      </w:r>
      <w:r>
        <w:rPr>
          <w:rFonts w:ascii="Arial" w:cs="Arial" w:eastAsia="Arial" w:hAnsi="Arial"/>
          <w:sz w:val="18"/>
          <w:szCs w:val="18"/>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238" w:lineRule="exact"/>
        <w:rPr>
          <w:rFonts w:ascii="Arial" w:cs="Arial" w:eastAsia="Arial" w:hAnsi="Arial"/>
          <w:sz w:val="18"/>
          <w:szCs w:val="18"/>
          <w:color w:val="auto"/>
        </w:rPr>
      </w:pPr>
    </w:p>
    <w:p>
      <w:pPr>
        <w:ind w:left="2" w:right="200" w:hanging="2"/>
        <w:spacing w:after="0" w:line="290" w:lineRule="auto"/>
        <w:tabs>
          <w:tab w:leader="none" w:pos="428"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Right to Amend the Plan</w:t>
      </w:r>
      <w:r>
        <w:rPr>
          <w:rFonts w:ascii="Arial" w:cs="Arial" w:eastAsia="Arial" w:hAnsi="Arial"/>
          <w:sz w:val="18"/>
          <w:szCs w:val="18"/>
          <w:color w:val="auto"/>
        </w:rPr>
        <w:t>. Subject to Section 5(e), the Board may amend the Plan or the ESPP Addendum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from time to time. Rights and obligations under any Award granted before amendment of the Plan shall not be</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A-16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08" w:name="page109"/>
    <w:bookmarkEnd w:id="108"/>
    <w:p>
      <w:pPr>
        <w:ind w:left="2"/>
        <w:spacing w:after="0" w:line="296" w:lineRule="auto"/>
        <w:rPr>
          <w:sz w:val="20"/>
          <w:szCs w:val="20"/>
          <w:color w:val="auto"/>
        </w:rPr>
      </w:pPr>
      <w:r>
        <w:rPr>
          <w:rFonts w:ascii="Arial" w:cs="Arial" w:eastAsia="Arial" w:hAnsi="Arial"/>
          <w:sz w:val="18"/>
          <w:szCs w:val="18"/>
          <w:color w:val="auto"/>
        </w:rPr>
        <w:t>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236" w:lineRule="exact"/>
        <w:rPr>
          <w:sz w:val="20"/>
          <w:szCs w:val="20"/>
          <w:color w:val="auto"/>
        </w:rPr>
      </w:pPr>
    </w:p>
    <w:p>
      <w:pPr>
        <w:ind w:left="2" w:right="180" w:hanging="2"/>
        <w:spacing w:after="0" w:line="304" w:lineRule="auto"/>
        <w:tabs>
          <w:tab w:leader="none" w:pos="406"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 No Awards shall be granted under the Plan after the termination thereof. The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shall not affect Awards previously granted under the Plan.</w:t>
      </w:r>
    </w:p>
    <w:p>
      <w:pPr>
        <w:spacing w:after="0" w:line="247"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color w:val="auto"/>
        </w:rPr>
        <w:t>AWARDS TO NON-U.S. PARTICIPANTS.</w:t>
      </w:r>
    </w:p>
    <w:p>
      <w:pPr>
        <w:spacing w:after="0" w:line="193" w:lineRule="exact"/>
        <w:rPr>
          <w:sz w:val="20"/>
          <w:szCs w:val="20"/>
          <w:color w:val="auto"/>
        </w:rPr>
      </w:pPr>
    </w:p>
    <w:p>
      <w:pPr>
        <w:ind w:left="2"/>
        <w:spacing w:after="0" w:line="292" w:lineRule="auto"/>
        <w:rPr>
          <w:sz w:val="20"/>
          <w:szCs w:val="20"/>
          <w:color w:val="auto"/>
        </w:rPr>
      </w:pPr>
      <w:r>
        <w:rPr>
          <w:rFonts w:ascii="Arial" w:cs="Arial" w:eastAsia="Arial" w:hAnsi="Arial"/>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258"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25.</w:t>
        <w:tab/>
        <w:t>GOVERNING LAW.</w:t>
      </w:r>
    </w:p>
    <w:p>
      <w:pPr>
        <w:spacing w:after="0" w:line="193" w:lineRule="exact"/>
        <w:rPr>
          <w:sz w:val="20"/>
          <w:szCs w:val="20"/>
          <w:color w:val="auto"/>
        </w:rPr>
      </w:pPr>
    </w:p>
    <w:p>
      <w:pPr>
        <w:ind w:left="2" w:right="620"/>
        <w:spacing w:after="0" w:line="304" w:lineRule="auto"/>
        <w:rPr>
          <w:sz w:val="20"/>
          <w:szCs w:val="20"/>
          <w:color w:val="auto"/>
        </w:rPr>
      </w:pPr>
      <w:r>
        <w:rPr>
          <w:rFonts w:ascii="Arial" w:cs="Arial" w:eastAsia="Arial" w:hAnsi="Arial"/>
          <w:sz w:val="18"/>
          <w:szCs w:val="18"/>
          <w:color w:val="auto"/>
        </w:rPr>
        <w:t>The Plan, the ESPP Addendum and each Award Agreement shall be governed by the laws of the state of Delaware, without application of the conflicts of law principles thereof.</w:t>
      </w:r>
    </w:p>
    <w:p>
      <w:pPr>
        <w:spacing w:after="0" w:line="247"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7"/>
          <w:szCs w:val="17"/>
          <w:color w:val="auto"/>
        </w:rPr>
        <w:t>SUCCESSORS AND ASSIGNS.</w:t>
      </w:r>
    </w:p>
    <w:p>
      <w:pPr>
        <w:spacing w:after="0" w:line="193" w:lineRule="exact"/>
        <w:rPr>
          <w:sz w:val="20"/>
          <w:szCs w:val="20"/>
          <w:color w:val="auto"/>
        </w:rPr>
      </w:pPr>
    </w:p>
    <w:p>
      <w:pPr>
        <w:ind w:left="2" w:right="100"/>
        <w:spacing w:after="0" w:line="304" w:lineRule="auto"/>
        <w:rPr>
          <w:sz w:val="20"/>
          <w:szCs w:val="20"/>
          <w:color w:val="auto"/>
        </w:rPr>
      </w:pPr>
      <w:r>
        <w:rPr>
          <w:rFonts w:ascii="Arial" w:cs="Arial" w:eastAsia="Arial" w:hAnsi="Arial"/>
          <w:sz w:val="18"/>
          <w:szCs w:val="18"/>
          <w:color w:val="auto"/>
        </w:rPr>
        <w:t>The terms of the Plan shall be binding upon and inure to the benefit of the Company and any successor entity, including any successor entity contemplated by Section 13(c).</w:t>
      </w:r>
    </w:p>
    <w:p>
      <w:pPr>
        <w:spacing w:after="0" w:line="247" w:lineRule="exact"/>
        <w:rPr>
          <w:sz w:val="20"/>
          <w:szCs w:val="20"/>
          <w:color w:val="auto"/>
        </w:rPr>
      </w:pPr>
    </w:p>
    <w:p>
      <w:pPr>
        <w:ind w:left="2"/>
        <w:spacing w:after="0"/>
        <w:tabs>
          <w:tab w:leader="none" w:pos="1281" w:val="left"/>
        </w:tabs>
        <w:rPr>
          <w:sz w:val="20"/>
          <w:szCs w:val="20"/>
          <w:color w:val="auto"/>
        </w:rPr>
      </w:pPr>
      <w:r>
        <w:rPr>
          <w:rFonts w:ascii="Arial" w:cs="Arial" w:eastAsia="Arial" w:hAnsi="Arial"/>
          <w:sz w:val="18"/>
          <w:szCs w:val="18"/>
          <w:color w:val="auto"/>
        </w:rPr>
        <w:t>SECTION 27.</w:t>
        <w:tab/>
        <w:t>EXECUTION.</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18"/>
          <w:szCs w:val="18"/>
          <w:color w:val="auto"/>
        </w:rPr>
        <w:t>To record the adoption of the Plan by the Board, the Company has caused its authorized officer to execute the same.</w:t>
      </w:r>
    </w:p>
    <w:p>
      <w:pPr>
        <w:spacing w:after="0" w:line="295" w:lineRule="exact"/>
        <w:rPr>
          <w:sz w:val="20"/>
          <w:szCs w:val="20"/>
          <w:color w:val="auto"/>
        </w:rPr>
      </w:pPr>
    </w:p>
    <w:p>
      <w:pPr>
        <w:ind w:left="5742"/>
        <w:spacing w:after="0"/>
        <w:rPr>
          <w:sz w:val="20"/>
          <w:szCs w:val="20"/>
          <w:color w:val="auto"/>
        </w:rPr>
      </w:pPr>
      <w:r>
        <w:rPr>
          <w:rFonts w:ascii="Arial" w:cs="Arial" w:eastAsia="Arial" w:hAnsi="Arial"/>
          <w:sz w:val="18"/>
          <w:szCs w:val="18"/>
          <w:color w:val="auto"/>
        </w:rPr>
        <w:t>LUCID GROUP, INC.</w:t>
      </w:r>
    </w:p>
    <w:p>
      <w:pPr>
        <w:spacing w:after="0" w:line="297" w:lineRule="exact"/>
        <w:rPr>
          <w:sz w:val="20"/>
          <w:szCs w:val="20"/>
          <w:color w:val="auto"/>
        </w:rPr>
      </w:pPr>
    </w:p>
    <w:p>
      <w:pPr>
        <w:ind w:left="5742"/>
        <w:spacing w:after="0"/>
        <w:rPr>
          <w:sz w:val="20"/>
          <w:szCs w:val="20"/>
          <w:color w:val="auto"/>
        </w:rPr>
      </w:pPr>
      <w:r>
        <w:rPr>
          <w:rFonts w:ascii="Arial" w:cs="Arial" w:eastAsia="Arial" w:hAnsi="Arial"/>
          <w:sz w:val="18"/>
          <w:szCs w:val="18"/>
          <w:color w:val="auto"/>
        </w:rPr>
        <w:t>By: /s/ Brian K. Tomkiel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3835400</wp:posOffset>
                </wp:positionH>
                <wp:positionV relativeFrom="paragraph">
                  <wp:posOffset>38735</wp:posOffset>
                </wp:positionV>
                <wp:extent cx="277939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93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pt,3.05pt" to="520.85pt,3.05pt" o:allowincell="f" strokecolor="#000000" strokeweight="0.499pt"/>
            </w:pict>
          </mc:Fallback>
        </mc:AlternateContent>
      </w:r>
    </w:p>
    <w:p>
      <w:pPr>
        <w:spacing w:after="0" w:line="72" w:lineRule="exact"/>
        <w:rPr>
          <w:sz w:val="20"/>
          <w:szCs w:val="20"/>
          <w:color w:val="auto"/>
        </w:rPr>
      </w:pPr>
    </w:p>
    <w:p>
      <w:pPr>
        <w:ind w:left="6042"/>
        <w:spacing w:after="0"/>
        <w:rPr>
          <w:sz w:val="20"/>
          <w:szCs w:val="20"/>
          <w:color w:val="auto"/>
        </w:rPr>
      </w:pPr>
      <w:r>
        <w:rPr>
          <w:rFonts w:ascii="Arial" w:cs="Arial" w:eastAsia="Arial" w:hAnsi="Arial"/>
          <w:sz w:val="18"/>
          <w:szCs w:val="18"/>
          <w:color w:val="auto"/>
        </w:rPr>
        <w:t>Name: Brian K. Tomkiel</w:t>
      </w:r>
    </w:p>
    <w:p>
      <w:pPr>
        <w:spacing w:after="0" w:line="42" w:lineRule="exact"/>
        <w:rPr>
          <w:sz w:val="20"/>
          <w:szCs w:val="20"/>
          <w:color w:val="auto"/>
        </w:rPr>
      </w:pPr>
    </w:p>
    <w:p>
      <w:pPr>
        <w:ind w:left="6042"/>
        <w:spacing w:after="0"/>
        <w:rPr>
          <w:sz w:val="20"/>
          <w:szCs w:val="20"/>
          <w:color w:val="auto"/>
        </w:rPr>
      </w:pPr>
      <w:r>
        <w:rPr>
          <w:rFonts w:ascii="Arial" w:cs="Arial" w:eastAsia="Arial" w:hAnsi="Arial"/>
          <w:sz w:val="18"/>
          <w:szCs w:val="18"/>
          <w:color w:val="auto"/>
        </w:rPr>
        <w:t>Title: General Counsel</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A-17</w:t>
      </w:r>
    </w:p>
    <w:p>
      <w:pPr>
        <w:sectPr>
          <w:pgSz w:w="11880" w:h="15480" w:orient="portrait"/>
          <w:cols w:equalWidth="0" w:num="1">
            <w:col w:w="10422"/>
          </w:cols>
          <w:pgMar w:left="718" w:top="943" w:right="74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ADDENDUM TO</w:t>
      </w:r>
    </w:p>
    <w:p>
      <w:pPr>
        <w:ind w:right="300"/>
        <w:spacing w:after="0" w:line="229" w:lineRule="auto"/>
        <w:rPr>
          <w:sz w:val="20"/>
          <w:szCs w:val="20"/>
          <w:color w:val="auto"/>
        </w:rPr>
      </w:pPr>
      <w:r>
        <w:rPr>
          <w:rFonts w:ascii="Times New Roman" w:cs="Times New Roman" w:eastAsia="Times New Roman" w:hAnsi="Times New Roman"/>
          <w:sz w:val="40"/>
          <w:szCs w:val="40"/>
          <w:color w:val="auto"/>
        </w:rPr>
        <w:t>LUCID GROUP, INC. AMENDED AND RESTATED 2021 STOCK INCENTIVE PLAN</w:t>
      </w:r>
    </w:p>
    <w:p>
      <w:pPr>
        <w:ind w:right="300"/>
        <w:spacing w:after="0" w:line="242" w:lineRule="auto"/>
        <w:rPr>
          <w:sz w:val="20"/>
          <w:szCs w:val="20"/>
          <w:color w:val="auto"/>
        </w:rPr>
      </w:pPr>
      <w:r>
        <w:rPr>
          <w:rFonts w:ascii="Times New Roman" w:cs="Times New Roman" w:eastAsia="Times New Roman" w:hAnsi="Times New Roman"/>
          <w:sz w:val="40"/>
          <w:szCs w:val="40"/>
          <w:color w:val="auto"/>
        </w:rPr>
        <w:t>AMENDED AND RESTATED 2021 EMPLOYEE STOCK PURCHASE PLAN</w:t>
      </w:r>
    </w:p>
    <w:p>
      <w:pPr>
        <w:sectPr>
          <w:pgSz w:w="11880" w:h="15480" w:orient="portrait"/>
          <w:cols w:equalWidth="0" w:num="1">
            <w:col w:w="10420"/>
          </w:cols>
          <w:pgMar w:left="720" w:top="144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A-18</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1440" w:right="74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40"/>
          <w:szCs w:val="40"/>
          <w:color w:val="auto"/>
        </w:rPr>
        <w:t>Table of Contents</w:t>
      </w:r>
    </w:p>
    <w:p>
      <w:pPr>
        <w:spacing w:after="0" w:line="200" w:lineRule="exact"/>
        <w:rPr>
          <w:sz w:val="20"/>
          <w:szCs w:val="20"/>
          <w:color w:val="auto"/>
        </w:rPr>
      </w:pPr>
    </w:p>
    <w:p>
      <w:pPr>
        <w:spacing w:after="0" w:line="264" w:lineRule="exact"/>
        <w:rPr>
          <w:sz w:val="20"/>
          <w:szCs w:val="20"/>
          <w:color w:val="auto"/>
        </w:rPr>
      </w:pPr>
    </w:p>
    <w:p>
      <w:pPr>
        <w:ind w:left="10020"/>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6334760</wp:posOffset>
                </wp:positionH>
                <wp:positionV relativeFrom="paragraph">
                  <wp:posOffset>50165</wp:posOffset>
                </wp:positionV>
                <wp:extent cx="27876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7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8pt,3.95pt" to="520.75pt,3.95pt" o:allowincell="f" strokecolor="#000000" strokeweight="0.499pt"/>
            </w:pict>
          </mc:Fallback>
        </mc:AlternateContent>
      </w:r>
    </w:p>
    <w:p>
      <w:pPr>
        <w:spacing w:after="0" w:line="109" w:lineRule="exact"/>
        <w:rPr>
          <w:sz w:val="20"/>
          <w:szCs w:val="20"/>
          <w:color w:val="auto"/>
        </w:rPr>
      </w:pPr>
    </w:p>
    <w:p>
      <w:pPr>
        <w:spacing w:after="0"/>
        <w:tabs>
          <w:tab w:leader="none" w:pos="1160" w:val="left"/>
          <w:tab w:leader="none" w:pos="9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PURPOSE OF THE PLAN . . . . . . . . . . . . . . . . . . . . . . . . . . . . . . . . . . . . . . . . . . . . . . . . . . . . . . . . . . . . . . . . . . . . . . . . . . . . . . . . .</w:t>
      </w:r>
      <w:r>
        <w:rPr>
          <w:sz w:val="20"/>
          <w:szCs w:val="20"/>
          <w:color w:val="auto"/>
        </w:rPr>
        <w:tab/>
      </w:r>
      <w:r>
        <w:rPr>
          <w:rFonts w:ascii="Arial" w:cs="Arial" w:eastAsia="Arial" w:hAnsi="Arial"/>
          <w:sz w:val="18"/>
          <w:szCs w:val="18"/>
          <w:color w:val="auto"/>
        </w:rPr>
        <w:t>A-21</w:t>
      </w:r>
    </w:p>
    <w:p>
      <w:pPr>
        <w:spacing w:after="0" w:line="112" w:lineRule="exact"/>
        <w:rPr>
          <w:sz w:val="20"/>
          <w:szCs w:val="20"/>
          <w:color w:val="auto"/>
        </w:rPr>
      </w:pPr>
    </w:p>
    <w:p>
      <w:pPr>
        <w:spacing w:after="0"/>
        <w:tabs>
          <w:tab w:leader="none" w:pos="1160" w:val="left"/>
          <w:tab w:leader="none" w:pos="9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color w:val="auto"/>
        </w:rPr>
        <w:t>DEFINITIONS . . . . . . . . . . . . . . . . . . . . . . . . . . . . . . . . . . . . . . . . . . . . . . . . . . . . . . . . . . . . . . . . . . . . . . . . . . . . . . . . . . . . . . . . . . . . .</w:t>
      </w:r>
      <w:r>
        <w:rPr>
          <w:sz w:val="20"/>
          <w:szCs w:val="20"/>
          <w:color w:val="auto"/>
        </w:rPr>
        <w:tab/>
      </w:r>
      <w:r>
        <w:rPr>
          <w:rFonts w:ascii="Arial" w:cs="Arial" w:eastAsia="Arial" w:hAnsi="Arial"/>
          <w:sz w:val="18"/>
          <w:szCs w:val="18"/>
          <w:color w:val="auto"/>
        </w:rPr>
        <w:t>A-21</w:t>
      </w:r>
    </w:p>
    <w:p>
      <w:pPr>
        <w:spacing w:after="0" w:line="112" w:lineRule="exact"/>
        <w:rPr>
          <w:sz w:val="20"/>
          <w:szCs w:val="20"/>
          <w:color w:val="auto"/>
        </w:rPr>
      </w:pPr>
    </w:p>
    <w:p>
      <w:pPr>
        <w:spacing w:after="0"/>
        <w:tabs>
          <w:tab w:leader="none" w:pos="1160" w:val="left"/>
          <w:tab w:leader="none" w:pos="9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ADMINISTRATION OF THE PLAN . . . . . . . . . . . . . . . . . . . . . . . . . . . . . . . . . . . . . . . . . . . . . . . . . . . . . . . . . . . . . . . . . . . . . . . .</w:t>
      </w:r>
      <w:r>
        <w:rPr>
          <w:sz w:val="20"/>
          <w:szCs w:val="20"/>
          <w:color w:val="auto"/>
        </w:rPr>
        <w:tab/>
      </w:r>
      <w:r>
        <w:rPr>
          <w:rFonts w:ascii="Arial" w:cs="Arial" w:eastAsia="Arial" w:hAnsi="Arial"/>
          <w:sz w:val="18"/>
          <w:szCs w:val="18"/>
          <w:color w:val="auto"/>
        </w:rPr>
        <w:t>A-22</w:t>
      </w:r>
    </w:p>
    <w:p>
      <w:pPr>
        <w:spacing w:after="0" w:line="113"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7"/>
          <w:szCs w:val="17"/>
          <w:color w:val="auto"/>
        </w:rPr>
        <w:t>(a)</w:t>
        <w:tab/>
        <w:t>Administrative Powers and Responsibilities . . . . . . . . . . . . . . . . . . . . . . . . . . . . . . . . . . . . . . . . . . . . . . . . . . . . . . . . . . . . . . . . . . .</w:t>
      </w:r>
      <w:r>
        <w:rPr>
          <w:sz w:val="20"/>
          <w:szCs w:val="20"/>
          <w:color w:val="auto"/>
        </w:rPr>
        <w:tab/>
      </w:r>
      <w:r>
        <w:rPr>
          <w:rFonts w:ascii="Arial" w:cs="Arial" w:eastAsia="Arial" w:hAnsi="Arial"/>
          <w:sz w:val="18"/>
          <w:szCs w:val="18"/>
          <w:color w:val="auto"/>
        </w:rPr>
        <w:t>A-22</w:t>
      </w:r>
    </w:p>
    <w:p>
      <w:pPr>
        <w:spacing w:after="0" w:line="112" w:lineRule="exact"/>
        <w:rPr>
          <w:sz w:val="20"/>
          <w:szCs w:val="20"/>
          <w:color w:val="auto"/>
        </w:rPr>
      </w:pPr>
    </w:p>
    <w:p>
      <w:pPr>
        <w:jc w:val="right"/>
        <w:ind w:right="20"/>
        <w:spacing w:after="0" w:line="416" w:lineRule="auto"/>
        <w:rPr>
          <w:sz w:val="20"/>
          <w:szCs w:val="20"/>
          <w:color w:val="auto"/>
        </w:rPr>
      </w:pPr>
      <w:r>
        <w:rPr>
          <w:rFonts w:ascii="Arial" w:cs="Arial" w:eastAsia="Arial" w:hAnsi="Arial"/>
          <w:sz w:val="16"/>
          <w:szCs w:val="16"/>
          <w:color w:val="auto"/>
        </w:rPr>
        <w:t>(b)   International Administration . . . . . . . . . . . . . . . . . . . . . . . . . . . . . . . . . . . . . . . . . . . . . . . . . . . . . . . . . . . . . . . . . . . . . . . . . . . . . . . . . . .  A-23 SECTION 4  ENROLLMENT AND PARTICIPATION . . . . . . . . . . . . . . . . . . . . . . . . . . . . . . . . . . . . . . . . . . . . . . . . . . . . . . . . . . . . . . . . . . . . .  A-23 (a)   Offering Periods . . . . . . . . . . . . . . . . . . . . . . . . . . . . . . . . . . . . . . . . . . . . . . . . . . . . . . . . . . . . . . . . . . . . . . . . . . . . . . . . . . . . . . . . . . . . . . .  A-23</w:t>
      </w:r>
    </w:p>
    <w:p>
      <w:pPr>
        <w:spacing w:after="0" w:line="1"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Enrollment . . . . . . . . . . . . . . . . . . . . . . . . . . . . . . . . . . . . . . . . . . . . . . . . . . . . . . . . . . . . . . . . . . . . . . . . . . . . . . . . . . . . . . . . . . . . . . . . . . . . . .</w:t>
      </w:r>
      <w:r>
        <w:rPr>
          <w:sz w:val="20"/>
          <w:szCs w:val="20"/>
          <w:color w:val="auto"/>
        </w:rPr>
        <w:tab/>
      </w:r>
      <w:r>
        <w:rPr>
          <w:rFonts w:ascii="Arial" w:cs="Arial" w:eastAsia="Arial" w:hAnsi="Arial"/>
          <w:sz w:val="18"/>
          <w:szCs w:val="18"/>
          <w:color w:val="auto"/>
        </w:rPr>
        <w:t>A-23</w:t>
      </w:r>
    </w:p>
    <w:p>
      <w:pPr>
        <w:spacing w:after="0" w:line="112" w:lineRule="exact"/>
        <w:rPr>
          <w:sz w:val="20"/>
          <w:szCs w:val="20"/>
          <w:color w:val="auto"/>
        </w:rPr>
      </w:pPr>
    </w:p>
    <w:p>
      <w:pPr>
        <w:jc w:val="right"/>
        <w:ind w:right="20"/>
        <w:spacing w:after="0" w:line="416" w:lineRule="auto"/>
        <w:rPr>
          <w:sz w:val="20"/>
          <w:szCs w:val="20"/>
          <w:color w:val="auto"/>
        </w:rPr>
      </w:pPr>
      <w:r>
        <w:rPr>
          <w:rFonts w:ascii="Arial" w:cs="Arial" w:eastAsia="Arial" w:hAnsi="Arial"/>
          <w:sz w:val="16"/>
          <w:szCs w:val="16"/>
          <w:color w:val="auto"/>
        </w:rPr>
        <w:t>(c)   Duration of Participation . . . . . . . . . . . . . . . . . . . . . . . . . . . . . . . . . . . . . . . . . . . . . . . . . . . . . . . . . . . . . . . . . . . . . . . . . . . . . . . . . . . . . . .  A-23 SECTION 5  EMPLOYEE CONTRIBUTIONS . . . . . . . . . . . . . . . . . . . . . . . . . . . . . . . . . . . . . . . . . . . . . . . . . . . . . . . . . . . . . . . . . . . . . . . . . . . .  A-23 (a)   Frequency of Payroll Deductions . . . . . . . . . . . . . . . . . . . . . . . . . . . . . . . . . . . . . . . . . . . . . . . . . . . . . . . . . . . . . . . . . . . . . . . . . . . . . .  A-23</w:t>
      </w:r>
    </w:p>
    <w:p>
      <w:pPr>
        <w:spacing w:after="0" w:line="1"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tab/>
        <w:t>Amount of Payroll Deductions . . . . . . . . . . . . . . . . . . . . . . . . . . . . . . . . . . . . . . . . . . . . . . . . . . . . . . . . . . . . . . . . . . . . . . . . . . . . . . . . .</w:t>
      </w:r>
      <w:r>
        <w:rPr>
          <w:sz w:val="20"/>
          <w:szCs w:val="20"/>
          <w:color w:val="auto"/>
        </w:rPr>
        <w:tab/>
      </w:r>
      <w:r>
        <w:rPr>
          <w:rFonts w:ascii="Arial" w:cs="Arial" w:eastAsia="Arial" w:hAnsi="Arial"/>
          <w:sz w:val="18"/>
          <w:szCs w:val="18"/>
          <w:color w:val="auto"/>
        </w:rPr>
        <w:t>A-23</w:t>
      </w:r>
    </w:p>
    <w:p>
      <w:pPr>
        <w:spacing w:after="0" w:line="11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Changing Withholding Rate . . . . . . . . . . . . . . . . . . . . . . . . . . . . . . . . . . . . . . . . . . . . . . . . . . . . . . . . . . . . . . . . . . . . . . . . . . . . . . . . . . .</w:t>
      </w:r>
      <w:r>
        <w:rPr>
          <w:sz w:val="20"/>
          <w:szCs w:val="20"/>
          <w:color w:val="auto"/>
        </w:rPr>
        <w:tab/>
      </w:r>
      <w:r>
        <w:rPr>
          <w:rFonts w:ascii="Arial" w:cs="Arial" w:eastAsia="Arial" w:hAnsi="Arial"/>
          <w:sz w:val="18"/>
          <w:szCs w:val="18"/>
          <w:color w:val="auto"/>
        </w:rPr>
        <w:t>A-24</w:t>
      </w:r>
    </w:p>
    <w:p>
      <w:pPr>
        <w:spacing w:after="0" w:line="112" w:lineRule="exact"/>
        <w:rPr>
          <w:sz w:val="20"/>
          <w:szCs w:val="20"/>
          <w:color w:val="auto"/>
        </w:rPr>
      </w:pPr>
    </w:p>
    <w:p>
      <w:pPr>
        <w:jc w:val="right"/>
        <w:ind w:right="20"/>
        <w:spacing w:after="0" w:line="444" w:lineRule="auto"/>
        <w:rPr>
          <w:sz w:val="20"/>
          <w:szCs w:val="20"/>
          <w:color w:val="auto"/>
        </w:rPr>
      </w:pPr>
      <w:r>
        <w:rPr>
          <w:rFonts w:ascii="Arial" w:cs="Arial" w:eastAsia="Arial" w:hAnsi="Arial"/>
          <w:sz w:val="15"/>
          <w:szCs w:val="15"/>
          <w:color w:val="auto"/>
        </w:rPr>
        <w:t>(d)   Discontinuing Payroll Deductions . . . . . . . . . . . . . . . . . . . . . . . . . . . . . . . . . . . . . . . . . . . . . . . . . . . . . . . . . . . . . . . . . . . . . . . . . . . . .  A-24 SECTION 6  WITHDRAWAL FROM THE PLAN . . . . . . . . . . . . . . . . . . . . . . . . . . . . . . . . . . . . . . . . . . . . . . . . . . . . . . . . . . . . . . . . . . . . . . . . .  A-24 (a)   Withdrawal . . . . . . . . . . . . . . . . . . . . . . . . . . . . . . . . . . . . . . . . . . . . . . . . . . . . . . . . . . . . . . . . . . . . . . . . . . . . . . . . . . . . . . . . . . . . . . . . . . . . .  A-24</w:t>
      </w:r>
    </w:p>
    <w:p>
      <w:pPr>
        <w:spacing w:after="0" w:line="1" w:lineRule="exact"/>
        <w:rPr>
          <w:sz w:val="20"/>
          <w:szCs w:val="20"/>
          <w:color w:val="auto"/>
        </w:rPr>
      </w:pPr>
    </w:p>
    <w:p>
      <w:pPr>
        <w:jc w:val="right"/>
        <w:ind w:right="20"/>
        <w:spacing w:after="0" w:line="416" w:lineRule="auto"/>
        <w:rPr>
          <w:sz w:val="20"/>
          <w:szCs w:val="20"/>
          <w:color w:val="auto"/>
        </w:rPr>
      </w:pPr>
      <w:r>
        <w:rPr>
          <w:rFonts w:ascii="Arial" w:cs="Arial" w:eastAsia="Arial" w:hAnsi="Arial"/>
          <w:sz w:val="16"/>
          <w:szCs w:val="16"/>
          <w:color w:val="auto"/>
        </w:rPr>
        <w:t>(b)   Re-enrollment After Withdrawal . . . . . . . . . . . . . . . . . . . . . . . . . . . . . . . . . . . . . . . . . . . . . . . . . . . . . . . . . . . . . . . . . . . . . . . . . . . . . . .  A-24 SECTION 7  CHANGE IN EMPLOYMENT STATUS . . . . . . . . . . . . . . . . . . . . . . . . . . . . . . . . . . . . . . . . . . . . . . . . . . . . . . . . . . . . . . . . . . . . .  A-24 (a)   Termination of Employment . . . . . . . . . . . . . . . . . . . . . . . . . . . . . . . . . . . . . . . . . . . . . . . . . . . . . . . . . . . . . . . . . . . . . . . . . . . . . . . . . . . .  A-24</w:t>
      </w:r>
    </w:p>
    <w:p>
      <w:pPr>
        <w:spacing w:after="0" w:line="1"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tab/>
        <w:t>Leave of Absence . . . . . . . . . . . . . . . . . . . . . . . . . . . . . . . . . . . . . . . . . . . . . . . . . . . . . . . . . . . . . . . . . . . . . . . . . . . . . . . . . . . . . . . . . . . . . .</w:t>
      </w:r>
      <w:r>
        <w:rPr>
          <w:sz w:val="20"/>
          <w:szCs w:val="20"/>
          <w:color w:val="auto"/>
        </w:rPr>
        <w:tab/>
      </w:r>
      <w:r>
        <w:rPr>
          <w:rFonts w:ascii="Arial" w:cs="Arial" w:eastAsia="Arial" w:hAnsi="Arial"/>
          <w:sz w:val="18"/>
          <w:szCs w:val="18"/>
          <w:color w:val="auto"/>
        </w:rPr>
        <w:t>A-24</w:t>
      </w:r>
    </w:p>
    <w:p>
      <w:pPr>
        <w:spacing w:after="0" w:line="112" w:lineRule="exact"/>
        <w:rPr>
          <w:sz w:val="20"/>
          <w:szCs w:val="20"/>
          <w:color w:val="auto"/>
        </w:rPr>
      </w:pPr>
    </w:p>
    <w:p>
      <w:pPr>
        <w:jc w:val="right"/>
        <w:ind w:right="20"/>
        <w:spacing w:after="0" w:line="444" w:lineRule="auto"/>
        <w:rPr>
          <w:sz w:val="20"/>
          <w:szCs w:val="20"/>
          <w:color w:val="auto"/>
        </w:rPr>
      </w:pPr>
      <w:r>
        <w:rPr>
          <w:rFonts w:ascii="Arial" w:cs="Arial" w:eastAsia="Arial" w:hAnsi="Arial"/>
          <w:sz w:val="15"/>
          <w:szCs w:val="15"/>
          <w:color w:val="auto"/>
        </w:rPr>
        <w:t>(c)   Death . . . . . . . . . . . . . . . . . . . . . . . . . . . . . . . . . . . . . . . . . . . . . . . . . . . . . . . . . . . . . . . . . . . . . . . . . . . . . . . . . . . . . . . . . . . . . . . . . . . . . . . . . . .  A-24 SECTION 8  PLAN ACCOUNTS AND PURCHASE OF SHARES . . . . . . . . . . . . . . . . . . . . . . . . . . . . . . . . . . . . . . . . . . . . . . . . . . . . . . . .  A-24 (a)   Plan Accounts . . . . . . . . . . . . . . . . . . . . . . . . . . . . . . . . . . . . . . . . . . . . . . . . . . . . . . . . . . . . . . . . . . . . . . . . . . . . . . . . . . . . . . . . . . . . . . . . . .  A-24</w:t>
      </w:r>
    </w:p>
    <w:p>
      <w:pPr>
        <w:spacing w:after="0" w:line="1"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tab/>
        <w:t>Purchase Price . . . . . . . . . . . . . . . . . . . . . . . . . . . . . . . . . . . . . . . . . . . . . . . . . . . . . . . . . . . . . . . . . . . . . . . . . . . . . . . . . . . . . . . . . . . . . . . . .</w:t>
      </w:r>
      <w:r>
        <w:rPr>
          <w:sz w:val="20"/>
          <w:szCs w:val="20"/>
          <w:color w:val="auto"/>
        </w:rPr>
        <w:tab/>
      </w:r>
      <w:r>
        <w:rPr>
          <w:rFonts w:ascii="Arial" w:cs="Arial" w:eastAsia="Arial" w:hAnsi="Arial"/>
          <w:sz w:val="18"/>
          <w:szCs w:val="18"/>
          <w:color w:val="auto"/>
        </w:rPr>
        <w:t>A-24</w:t>
      </w:r>
    </w:p>
    <w:p>
      <w:pPr>
        <w:spacing w:after="0" w:line="11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Number of Shares Purchased . . . . . . . . . . . . . . . . . . . . . . . . . . . . . . . . . . . . . . . . . . . . . . . . . . . . . . . . . . . . . . . . . . . . . . . . . . . . . . . . . .</w:t>
      </w:r>
      <w:r>
        <w:rPr>
          <w:sz w:val="20"/>
          <w:szCs w:val="20"/>
          <w:color w:val="auto"/>
        </w:rPr>
        <w:tab/>
      </w:r>
      <w:r>
        <w:rPr>
          <w:rFonts w:ascii="Arial" w:cs="Arial" w:eastAsia="Arial" w:hAnsi="Arial"/>
          <w:sz w:val="18"/>
          <w:szCs w:val="18"/>
          <w:color w:val="auto"/>
        </w:rPr>
        <w:t>A-25</w:t>
      </w:r>
    </w:p>
    <w:p>
      <w:pPr>
        <w:spacing w:after="0" w:line="11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(d)</w:t>
        <w:tab/>
        <w:t>Available Shares Insufficient . . . . . . . . . . . . . . . . . . . . . . . . . . . . . . . . . . . . . . . . . . . . . . . . . . . . . . . . . . . . . . . . . . . . . . . . . . . . . . . . . . .</w:t>
      </w:r>
      <w:r>
        <w:rPr>
          <w:sz w:val="20"/>
          <w:szCs w:val="20"/>
          <w:color w:val="auto"/>
        </w:rPr>
        <w:tab/>
      </w:r>
      <w:r>
        <w:rPr>
          <w:rFonts w:ascii="Arial" w:cs="Arial" w:eastAsia="Arial" w:hAnsi="Arial"/>
          <w:sz w:val="18"/>
          <w:szCs w:val="18"/>
          <w:color w:val="auto"/>
        </w:rPr>
        <w:t>A-25</w:t>
      </w:r>
    </w:p>
    <w:p>
      <w:pPr>
        <w:spacing w:after="0" w:line="11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Issuance of Stock . . . . . . . . . . . . . . . . . . . . . . . . . . . . . . . . . . . . . . . . . . . . . . . . . . . . . . . . . . . . . . . . . . . . . . . . . . . . . . . . . . . . . . . . . . . . . .</w:t>
      </w:r>
      <w:r>
        <w:rPr>
          <w:sz w:val="20"/>
          <w:szCs w:val="20"/>
          <w:color w:val="auto"/>
        </w:rPr>
        <w:tab/>
      </w:r>
      <w:r>
        <w:rPr>
          <w:rFonts w:ascii="Arial" w:cs="Arial" w:eastAsia="Arial" w:hAnsi="Arial"/>
          <w:sz w:val="18"/>
          <w:szCs w:val="18"/>
          <w:color w:val="auto"/>
        </w:rPr>
        <w:t>A-25</w:t>
      </w:r>
    </w:p>
    <w:p>
      <w:pPr>
        <w:spacing w:after="0" w:line="11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6"/>
          <w:szCs w:val="16"/>
          <w:color w:val="auto"/>
        </w:rPr>
        <w:t>Unused Cash Balances . . . . . . . . . . . . . . . . . . . . . . . . . . . . . . . . . . . . . . . . . . . . . . . . . . . . . . . . . . . . . . . . . . . . . . . . . . . . . . . . . . . . . . . . .</w:t>
      </w:r>
      <w:r>
        <w:rPr>
          <w:sz w:val="20"/>
          <w:szCs w:val="20"/>
          <w:color w:val="auto"/>
        </w:rPr>
        <w:tab/>
      </w:r>
      <w:r>
        <w:rPr>
          <w:rFonts w:ascii="Arial" w:cs="Arial" w:eastAsia="Arial" w:hAnsi="Arial"/>
          <w:sz w:val="18"/>
          <w:szCs w:val="18"/>
          <w:color w:val="auto"/>
        </w:rPr>
        <w:t>A-25</w:t>
      </w:r>
    </w:p>
    <w:p>
      <w:pPr>
        <w:spacing w:after="0" w:line="112" w:lineRule="exact"/>
        <w:rPr>
          <w:sz w:val="20"/>
          <w:szCs w:val="20"/>
          <w:color w:val="auto"/>
        </w:rPr>
      </w:pPr>
    </w:p>
    <w:p>
      <w:pPr>
        <w:jc w:val="right"/>
        <w:ind w:right="20"/>
        <w:spacing w:after="0" w:line="416" w:lineRule="auto"/>
        <w:rPr>
          <w:sz w:val="20"/>
          <w:szCs w:val="20"/>
          <w:color w:val="auto"/>
        </w:rPr>
      </w:pPr>
      <w:r>
        <w:rPr>
          <w:rFonts w:ascii="Arial" w:cs="Arial" w:eastAsia="Arial" w:hAnsi="Arial"/>
          <w:sz w:val="16"/>
          <w:szCs w:val="16"/>
          <w:color w:val="auto"/>
        </w:rPr>
        <w:t>(g)   Stockholder Approval . . . . . . . . . . . . . . . . . . . . . . . . . . . . . . . . . . . . . . . . . . . . . . . . . . . . . . . . . . . . . . . . . . . . . . . . . . . . . . . . . . . . . . . . . .  A-25 SECTION 9  LIMITATIONS ON STOCK OWNERSHIP . . . . . . . . . . . . . . . . . . . . . . . . . . . . . . . . . . . . . . . . . . . . . . . . . . . . . . . . . . . . . . . . . .  A-25 (a)   Five Percent Limit . . . . . . . . . . . . . . . . . . . . . . . . . . . . . . . . . . . . . . . . . . . . . . . . . . . . . . . . . . . . . . . . . . . . . . . . . . . . . . . . . . . . . . . . . . . . . .  A-25</w:t>
      </w:r>
    </w:p>
    <w:p>
      <w:pPr>
        <w:spacing w:after="0" w:line="1" w:lineRule="exact"/>
        <w:rPr>
          <w:sz w:val="20"/>
          <w:szCs w:val="20"/>
          <w:color w:val="auto"/>
        </w:rPr>
      </w:pPr>
    </w:p>
    <w:p>
      <w:pPr>
        <w:jc w:val="both"/>
        <w:ind w:right="20" w:firstLine="180"/>
        <w:spacing w:after="0" w:line="432" w:lineRule="auto"/>
        <w:rPr>
          <w:sz w:val="20"/>
          <w:szCs w:val="20"/>
          <w:color w:val="auto"/>
        </w:rPr>
      </w:pPr>
      <w:r>
        <w:rPr>
          <w:rFonts w:ascii="Arial" w:cs="Arial" w:eastAsia="Arial" w:hAnsi="Arial"/>
          <w:sz w:val="16"/>
          <w:szCs w:val="16"/>
          <w:color w:val="auto"/>
        </w:rPr>
        <w:t>(b) Dollar Limit . . . . . . . . . . . . . . . . . . . . . . . . . . . . . . . . . . . . . . . . . . . . . . . . . . . . . . . . . . . . . . . . . . . . . . . . . . . . . . . . . . . . . . . . . . . . . . . . . . . . . A-25 SECTION 10 RIGHTS NOT TRANSFERABLE . . . . . . . . . . . . . . . . . . . . . . . . . . . . . . . . . . . . . . . . . . . . . . . . . . . . . . . . . . . . . . . . . . . . . . . . . . A-26 SECTION 11 NO RIGHTS AS AN EMPLOYEE . . . . . . . . . . . . . . . . . . . . . . . . . . . . . . . . . . . . . . . . . . . . . . . . . . . . . . . . . . . . . . . . . . . . . . . . . A-26 SECTION 12 NO RIGHTS AS A STOCKHOLDER . . . . . . . . . . . . . . . . . . . . . . . . . . . . . . . . . . . . . . . . . . . . . . . . . . . . . . . . . . . . . . . . . . . . . . A-26</w:t>
      </w:r>
    </w:p>
    <w:p>
      <w:pPr>
        <w:sectPr>
          <w:pgSz w:w="11880" w:h="15480" w:orient="portrait"/>
          <w:cols w:equalWidth="0" w:num="1">
            <w:col w:w="10420"/>
          </w:cols>
          <w:pgMar w:left="720" w:top="87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A-19</w:t>
      </w:r>
    </w:p>
    <w:p>
      <w:pPr>
        <w:sectPr>
          <w:pgSz w:w="11880" w:h="15480" w:orient="portrait"/>
          <w:cols w:equalWidth="0" w:num="1">
            <w:col w:w="10420"/>
          </w:cols>
          <w:pgMar w:left="720" w:top="876" w:right="740" w:bottom="0" w:gutter="0" w:footer="0" w:header="0"/>
          <w:type w:val="continuous"/>
        </w:sectPr>
      </w:pPr>
    </w:p>
    <w:bookmarkStart w:id="111" w:name="page112"/>
    <w:bookmarkEnd w:id="111"/>
    <w:p>
      <w:pPr>
        <w:ind w:left="10020"/>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6334760</wp:posOffset>
                </wp:positionH>
                <wp:positionV relativeFrom="paragraph">
                  <wp:posOffset>50165</wp:posOffset>
                </wp:positionV>
                <wp:extent cx="27876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7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8pt,3.95pt" to="520.75pt,3.95pt" o:allowincell="f" strokecolor="#000000" strokeweight="0.499pt"/>
            </w:pict>
          </mc:Fallback>
        </mc:AlternateContent>
      </w:r>
    </w:p>
    <w:p>
      <w:pPr>
        <w:spacing w:after="0" w:line="109" w:lineRule="exact"/>
        <w:rPr>
          <w:sz w:val="20"/>
          <w:szCs w:val="20"/>
          <w:color w:val="auto"/>
        </w:rPr>
      </w:pPr>
    </w:p>
    <w:p>
      <w:pPr>
        <w:jc w:val="right"/>
        <w:ind w:right="20"/>
        <w:spacing w:after="0" w:line="444" w:lineRule="auto"/>
        <w:rPr>
          <w:sz w:val="20"/>
          <w:szCs w:val="20"/>
          <w:color w:val="auto"/>
        </w:rPr>
      </w:pPr>
      <w:r>
        <w:rPr>
          <w:rFonts w:ascii="Arial" w:cs="Arial" w:eastAsia="Arial" w:hAnsi="Arial"/>
          <w:sz w:val="15"/>
          <w:szCs w:val="15"/>
          <w:color w:val="auto"/>
        </w:rPr>
        <w:t>SECTION 13  SECURITIES LAW REQUIREMENTS . . . . . . . . . . . . . . . . . . . . . . . . . . . . . . . . . . . . . . . . . . . . . . . . . . . . . . . . . . . . . . . . . . . . .  A-26 SECTION 14  STOCK OFFERED UNDER THE PLAN . . . . . . . . . . . . . . . . . . . . . . . . . . . . . . . . . . . . . . . . . . . . . . . . . . . . . . . . . . . . . . . . . . .  A-26 (a)   Authorized Shares . . . . . . . . . . . . . . . . . . . . . . . . . . . . . . . . . . . . . . . . . . . . . . . . . . . . . . . . . . . . . . . . . . . . . . . . . . . . . . . . . . . . . . . . . . . . . .  A-26</w:t>
      </w:r>
    </w:p>
    <w:p>
      <w:pPr>
        <w:spacing w:after="0" w:line="2" w:lineRule="exact"/>
        <w:rPr>
          <w:sz w:val="20"/>
          <w:szCs w:val="20"/>
          <w:color w:val="auto"/>
        </w:rPr>
      </w:pPr>
    </w:p>
    <w:p>
      <w:pPr>
        <w:ind w:left="180"/>
        <w:spacing w:after="0"/>
        <w:tabs>
          <w:tab w:leader="none" w:pos="660" w:val="left"/>
          <w:tab w:leader="none" w:pos="99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Antidilution Adjustments . . . . . . . . . . . . . . . . . . . . . . . . . . . . . . . . . . . . . . . . . . . . . . . . . . . . . . . . . . . . . . . . . . . . . . . . . . . . . . . . . . . . . . .</w:t>
      </w:r>
      <w:r>
        <w:rPr>
          <w:sz w:val="20"/>
          <w:szCs w:val="20"/>
          <w:color w:val="auto"/>
        </w:rPr>
        <w:tab/>
      </w:r>
      <w:r>
        <w:rPr>
          <w:rFonts w:ascii="Arial" w:cs="Arial" w:eastAsia="Arial" w:hAnsi="Arial"/>
          <w:sz w:val="18"/>
          <w:szCs w:val="18"/>
          <w:color w:val="auto"/>
        </w:rPr>
        <w:t>A-26</w:t>
      </w:r>
    </w:p>
    <w:p>
      <w:pPr>
        <w:spacing w:after="0" w:line="112" w:lineRule="exact"/>
        <w:rPr>
          <w:sz w:val="20"/>
          <w:szCs w:val="20"/>
          <w:color w:val="auto"/>
        </w:rPr>
      </w:pPr>
    </w:p>
    <w:p>
      <w:pPr>
        <w:jc w:val="both"/>
        <w:ind w:right="20" w:firstLine="180"/>
        <w:spacing w:after="0" w:line="477" w:lineRule="auto"/>
        <w:rPr>
          <w:sz w:val="20"/>
          <w:szCs w:val="20"/>
          <w:color w:val="auto"/>
        </w:rPr>
      </w:pPr>
      <w:r>
        <w:rPr>
          <w:rFonts w:ascii="Arial" w:cs="Arial" w:eastAsia="Arial" w:hAnsi="Arial"/>
          <w:sz w:val="15"/>
          <w:szCs w:val="15"/>
          <w:color w:val="auto"/>
        </w:rPr>
        <w:t>(c) Reorganizations . . . . . . . . . . . . . . . . . . . . . . . . . . . . . . . . . . . . . . . . . . . . . . . . . . . . . . . . . . . . . . . . . . . . . . . . . . . . . . . . . . . . . . . . . . . . . . . . A-26 SECTION 15 AMENDMENT OR DISCONTINUANCE . . . . . . . . . . . . . . . . . . . . . . . . . . . . . . . . . . . . . . . . . . . . . . . . . . . . . . . . . . . . . . . . . . A-27 SECTION 16 EXECUTION . . . . . . . . . . . . . . . . . . . . . . . . . . . . . . . . . . . . . . . . . . . . . . . . . . . . . . . . . . . . . . . . . . . . . . . . . . . . . . . . . . . . . . . . . . . . A-27</w:t>
      </w:r>
    </w:p>
    <w:p>
      <w:pPr>
        <w:sectPr>
          <w:pgSz w:w="11880" w:h="15480" w:orient="portrait"/>
          <w:cols w:equalWidth="0" w:num="1">
            <w:col w:w="10420"/>
          </w:cols>
          <w:pgMar w:left="720" w:top="96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A-20</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0"/>
          </w:cols>
          <w:pgMar w:left="720" w:top="961" w:right="740" w:bottom="0" w:gutter="0" w:footer="0" w:header="0"/>
          <w:type w:val="continuous"/>
        </w:sectPr>
      </w:pPr>
    </w:p>
    <w:bookmarkStart w:id="112" w:name="page113"/>
    <w:bookmarkEnd w:id="112"/>
    <w:p>
      <w:pPr>
        <w:ind w:left="2"/>
        <w:spacing w:after="0"/>
        <w:rPr>
          <w:sz w:val="20"/>
          <w:szCs w:val="20"/>
          <w:color w:val="auto"/>
        </w:rPr>
      </w:pPr>
      <w:r>
        <w:rPr>
          <w:rFonts w:ascii="Times New Roman" w:cs="Times New Roman" w:eastAsia="Times New Roman" w:hAnsi="Times New Roman"/>
          <w:sz w:val="40"/>
          <w:szCs w:val="40"/>
          <w:color w:val="auto"/>
        </w:rPr>
        <w:t>Lucid Group, Inc.</w:t>
      </w:r>
    </w:p>
    <w:p>
      <w:pPr>
        <w:ind w:left="2"/>
        <w:spacing w:after="0"/>
        <w:rPr>
          <w:sz w:val="20"/>
          <w:szCs w:val="20"/>
          <w:color w:val="auto"/>
        </w:rPr>
      </w:pPr>
      <w:r>
        <w:rPr>
          <w:rFonts w:ascii="Times New Roman" w:cs="Times New Roman" w:eastAsia="Times New Roman" w:hAnsi="Times New Roman"/>
          <w:sz w:val="40"/>
          <w:szCs w:val="40"/>
          <w:color w:val="auto"/>
        </w:rPr>
        <w:t>Amended and Restated 2021 Employee Stock Purchase Plan</w:t>
      </w:r>
    </w:p>
    <w:p>
      <w:pPr>
        <w:spacing w:after="0" w:line="200" w:lineRule="exact"/>
        <w:rPr>
          <w:sz w:val="20"/>
          <w:szCs w:val="20"/>
          <w:color w:val="auto"/>
        </w:rPr>
      </w:pPr>
    </w:p>
    <w:p>
      <w:pPr>
        <w:spacing w:after="0" w:line="245"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PURPOSE OF THE PLAN.</w:t>
      </w:r>
    </w:p>
    <w:p>
      <w:pPr>
        <w:spacing w:after="0" w:line="193" w:lineRule="exact"/>
        <w:rPr>
          <w:sz w:val="20"/>
          <w:szCs w:val="20"/>
          <w:color w:val="auto"/>
        </w:rPr>
      </w:pPr>
    </w:p>
    <w:p>
      <w:pPr>
        <w:ind w:left="2" w:right="20"/>
        <w:spacing w:after="0" w:line="275" w:lineRule="auto"/>
        <w:rPr>
          <w:sz w:val="20"/>
          <w:szCs w:val="20"/>
          <w:color w:val="auto"/>
        </w:rPr>
      </w:pPr>
      <w:r>
        <w:rPr>
          <w:rFonts w:ascii="Arial" w:cs="Arial" w:eastAsia="Arial" w:hAnsi="Arial"/>
          <w:sz w:val="18"/>
          <w:szCs w:val="18"/>
          <w:color w:val="auto"/>
        </w:rPr>
        <w:t>This Plan is an addendum to and subject to the terms of the Amended and Restated 2021 Stock Incentive Plan of Lucid Group, Inc., as amended from time to time (the “2021 SIP”). The Plan was adopted by the Board on February 22, 2021, amended and restated as of January 1, 2024, and is hereby amended and restated effective as of April 22, 2025.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246"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2</w:t>
        <w:tab/>
        <w:t>DEFINITIONS.</w:t>
      </w:r>
    </w:p>
    <w:p>
      <w:pPr>
        <w:spacing w:after="0" w:line="193" w:lineRule="exact"/>
        <w:rPr>
          <w:sz w:val="20"/>
          <w:szCs w:val="20"/>
          <w:color w:val="auto"/>
        </w:rPr>
      </w:pPr>
    </w:p>
    <w:p>
      <w:pPr>
        <w:ind w:left="2" w:right="520"/>
        <w:spacing w:after="0" w:line="287" w:lineRule="auto"/>
        <w:rPr>
          <w:sz w:val="20"/>
          <w:szCs w:val="20"/>
          <w:color w:val="auto"/>
        </w:rPr>
      </w:pPr>
      <w:r>
        <w:rPr>
          <w:rFonts w:ascii="Arial" w:cs="Arial" w:eastAsia="Arial" w:hAnsi="Arial"/>
          <w:sz w:val="18"/>
          <w:szCs w:val="18"/>
          <w:color w:val="auto"/>
        </w:rPr>
        <w:t>Capitalized terms used but not defined in this Plan shall have the meaning set forth in the 2021 SIP. In addition, the following terms used in this Plan have the following meanings.</w:t>
      </w:r>
    </w:p>
    <w:p>
      <w:pPr>
        <w:spacing w:after="0" w:line="215" w:lineRule="exact"/>
        <w:rPr>
          <w:sz w:val="20"/>
          <w:szCs w:val="20"/>
          <w:color w:val="auto"/>
        </w:rPr>
      </w:pPr>
    </w:p>
    <w:p>
      <w:pPr>
        <w:ind w:left="2" w:right="180" w:hanging="2"/>
        <w:spacing w:after="0" w:line="293" w:lineRule="auto"/>
        <w:tabs>
          <w:tab w:leader="none" w:pos="4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“Committee” means the Compensation and Human Capital Committee of the Board or such other committee, comprised exclusively of one or more directors of the Company, as may be appointed by the Board from time to time to administer the Plan.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 w:hanging="2"/>
        <w:spacing w:after="0" w:line="275" w:lineRule="auto"/>
        <w:tabs>
          <w:tab w:leader="none" w:pos="4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“Compensation”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402" w:hanging="402"/>
        <w:spacing w:after="0"/>
        <w:tabs>
          <w:tab w:leader="none" w:pos="4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“Corporate Reorganization” means:</w:t>
      </w:r>
    </w:p>
    <w:p>
      <w:pPr>
        <w:spacing w:after="0" w:line="268" w:lineRule="exact"/>
        <w:rPr>
          <w:rFonts w:ascii="Arial" w:cs="Arial" w:eastAsia="Arial" w:hAnsi="Arial"/>
          <w:sz w:val="18"/>
          <w:szCs w:val="18"/>
          <w:color w:val="auto"/>
        </w:rPr>
      </w:pPr>
    </w:p>
    <w:p>
      <w:pPr>
        <w:ind w:left="902" w:right="620" w:hanging="503"/>
        <w:spacing w:after="0" w:line="28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or</w:t>
      </w:r>
    </w:p>
    <w:p>
      <w:pPr>
        <w:spacing w:after="0" w:line="215" w:lineRule="exact"/>
        <w:rPr>
          <w:rFonts w:ascii="Arial" w:cs="Arial" w:eastAsia="Arial" w:hAnsi="Arial"/>
          <w:sz w:val="18"/>
          <w:szCs w:val="18"/>
          <w:color w:val="auto"/>
        </w:rPr>
      </w:pPr>
    </w:p>
    <w:p>
      <w:pPr>
        <w:ind w:left="902" w:right="700" w:hanging="503"/>
        <w:spacing w:after="0" w:line="28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or the complete liquidation or dissolution of the Company.</w:t>
      </w:r>
    </w:p>
    <w:p>
      <w:pPr>
        <w:spacing w:after="0" w:line="215" w:lineRule="exact"/>
        <w:rPr>
          <w:rFonts w:ascii="Arial" w:cs="Arial" w:eastAsia="Arial" w:hAnsi="Arial"/>
          <w:sz w:val="18"/>
          <w:szCs w:val="18"/>
          <w:color w:val="auto"/>
        </w:rPr>
      </w:pPr>
    </w:p>
    <w:p>
      <w:pPr>
        <w:ind w:left="2" w:right="400" w:hanging="2"/>
        <w:spacing w:after="0" w:line="287" w:lineRule="auto"/>
        <w:tabs>
          <w:tab w:leader="none" w:pos="4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“Eligible Employee” means any employee of a Participating Company whose customary employment is for more than five (5) months per calendar year and for more than twenty (20) hours per week.</w:t>
      </w:r>
    </w:p>
    <w:p>
      <w:pPr>
        <w:spacing w:after="0" w:line="215" w:lineRule="exact"/>
        <w:rPr>
          <w:sz w:val="20"/>
          <w:szCs w:val="20"/>
          <w:color w:val="auto"/>
        </w:rPr>
      </w:pPr>
    </w:p>
    <w:p>
      <w:pPr>
        <w:ind w:left="2" w:right="280"/>
        <w:spacing w:after="0" w:line="287" w:lineRule="auto"/>
        <w:rPr>
          <w:sz w:val="20"/>
          <w:szCs w:val="20"/>
          <w:color w:val="auto"/>
        </w:rPr>
      </w:pPr>
      <w:r>
        <w:rPr>
          <w:rFonts w:ascii="Arial" w:cs="Arial" w:eastAsia="Arial" w:hAnsi="Arial"/>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215" w:lineRule="exact"/>
        <w:rPr>
          <w:sz w:val="20"/>
          <w:szCs w:val="20"/>
          <w:color w:val="auto"/>
        </w:rPr>
      </w:pPr>
    </w:p>
    <w:p>
      <w:pPr>
        <w:ind w:left="402" w:hanging="402"/>
        <w:spacing w:after="0"/>
        <w:tabs>
          <w:tab w:leader="none" w:pos="40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“Fair Market Value” means the fair market value of a share of Stock, determined as follows:</w:t>
      </w:r>
    </w:p>
    <w:p>
      <w:pPr>
        <w:spacing w:after="0" w:line="268" w:lineRule="exact"/>
        <w:rPr>
          <w:rFonts w:ascii="Arial" w:cs="Arial" w:eastAsia="Arial" w:hAnsi="Arial"/>
          <w:sz w:val="18"/>
          <w:szCs w:val="18"/>
          <w:color w:val="auto"/>
        </w:rPr>
      </w:pPr>
    </w:p>
    <w:p>
      <w:pPr>
        <w:ind w:left="902" w:right="40" w:hanging="503"/>
        <w:spacing w:after="0" w:line="27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Wall Street Journal or such other source as the Committee deems reliable; or</w:t>
      </w:r>
    </w:p>
    <w:p>
      <w:pPr>
        <w:spacing w:after="0" w:line="224" w:lineRule="exact"/>
        <w:rPr>
          <w:rFonts w:ascii="Arial" w:cs="Arial" w:eastAsia="Arial" w:hAnsi="Arial"/>
          <w:sz w:val="18"/>
          <w:szCs w:val="18"/>
          <w:color w:val="auto"/>
        </w:rPr>
      </w:pPr>
    </w:p>
    <w:p>
      <w:pPr>
        <w:ind w:left="902" w:right="180" w:hanging="503"/>
        <w:spacing w:after="0" w:line="290"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foregoing provision is not applicable, then the Fair Market Value shall be determined by the Committee in good faith on such basis as it deems appropriate.</w:t>
      </w:r>
    </w:p>
    <w:p>
      <w:pPr>
        <w:sectPr>
          <w:pgSz w:w="11880" w:h="15480" w:orient="portrait"/>
          <w:cols w:equalWidth="0" w:num="1">
            <w:col w:w="10422"/>
          </w:cols>
          <w:pgMar w:left="718" w:top="851" w:right="7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A-21</w:t>
      </w:r>
    </w:p>
    <w:p>
      <w:pPr>
        <w:sectPr>
          <w:pgSz w:w="11880" w:h="15480" w:orient="portrait"/>
          <w:cols w:equalWidth="0" w:num="1">
            <w:col w:w="10422"/>
          </w:cols>
          <w:pgMar w:left="718" w:top="851" w:right="740" w:bottom="0" w:gutter="0" w:footer="0" w:header="0"/>
          <w:type w:val="continuous"/>
        </w:sectPr>
      </w:pPr>
    </w:p>
    <w:bookmarkStart w:id="113" w:name="page114"/>
    <w:bookmarkEnd w:id="113"/>
    <w:p>
      <w:pPr>
        <w:ind w:left="2" w:right="20"/>
        <w:spacing w:after="0" w:line="280" w:lineRule="auto"/>
        <w:rPr>
          <w:sz w:val="20"/>
          <w:szCs w:val="20"/>
          <w:color w:val="auto"/>
        </w:rPr>
      </w:pPr>
      <w:r>
        <w:rPr>
          <w:rFonts w:ascii="Arial" w:cs="Arial" w:eastAsia="Arial" w:hAnsi="Arial"/>
          <w:sz w:val="18"/>
          <w:szCs w:val="18"/>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222" w:lineRule="exact"/>
        <w:rPr>
          <w:sz w:val="20"/>
          <w:szCs w:val="20"/>
          <w:color w:val="auto"/>
        </w:rPr>
      </w:pPr>
    </w:p>
    <w:p>
      <w:pPr>
        <w:ind w:left="382" w:hanging="382"/>
        <w:spacing w:after="0"/>
        <w:tabs>
          <w:tab w:leader="none" w:pos="38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“Offering” means the grant of options to purchase shares of Stock under the Plan to Eligible Employees.</w:t>
      </w:r>
    </w:p>
    <w:p>
      <w:pPr>
        <w:spacing w:after="0" w:line="268" w:lineRule="exact"/>
        <w:rPr>
          <w:rFonts w:ascii="Arial" w:cs="Arial" w:eastAsia="Arial" w:hAnsi="Arial"/>
          <w:sz w:val="18"/>
          <w:szCs w:val="18"/>
          <w:color w:val="auto"/>
        </w:rPr>
      </w:pPr>
    </w:p>
    <w:p>
      <w:pPr>
        <w:ind w:left="422" w:hanging="422"/>
        <w:spacing w:after="0"/>
        <w:tabs>
          <w:tab w:leader="none" w:pos="42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“Offering Date” means the first day of an Offering.</w:t>
      </w:r>
    </w:p>
    <w:p>
      <w:pPr>
        <w:spacing w:after="0" w:line="268" w:lineRule="exact"/>
        <w:rPr>
          <w:rFonts w:ascii="Arial" w:cs="Arial" w:eastAsia="Arial" w:hAnsi="Arial"/>
          <w:sz w:val="18"/>
          <w:szCs w:val="18"/>
          <w:color w:val="auto"/>
        </w:rPr>
      </w:pPr>
    </w:p>
    <w:p>
      <w:pPr>
        <w:ind w:left="2" w:right="80" w:hanging="2"/>
        <w:spacing w:after="0" w:line="287" w:lineRule="auto"/>
        <w:tabs>
          <w:tab w:leader="none" w:pos="4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“Offering Period” means a period with respect to which the right to purchase Stock may be granted under the Plan, as determined pursuant to Section 4(a).</w:t>
      </w:r>
    </w:p>
    <w:p>
      <w:pPr>
        <w:spacing w:after="0" w:line="215" w:lineRule="exact"/>
        <w:rPr>
          <w:rFonts w:ascii="Arial" w:cs="Arial" w:eastAsia="Arial" w:hAnsi="Arial"/>
          <w:sz w:val="18"/>
          <w:szCs w:val="18"/>
          <w:color w:val="auto"/>
        </w:rPr>
      </w:pPr>
    </w:p>
    <w:p>
      <w:pPr>
        <w:ind w:left="362" w:hanging="362"/>
        <w:spacing w:after="0"/>
        <w:tabs>
          <w:tab w:leader="none" w:pos="3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“Participant” means an Eligible Employee who elects to participate in the Plan, as provided in Section 4(b).</w:t>
      </w:r>
    </w:p>
    <w:p>
      <w:pPr>
        <w:spacing w:after="0" w:line="268" w:lineRule="exact"/>
        <w:rPr>
          <w:rFonts w:ascii="Arial" w:cs="Arial" w:eastAsia="Arial" w:hAnsi="Arial"/>
          <w:sz w:val="18"/>
          <w:szCs w:val="18"/>
          <w:color w:val="auto"/>
        </w:rPr>
      </w:pPr>
    </w:p>
    <w:p>
      <w:pPr>
        <w:ind w:left="2" w:right="700" w:hanging="2"/>
        <w:spacing w:after="0" w:line="287" w:lineRule="auto"/>
        <w:tabs>
          <w:tab w:leader="none" w:pos="3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“Participating Company” means (i) the Company and (ii) each present or future Subsidiary designated by the Committee as a Participating Company.</w:t>
      </w:r>
    </w:p>
    <w:p>
      <w:pPr>
        <w:spacing w:after="0" w:line="215" w:lineRule="exact"/>
        <w:rPr>
          <w:rFonts w:ascii="Arial" w:cs="Arial" w:eastAsia="Arial" w:hAnsi="Arial"/>
          <w:sz w:val="18"/>
          <w:szCs w:val="18"/>
          <w:color w:val="auto"/>
        </w:rPr>
      </w:pPr>
    </w:p>
    <w:p>
      <w:pPr>
        <w:ind w:left="2" w:right="640" w:hanging="2"/>
        <w:spacing w:after="0" w:line="287" w:lineRule="auto"/>
        <w:tabs>
          <w:tab w:leader="none" w:pos="4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“Plan” means this Lucid Group Inc. Amended and Restated 2021 Employee Stock Purchase Plan, as it may be amended from time to time.</w:t>
      </w:r>
    </w:p>
    <w:p>
      <w:pPr>
        <w:spacing w:after="0" w:line="215" w:lineRule="exact"/>
        <w:rPr>
          <w:rFonts w:ascii="Arial" w:cs="Arial" w:eastAsia="Arial" w:hAnsi="Arial"/>
          <w:sz w:val="18"/>
          <w:szCs w:val="18"/>
          <w:color w:val="auto"/>
        </w:rPr>
      </w:pPr>
    </w:p>
    <w:p>
      <w:pPr>
        <w:ind w:left="362" w:hanging="362"/>
        <w:spacing w:after="0"/>
        <w:tabs>
          <w:tab w:leader="none" w:pos="3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“Plan Account” means the account established for each Participant pursuant to Section 8(a).</w:t>
      </w:r>
    </w:p>
    <w:p>
      <w:pPr>
        <w:spacing w:after="0" w:line="268" w:lineRule="exact"/>
        <w:rPr>
          <w:rFonts w:ascii="Arial" w:cs="Arial" w:eastAsia="Arial" w:hAnsi="Arial"/>
          <w:sz w:val="18"/>
          <w:szCs w:val="18"/>
          <w:color w:val="auto"/>
        </w:rPr>
      </w:pPr>
    </w:p>
    <w:p>
      <w:pPr>
        <w:ind w:left="2" w:right="40" w:hanging="2"/>
        <w:spacing w:after="0" w:line="287" w:lineRule="auto"/>
        <w:tabs>
          <w:tab w:leader="none" w:pos="4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Date” means one or more dates during an Offering on which shares of Stock may be purchased pursuant to the terms of the Offering.</w:t>
      </w:r>
    </w:p>
    <w:p>
      <w:pPr>
        <w:spacing w:after="0" w:line="215" w:lineRule="exact"/>
        <w:rPr>
          <w:rFonts w:ascii="Arial" w:cs="Arial" w:eastAsia="Arial" w:hAnsi="Arial"/>
          <w:sz w:val="18"/>
          <w:szCs w:val="18"/>
          <w:color w:val="auto"/>
        </w:rPr>
      </w:pPr>
    </w:p>
    <w:p>
      <w:pPr>
        <w:ind w:left="2" w:right="100" w:hanging="2"/>
        <w:spacing w:after="0" w:line="287" w:lineRule="auto"/>
        <w:tabs>
          <w:tab w:leader="none" w:pos="4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Period” means one or more successive periods during an Offering, beginning on the Offering Date or on the day after a Purchase Date, and ending on the next succeeding Purchase Date.</w:t>
      </w:r>
    </w:p>
    <w:p>
      <w:pPr>
        <w:spacing w:after="0" w:line="215" w:lineRule="exact"/>
        <w:rPr>
          <w:rFonts w:ascii="Arial" w:cs="Arial" w:eastAsia="Arial" w:hAnsi="Arial"/>
          <w:sz w:val="18"/>
          <w:szCs w:val="18"/>
          <w:color w:val="auto"/>
        </w:rPr>
      </w:pPr>
    </w:p>
    <w:p>
      <w:pPr>
        <w:ind w:left="2" w:right="20" w:hanging="2"/>
        <w:spacing w:after="0" w:line="287" w:lineRule="auto"/>
        <w:tabs>
          <w:tab w:leader="none" w:pos="4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Price” means the price at which Participants may purchase shares of Stock under the Plan, as determined pursuant to Section 8(b).</w:t>
      </w:r>
    </w:p>
    <w:p>
      <w:pPr>
        <w:spacing w:after="0" w:line="215" w:lineRule="exact"/>
        <w:rPr>
          <w:rFonts w:ascii="Arial" w:cs="Arial" w:eastAsia="Arial" w:hAnsi="Arial"/>
          <w:sz w:val="18"/>
          <w:szCs w:val="18"/>
          <w:color w:val="auto"/>
        </w:rPr>
      </w:pPr>
    </w:p>
    <w:p>
      <w:pPr>
        <w:ind w:left="2" w:right="80" w:hanging="2"/>
        <w:spacing w:after="0" w:line="282" w:lineRule="auto"/>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22" w:hanging="422"/>
        <w:spacing w:after="0"/>
        <w:tabs>
          <w:tab w:leader="none" w:pos="42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“Trading Day” means a day on which the national stock exchange on which the Stock is traded is open for trading.</w:t>
      </w:r>
    </w:p>
    <w:p>
      <w:pPr>
        <w:spacing w:after="0" w:line="287"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ADMINISTRATION OF THE PLAN.</w:t>
      </w:r>
    </w:p>
    <w:p>
      <w:pPr>
        <w:spacing w:after="0" w:line="193" w:lineRule="exact"/>
        <w:rPr>
          <w:sz w:val="20"/>
          <w:szCs w:val="20"/>
          <w:color w:val="auto"/>
        </w:rPr>
      </w:pPr>
    </w:p>
    <w:p>
      <w:pPr>
        <w:ind w:left="2" w:hanging="2"/>
        <w:spacing w:after="0" w:line="275" w:lineRule="auto"/>
        <w:tabs>
          <w:tab w:leader="none" w:pos="4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Administrative Powers and Responsibilities.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Consistent with Article VIII of the Company’s Third Amended and Restated Certificate of Incorporation (or any successor provision), and to the fullest extent permitted by applicable law (as it now exists and as it may hereafter be amended), no member of the Committee shall be liable for any action, inaction, determination, or interpretation made in good faith with respect to the Plan, and all members of the Committee shall be fully indemnified by the Company with respect to any such action, inaction,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A-22</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14" w:name="page115"/>
    <w:bookmarkEnd w:id="114"/>
    <w:p>
      <w:pPr>
        <w:ind w:left="2" w:hanging="2"/>
        <w:spacing w:after="0" w:line="276" w:lineRule="auto"/>
        <w:tabs>
          <w:tab w:leader="none" w:pos="4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International Administration.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200" w:lineRule="exact"/>
        <w:rPr>
          <w:sz w:val="20"/>
          <w:szCs w:val="20"/>
          <w:color w:val="auto"/>
        </w:rPr>
      </w:pPr>
    </w:p>
    <w:p>
      <w:pPr>
        <w:spacing w:after="0" w:line="289"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ENROLLMENT AND PARTICIPATION.</w:t>
      </w:r>
    </w:p>
    <w:p>
      <w:pPr>
        <w:spacing w:after="0" w:line="193" w:lineRule="exact"/>
        <w:rPr>
          <w:sz w:val="20"/>
          <w:szCs w:val="20"/>
          <w:color w:val="auto"/>
        </w:rPr>
      </w:pPr>
    </w:p>
    <w:p>
      <w:pPr>
        <w:ind w:left="2" w:hanging="2"/>
        <w:spacing w:after="0" w:line="276" w:lineRule="auto"/>
        <w:tabs>
          <w:tab w:leader="none" w:pos="40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Offering Periods.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 w:right="200" w:hanging="2"/>
        <w:spacing w:after="0" w:line="282" w:lineRule="auto"/>
        <w:tabs>
          <w:tab w:leader="none" w:pos="4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Enrollment.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222" w:lineRule="exact"/>
        <w:rPr>
          <w:rFonts w:ascii="Arial" w:cs="Arial" w:eastAsia="Arial" w:hAnsi="Arial"/>
          <w:sz w:val="18"/>
          <w:szCs w:val="18"/>
          <w:color w:val="auto"/>
        </w:rPr>
      </w:pPr>
    </w:p>
    <w:p>
      <w:pPr>
        <w:ind w:left="2" w:hanging="2"/>
        <w:spacing w:after="0" w:line="277"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Duration of Participation.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47"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EMPLOYEE CONTRIBUTIONS.</w:t>
      </w:r>
    </w:p>
    <w:p>
      <w:pPr>
        <w:spacing w:after="0" w:line="193" w:lineRule="exact"/>
        <w:rPr>
          <w:sz w:val="20"/>
          <w:szCs w:val="20"/>
          <w:color w:val="auto"/>
        </w:rPr>
      </w:pPr>
    </w:p>
    <w:p>
      <w:pPr>
        <w:ind w:left="2" w:hanging="2"/>
        <w:spacing w:after="0" w:line="280" w:lineRule="auto"/>
        <w:tabs>
          <w:tab w:leader="none" w:pos="4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Frequency of Payroll Deductions.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227" w:lineRule="exact"/>
        <w:rPr>
          <w:rFonts w:ascii="Arial" w:cs="Arial" w:eastAsia="Arial" w:hAnsi="Arial"/>
          <w:sz w:val="18"/>
          <w:szCs w:val="18"/>
          <w:color w:val="auto"/>
        </w:rPr>
      </w:pPr>
    </w:p>
    <w:p>
      <w:pPr>
        <w:ind w:left="2" w:right="60" w:hanging="2"/>
        <w:spacing w:after="0" w:line="282" w:lineRule="auto"/>
        <w:tabs>
          <w:tab w:leader="none" w:pos="4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Amount of Payroll Deductions.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A-23</w:t>
      </w:r>
    </w:p>
    <w:p>
      <w:pPr>
        <w:sectPr>
          <w:pgSz w:w="11880" w:h="15480" w:orient="portrait"/>
          <w:cols w:equalWidth="0" w:num="1">
            <w:col w:w="10422"/>
          </w:cols>
          <w:pgMar w:left="718" w:top="943" w:right="740" w:bottom="0" w:gutter="0" w:footer="0" w:header="0"/>
          <w:type w:val="continuous"/>
        </w:sectPr>
      </w:pPr>
    </w:p>
    <w:bookmarkStart w:id="115" w:name="page116"/>
    <w:bookmarkEnd w:id="115"/>
    <w:p>
      <w:pPr>
        <w:ind w:left="2" w:hanging="2"/>
        <w:spacing w:after="0" w:line="268" w:lineRule="auto"/>
        <w:tabs>
          <w:tab w:leader="none" w:pos="4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Changing Withholding Rate.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2" w:right="20" w:hanging="2"/>
        <w:spacing w:after="0" w:line="273" w:lineRule="auto"/>
        <w:tabs>
          <w:tab w:leader="none" w:pos="42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Discontinuing Payroll Deductions. If a Participant wishes to discontinue employee contributions entirely, he or she may do so by withdrawing from the Plan pursuant to Section 6(a). In addition, employee contributions may be discontinued automatically pursuant to Section 9(b).</w:t>
      </w:r>
    </w:p>
    <w:p>
      <w:pPr>
        <w:spacing w:after="0" w:line="233"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WITHDRAWAL FROM THE PLAN.</w:t>
      </w:r>
    </w:p>
    <w:p>
      <w:pPr>
        <w:spacing w:after="0" w:line="193" w:lineRule="exact"/>
        <w:rPr>
          <w:sz w:val="20"/>
          <w:szCs w:val="20"/>
          <w:color w:val="auto"/>
        </w:rPr>
      </w:pPr>
    </w:p>
    <w:p>
      <w:pPr>
        <w:ind w:left="2" w:hanging="2"/>
        <w:spacing w:after="0" w:line="268" w:lineRule="auto"/>
        <w:tabs>
          <w:tab w:leader="none" w:pos="4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Withdrawal.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220" w:lineRule="exact"/>
        <w:rPr>
          <w:rFonts w:ascii="Arial" w:cs="Arial" w:eastAsia="Arial" w:hAnsi="Arial"/>
          <w:sz w:val="18"/>
          <w:szCs w:val="18"/>
          <w:color w:val="auto"/>
        </w:rPr>
      </w:pPr>
    </w:p>
    <w:p>
      <w:pPr>
        <w:ind w:left="2" w:right="40" w:hanging="2"/>
        <w:spacing w:after="0" w:line="284" w:lineRule="auto"/>
        <w:tabs>
          <w:tab w:leader="none" w:pos="4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Re-enrollment After Withdrawal. A former Participant who has withdrawn from the Plan shall not be a Participant until he or she re-enrolls in the Plan under Section 4(b). Re-enrollment may be effective only at the commencement of an Offering Period.</w:t>
      </w:r>
    </w:p>
    <w:p>
      <w:pPr>
        <w:spacing w:after="0" w:line="200" w:lineRule="exact"/>
        <w:rPr>
          <w:sz w:val="20"/>
          <w:szCs w:val="20"/>
          <w:color w:val="auto"/>
        </w:rPr>
      </w:pPr>
    </w:p>
    <w:p>
      <w:pPr>
        <w:spacing w:after="0" w:line="249"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CHANGE IN EMPLOYMENT STATUS.</w:t>
      </w:r>
    </w:p>
    <w:p>
      <w:pPr>
        <w:spacing w:after="0" w:line="193" w:lineRule="exact"/>
        <w:rPr>
          <w:sz w:val="20"/>
          <w:szCs w:val="20"/>
          <w:color w:val="auto"/>
        </w:rPr>
      </w:pPr>
    </w:p>
    <w:p>
      <w:pPr>
        <w:ind w:left="2" w:right="100" w:hanging="2"/>
        <w:spacing w:after="0" w:line="273" w:lineRule="auto"/>
        <w:tabs>
          <w:tab w:leader="none" w:pos="4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Termination of Employment.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213" w:lineRule="exact"/>
        <w:rPr>
          <w:rFonts w:ascii="Arial" w:cs="Arial" w:eastAsia="Arial" w:hAnsi="Arial"/>
          <w:sz w:val="18"/>
          <w:szCs w:val="18"/>
          <w:color w:val="auto"/>
        </w:rPr>
      </w:pPr>
    </w:p>
    <w:p>
      <w:pPr>
        <w:ind w:left="2" w:right="20" w:hanging="2"/>
        <w:spacing w:after="0" w:line="269" w:lineRule="auto"/>
        <w:tabs>
          <w:tab w:leader="none" w:pos="4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Leave of Absence.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219" w:lineRule="exact"/>
        <w:rPr>
          <w:rFonts w:ascii="Arial" w:cs="Arial" w:eastAsia="Arial" w:hAnsi="Arial"/>
          <w:sz w:val="18"/>
          <w:szCs w:val="18"/>
          <w:color w:val="auto"/>
        </w:rPr>
      </w:pPr>
    </w:p>
    <w:p>
      <w:pPr>
        <w:ind w:left="2" w:right="200" w:hanging="2"/>
        <w:spacing w:after="0" w:line="281" w:lineRule="auto"/>
        <w:tabs>
          <w:tab w:leader="none" w:pos="40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Death. In the event of the Participant’s death, the amount credited to his or her Plan Account shall be paid to the Participant’s estate.</w:t>
      </w:r>
    </w:p>
    <w:p>
      <w:pPr>
        <w:spacing w:after="0" w:line="225"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PLAN ACCOUNTS AND PURCHASE OF SHARES.</w:t>
      </w:r>
    </w:p>
    <w:p>
      <w:pPr>
        <w:spacing w:after="0" w:line="193" w:lineRule="exact"/>
        <w:rPr>
          <w:sz w:val="20"/>
          <w:szCs w:val="20"/>
          <w:color w:val="auto"/>
        </w:rPr>
      </w:pPr>
    </w:p>
    <w:p>
      <w:pPr>
        <w:ind w:left="2" w:hanging="2"/>
        <w:spacing w:after="0" w:line="271" w:lineRule="auto"/>
        <w:tabs>
          <w:tab w:leader="none" w:pos="4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Plan Accounts.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214" w:lineRule="exact"/>
        <w:rPr>
          <w:rFonts w:ascii="Arial" w:cs="Arial" w:eastAsia="Arial" w:hAnsi="Arial"/>
          <w:sz w:val="18"/>
          <w:szCs w:val="18"/>
          <w:color w:val="auto"/>
        </w:rPr>
      </w:pPr>
    </w:p>
    <w:p>
      <w:pPr>
        <w:ind w:left="422" w:hanging="422"/>
        <w:spacing w:after="0"/>
        <w:tabs>
          <w:tab w:leader="none" w:pos="42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 Price.  The Purchase Price for each share of Stock purchased during an Offering Period shall be the lesser</w:t>
      </w:r>
    </w:p>
    <w:p>
      <w:pPr>
        <w:spacing w:after="0" w:line="22"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of:</w:t>
      </w:r>
    </w:p>
    <w:p>
      <w:pPr>
        <w:spacing w:after="0" w:line="254" w:lineRule="exact"/>
        <w:rPr>
          <w:rFonts w:ascii="Arial" w:cs="Arial" w:eastAsia="Arial" w:hAnsi="Arial"/>
          <w:sz w:val="18"/>
          <w:szCs w:val="18"/>
          <w:color w:val="auto"/>
        </w:rPr>
      </w:pPr>
    </w:p>
    <w:p>
      <w:pPr>
        <w:ind w:left="982" w:hanging="583"/>
        <w:spacing w:after="0"/>
        <w:tabs>
          <w:tab w:leader="none" w:pos="98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eighty-five percent (85%) of the Fair Market Value of such share on the Purchase Date; or</w:t>
      </w:r>
    </w:p>
    <w:p>
      <w:pPr>
        <w:spacing w:after="0" w:line="252" w:lineRule="exact"/>
        <w:rPr>
          <w:rFonts w:ascii="Arial" w:cs="Arial" w:eastAsia="Arial" w:hAnsi="Arial"/>
          <w:sz w:val="18"/>
          <w:szCs w:val="18"/>
          <w:color w:val="auto"/>
        </w:rPr>
      </w:pPr>
    </w:p>
    <w:p>
      <w:pPr>
        <w:ind w:left="982" w:hanging="583"/>
        <w:spacing w:after="0"/>
        <w:tabs>
          <w:tab w:leader="none" w:pos="98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eighty-five percent (85%) of the Fair Market Value of such share on the Offering Date.</w:t>
      </w:r>
    </w:p>
    <w:p>
      <w:pPr>
        <w:spacing w:after="0" w:line="252" w:lineRule="exact"/>
        <w:rPr>
          <w:sz w:val="20"/>
          <w:szCs w:val="20"/>
          <w:color w:val="auto"/>
        </w:rPr>
      </w:pPr>
    </w:p>
    <w:p>
      <w:pPr>
        <w:ind w:left="2" w:right="40"/>
        <w:spacing w:after="0" w:line="273" w:lineRule="auto"/>
        <w:rPr>
          <w:sz w:val="20"/>
          <w:szCs w:val="20"/>
          <w:color w:val="auto"/>
        </w:rPr>
      </w:pPr>
      <w:r>
        <w:rPr>
          <w:rFonts w:ascii="Arial" w:cs="Arial" w:eastAsia="Arial" w:hAnsi="Arial"/>
          <w:sz w:val="18"/>
          <w:szCs w:val="18"/>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A-24</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22"/>
          </w:cols>
          <w:pgMar w:left="718" w:top="943" w:right="740" w:bottom="0" w:gutter="0" w:footer="0" w:header="0"/>
          <w:type w:val="continuous"/>
        </w:sectPr>
      </w:pPr>
    </w:p>
    <w:bookmarkStart w:id="116" w:name="page117"/>
    <w:bookmarkEnd w:id="116"/>
    <w:p>
      <w:pPr>
        <w:ind w:left="2" w:hanging="2"/>
        <w:spacing w:after="0" w:line="274" w:lineRule="auto"/>
        <w:tabs>
          <w:tab w:leader="none" w:pos="4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Number of Shares Purchased.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2" w:hanging="2"/>
        <w:spacing w:after="0" w:line="276" w:lineRule="auto"/>
        <w:tabs>
          <w:tab w:leader="none" w:pos="42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Available Shares Insufficient.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224" w:lineRule="exact"/>
        <w:rPr>
          <w:rFonts w:ascii="Arial" w:cs="Arial" w:eastAsia="Arial" w:hAnsi="Arial"/>
          <w:sz w:val="18"/>
          <w:szCs w:val="18"/>
          <w:color w:val="auto"/>
        </w:rPr>
      </w:pPr>
    </w:p>
    <w:p>
      <w:pPr>
        <w:ind w:left="2" w:hanging="2"/>
        <w:spacing w:after="0" w:line="276" w:lineRule="auto"/>
        <w:tabs>
          <w:tab w:leader="none" w:pos="4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Issuance of Stock.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226" w:lineRule="exact"/>
        <w:rPr>
          <w:rFonts w:ascii="Arial" w:cs="Arial" w:eastAsia="Arial" w:hAnsi="Arial"/>
          <w:sz w:val="18"/>
          <w:szCs w:val="18"/>
          <w:color w:val="auto"/>
        </w:rPr>
      </w:pPr>
    </w:p>
    <w:p>
      <w:pPr>
        <w:ind w:left="2" w:hanging="2"/>
        <w:spacing w:after="0" w:line="278" w:lineRule="auto"/>
        <w:tabs>
          <w:tab w:leader="none" w:pos="3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Unused Cash Balances.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 w:right="40" w:hanging="2"/>
        <w:spacing w:after="0" w:line="285" w:lineRule="auto"/>
        <w:tabs>
          <w:tab w:leader="none" w:pos="4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Stockholder Approval.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200" w:lineRule="exact"/>
        <w:rPr>
          <w:sz w:val="20"/>
          <w:szCs w:val="20"/>
          <w:color w:val="auto"/>
        </w:rPr>
      </w:pPr>
    </w:p>
    <w:p>
      <w:pPr>
        <w:spacing w:after="0" w:line="271" w:lineRule="exact"/>
        <w:rPr>
          <w:sz w:val="20"/>
          <w:szCs w:val="20"/>
          <w:color w:val="auto"/>
        </w:rPr>
      </w:pPr>
    </w:p>
    <w:p>
      <w:pPr>
        <w:ind w:left="2"/>
        <w:spacing w:after="0"/>
        <w:tabs>
          <w:tab w:leader="none" w:pos="1121"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LIMITATIONS ON STOCK OWNERSHIP.</w:t>
      </w:r>
    </w:p>
    <w:p>
      <w:pPr>
        <w:spacing w:after="0" w:line="193" w:lineRule="exact"/>
        <w:rPr>
          <w:sz w:val="20"/>
          <w:szCs w:val="20"/>
          <w:color w:val="auto"/>
        </w:rPr>
      </w:pPr>
    </w:p>
    <w:p>
      <w:pPr>
        <w:ind w:left="2" w:right="60" w:hanging="2"/>
        <w:spacing w:after="0" w:line="281" w:lineRule="auto"/>
        <w:tabs>
          <w:tab w:leader="none" w:pos="40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Five Percent Limit.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702" w:hanging="402"/>
        <w:spacing w:after="0"/>
        <w:tabs>
          <w:tab w:leader="none" w:pos="7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Ownership of stock shall be determined after applying the attribution rules of section 424(d) of the Code;</w:t>
      </w:r>
    </w:p>
    <w:p>
      <w:pPr>
        <w:spacing w:after="0" w:line="270" w:lineRule="exact"/>
        <w:rPr>
          <w:rFonts w:ascii="Arial" w:cs="Arial" w:eastAsia="Arial" w:hAnsi="Arial"/>
          <w:sz w:val="18"/>
          <w:szCs w:val="18"/>
          <w:color w:val="auto"/>
        </w:rPr>
      </w:pPr>
    </w:p>
    <w:p>
      <w:pPr>
        <w:ind w:left="702" w:right="140" w:hanging="402"/>
        <w:spacing w:after="0" w:line="290"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Participant shall be deemed to own any stock that he or she has a right or option to purchase under this or any other plan; and</w:t>
      </w:r>
    </w:p>
    <w:p>
      <w:pPr>
        <w:spacing w:after="0" w:line="214" w:lineRule="exact"/>
        <w:rPr>
          <w:rFonts w:ascii="Arial" w:cs="Arial" w:eastAsia="Arial" w:hAnsi="Arial"/>
          <w:sz w:val="18"/>
          <w:szCs w:val="18"/>
          <w:color w:val="auto"/>
        </w:rPr>
      </w:pPr>
    </w:p>
    <w:p>
      <w:pPr>
        <w:ind w:left="702" w:hanging="402"/>
        <w:spacing w:after="0" w:line="282"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222" w:lineRule="exact"/>
        <w:rPr>
          <w:rFonts w:ascii="Arial" w:cs="Arial" w:eastAsia="Arial" w:hAnsi="Arial"/>
          <w:sz w:val="18"/>
          <w:szCs w:val="18"/>
          <w:color w:val="auto"/>
        </w:rPr>
      </w:pPr>
    </w:p>
    <w:p>
      <w:pPr>
        <w:ind w:left="2" w:right="260" w:hanging="2"/>
        <w:spacing w:after="0" w:line="282" w:lineRule="auto"/>
        <w:tabs>
          <w:tab w:leader="none" w:pos="42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Dollar Limit.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w:t>
      </w:r>
    </w:p>
    <w:p>
      <w:pPr>
        <w:sectPr>
          <w:pgSz w:w="11880" w:h="15480" w:orient="portrait"/>
          <w:cols w:equalWidth="0" w:num="1">
            <w:col w:w="10422"/>
          </w:cols>
          <w:pgMar w:left="718" w:top="943" w:right="740" w:bottom="0" w:gutter="0" w:footer="0" w:header="0"/>
        </w:sectPr>
      </w:pPr>
    </w:p>
    <w:p>
      <w:pPr>
        <w:spacing w:after="0" w:line="200" w:lineRule="exact"/>
        <w:rPr>
          <w:sz w:val="20"/>
          <w:szCs w:val="20"/>
          <w:color w:val="auto"/>
        </w:rPr>
      </w:pPr>
    </w:p>
    <w:p>
      <w:pPr>
        <w:spacing w:after="0" w:line="302" w:lineRule="exact"/>
        <w:rPr>
          <w:sz w:val="20"/>
          <w:szCs w:val="20"/>
          <w:color w:val="auto"/>
        </w:rPr>
      </w:pPr>
    </w:p>
    <w:p>
      <w:pPr>
        <w:ind w:left="2"/>
        <w:spacing w:after="0"/>
        <w:tabs>
          <w:tab w:leader="none" w:pos="10061"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A-25</w:t>
      </w:r>
    </w:p>
    <w:p>
      <w:pPr>
        <w:sectPr>
          <w:pgSz w:w="11880" w:h="15480" w:orient="portrait"/>
          <w:cols w:equalWidth="0" w:num="1">
            <w:col w:w="10422"/>
          </w:cols>
          <w:pgMar w:left="718" w:top="943" w:right="740" w:bottom="0" w:gutter="0" w:footer="0" w:header="0"/>
          <w:type w:val="continuous"/>
        </w:sectPr>
      </w:pPr>
    </w:p>
    <w:bookmarkStart w:id="117" w:name="page118"/>
    <w:bookmarkEnd w:id="117"/>
    <w:p>
      <w:pPr>
        <w:ind w:left="2" w:right="540"/>
        <w:spacing w:after="0" w:line="287" w:lineRule="auto"/>
        <w:rPr>
          <w:sz w:val="20"/>
          <w:szCs w:val="20"/>
          <w:color w:val="auto"/>
        </w:rPr>
      </w:pPr>
      <w:r>
        <w:rPr>
          <w:rFonts w:ascii="Arial" w:cs="Arial" w:eastAsia="Arial" w:hAnsi="Arial"/>
          <w:sz w:val="18"/>
          <w:szCs w:val="18"/>
          <w:color w:val="auto"/>
        </w:rPr>
        <w:t>Company), determined in accordance with the provisions of Section 423(b)(8) of the Code and applicable Treasury Regulations promulgated thereunder.</w:t>
      </w:r>
    </w:p>
    <w:p>
      <w:pPr>
        <w:spacing w:after="0" w:line="215" w:lineRule="exact"/>
        <w:rPr>
          <w:sz w:val="20"/>
          <w:szCs w:val="20"/>
          <w:color w:val="auto"/>
        </w:rPr>
      </w:pPr>
    </w:p>
    <w:p>
      <w:pPr>
        <w:ind w:left="2" w:right="40"/>
        <w:spacing w:after="0" w:line="293" w:lineRule="auto"/>
        <w:rPr>
          <w:sz w:val="20"/>
          <w:szCs w:val="20"/>
          <w:color w:val="auto"/>
        </w:rPr>
      </w:pPr>
      <w:r>
        <w:rPr>
          <w:rFonts w:ascii="Arial" w:cs="Arial" w:eastAsia="Arial" w:hAnsi="Arial"/>
          <w:sz w:val="18"/>
          <w:szCs w:val="18"/>
          <w:color w:val="auto"/>
        </w:rPr>
        <w:t>For purposes of this Subsection (b), the Fair Market Value of Stock shall be determined as of the beginning of the Offering Period in which such Stock is purchased. Employee stock purchase plans not described in Section 423 of the Code shall be disregarded.</w:t>
      </w:r>
    </w:p>
    <w:p>
      <w:pPr>
        <w:spacing w:after="0" w:line="200" w:lineRule="exact"/>
        <w:rPr>
          <w:sz w:val="20"/>
          <w:szCs w:val="20"/>
          <w:color w:val="auto"/>
        </w:rPr>
      </w:pPr>
    </w:p>
    <w:p>
      <w:pPr>
        <w:spacing w:after="0" w:line="241" w:lineRule="exact"/>
        <w:rPr>
          <w:sz w:val="20"/>
          <w:szCs w:val="20"/>
          <w:color w:val="auto"/>
        </w:rPr>
      </w:pPr>
    </w:p>
    <w:p>
      <w:pPr>
        <w:ind w:left="2" w:right="360"/>
        <w:spacing w:after="0" w:line="280" w:lineRule="auto"/>
        <w:rPr>
          <w:sz w:val="20"/>
          <w:szCs w:val="20"/>
          <w:color w:val="auto"/>
        </w:rPr>
      </w:pPr>
      <w:r>
        <w:rPr>
          <w:rFonts w:ascii="Arial" w:cs="Arial" w:eastAsia="Arial" w:hAnsi="Arial"/>
          <w:sz w:val="18"/>
          <w:szCs w:val="18"/>
          <w:color w:val="auto"/>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240" w:lineRule="exact"/>
        <w:rPr>
          <w:sz w:val="20"/>
          <w:szCs w:val="20"/>
          <w:color w:val="auto"/>
        </w:rPr>
      </w:pPr>
    </w:p>
    <w:p>
      <w:pPr>
        <w:ind w:left="2"/>
        <w:spacing w:after="0"/>
        <w:tabs>
          <w:tab w:leader="none" w:pos="1241"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RIGHTS NOT TRANSFERABLE.</w:t>
      </w:r>
    </w:p>
    <w:p>
      <w:pPr>
        <w:spacing w:after="0" w:line="193" w:lineRule="exact"/>
        <w:rPr>
          <w:sz w:val="20"/>
          <w:szCs w:val="20"/>
          <w:color w:val="auto"/>
        </w:rPr>
      </w:pPr>
    </w:p>
    <w:p>
      <w:pPr>
        <w:ind w:left="2" w:right="40"/>
        <w:spacing w:after="0" w:line="276" w:lineRule="auto"/>
        <w:rPr>
          <w:sz w:val="20"/>
          <w:szCs w:val="20"/>
          <w:color w:val="auto"/>
        </w:rPr>
      </w:pPr>
      <w:r>
        <w:rPr>
          <w:rFonts w:ascii="Arial" w:cs="Arial" w:eastAsia="Arial" w:hAnsi="Arial"/>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46" w:lineRule="exact"/>
        <w:rPr>
          <w:sz w:val="20"/>
          <w:szCs w:val="20"/>
          <w:color w:val="auto"/>
        </w:rPr>
      </w:pPr>
    </w:p>
    <w:p>
      <w:pPr>
        <w:ind w:left="2"/>
        <w:spacing w:after="0"/>
        <w:tabs>
          <w:tab w:leader="none" w:pos="1221"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NO RIGHTS AS AN EMPLOYEE.</w:t>
      </w:r>
    </w:p>
    <w:p>
      <w:pPr>
        <w:spacing w:after="0" w:line="193" w:lineRule="exact"/>
        <w:rPr>
          <w:sz w:val="20"/>
          <w:szCs w:val="20"/>
          <w:color w:val="auto"/>
        </w:rPr>
      </w:pPr>
    </w:p>
    <w:p>
      <w:pPr>
        <w:ind w:left="2" w:right="40"/>
        <w:spacing w:after="0" w:line="277" w:lineRule="auto"/>
        <w:rPr>
          <w:sz w:val="20"/>
          <w:szCs w:val="20"/>
          <w:color w:val="auto"/>
        </w:rPr>
      </w:pPr>
      <w:r>
        <w:rPr>
          <w:rFonts w:ascii="Arial" w:cs="Arial" w:eastAsia="Arial" w:hAnsi="Arial"/>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45" w:lineRule="exact"/>
        <w:rPr>
          <w:sz w:val="20"/>
          <w:szCs w:val="20"/>
          <w:color w:val="auto"/>
        </w:rPr>
      </w:pPr>
    </w:p>
    <w:p>
      <w:pPr>
        <w:ind w:left="2"/>
        <w:spacing w:after="0"/>
        <w:tabs>
          <w:tab w:leader="none" w:pos="1221"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NO RIGHTS AS A STOCKHOLDER.</w:t>
      </w:r>
    </w:p>
    <w:p>
      <w:pPr>
        <w:spacing w:after="0" w:line="193" w:lineRule="exact"/>
        <w:rPr>
          <w:sz w:val="20"/>
          <w:szCs w:val="20"/>
          <w:color w:val="auto"/>
        </w:rPr>
      </w:pPr>
    </w:p>
    <w:p>
      <w:pPr>
        <w:ind w:left="2" w:right="240"/>
        <w:spacing w:after="0" w:line="287" w:lineRule="auto"/>
        <w:rPr>
          <w:sz w:val="20"/>
          <w:szCs w:val="20"/>
          <w:color w:val="auto"/>
        </w:rPr>
      </w:pPr>
      <w:r>
        <w:rPr>
          <w:rFonts w:ascii="Arial" w:cs="Arial" w:eastAsia="Arial" w:hAnsi="Arial"/>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34" w:lineRule="exact"/>
        <w:rPr>
          <w:sz w:val="20"/>
          <w:szCs w:val="20"/>
          <w:color w:val="auto"/>
        </w:rPr>
      </w:pPr>
    </w:p>
    <w:p>
      <w:pPr>
        <w:ind w:left="2"/>
        <w:spacing w:after="0"/>
        <w:tabs>
          <w:tab w:leader="none" w:pos="1221"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SECURITIES LAW REQUIREMENTS.</w:t>
      </w:r>
    </w:p>
    <w:p>
      <w:pPr>
        <w:spacing w:after="0" w:line="193" w:lineRule="exact"/>
        <w:rPr>
          <w:sz w:val="20"/>
          <w:szCs w:val="20"/>
          <w:color w:val="auto"/>
        </w:rPr>
      </w:pPr>
    </w:p>
    <w:p>
      <w:pPr>
        <w:ind w:left="2" w:right="40"/>
        <w:spacing w:after="0" w:line="277" w:lineRule="auto"/>
        <w:rPr>
          <w:sz w:val="20"/>
          <w:szCs w:val="20"/>
          <w:color w:val="auto"/>
        </w:rPr>
      </w:pPr>
      <w:r>
        <w:rPr>
          <w:rFonts w:ascii="Arial" w:cs="Arial" w:eastAsia="Arial" w:hAnsi="Arial"/>
          <w:sz w:val="18"/>
          <w:szCs w:val="18"/>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45" w:lineRule="exact"/>
        <w:rPr>
          <w:sz w:val="20"/>
          <w:szCs w:val="20"/>
          <w:color w:val="auto"/>
        </w:rPr>
      </w:pPr>
    </w:p>
    <w:p>
      <w:pPr>
        <w:ind w:left="2"/>
        <w:spacing w:after="0"/>
        <w:tabs>
          <w:tab w:leader="none" w:pos="1221"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STOCK OFFERED UNDER THE PLAN.</w:t>
      </w:r>
    </w:p>
    <w:p>
      <w:pPr>
        <w:spacing w:after="0" w:line="193" w:lineRule="exact"/>
        <w:rPr>
          <w:sz w:val="20"/>
          <w:szCs w:val="20"/>
          <w:color w:val="auto"/>
        </w:rPr>
      </w:pPr>
    </w:p>
    <w:p>
      <w:pPr>
        <w:ind w:left="2" w:hanging="2"/>
        <w:spacing w:after="0" w:line="279" w:lineRule="auto"/>
        <w:tabs>
          <w:tab w:leader="none" w:pos="40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Authorized Shares. Unless otherwise determined by the Committee, the maximum aggregate number of Shares available for purchase under the Plan during any calendar year is 20,000,000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 w:right="120" w:hanging="2"/>
        <w:spacing w:after="0" w:line="276" w:lineRule="auto"/>
        <w:tabs>
          <w:tab w:leader="none" w:pos="42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Antidilution Adjustments.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226" w:lineRule="exact"/>
        <w:rPr>
          <w:rFonts w:ascii="Arial" w:cs="Arial" w:eastAsia="Arial" w:hAnsi="Arial"/>
          <w:sz w:val="18"/>
          <w:szCs w:val="18"/>
          <w:color w:val="auto"/>
        </w:rPr>
      </w:pPr>
    </w:p>
    <w:p>
      <w:pPr>
        <w:ind w:left="2" w:right="40" w:hanging="2"/>
        <w:spacing w:after="0" w:line="282" w:lineRule="auto"/>
        <w:tabs>
          <w:tab w:leader="none" w:pos="4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Reorganizations.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w:t>
      </w:r>
    </w:p>
    <w:p>
      <w:pPr>
        <w:sectPr>
          <w:pgSz w:w="11880" w:h="15480" w:orient="portrait"/>
          <w:cols w:equalWidth="0" w:num="1">
            <w:col w:w="10462"/>
          </w:cols>
          <w:pgMar w:left="718" w:top="943" w:right="700" w:bottom="0" w:gutter="0" w:footer="0" w:header="0"/>
        </w:sectPr>
      </w:pPr>
    </w:p>
    <w:p>
      <w:pPr>
        <w:spacing w:after="0" w:line="200" w:lineRule="exact"/>
        <w:rPr>
          <w:sz w:val="20"/>
          <w:szCs w:val="20"/>
          <w:color w:val="auto"/>
        </w:rPr>
      </w:pPr>
    </w:p>
    <w:p>
      <w:pPr>
        <w:spacing w:after="0" w:line="301" w:lineRule="exact"/>
        <w:rPr>
          <w:sz w:val="20"/>
          <w:szCs w:val="20"/>
          <w:color w:val="auto"/>
        </w:rPr>
      </w:pPr>
    </w:p>
    <w:p>
      <w:pPr>
        <w:ind w:left="2"/>
        <w:spacing w:after="0"/>
        <w:tabs>
          <w:tab w:leader="none" w:pos="8901" w:val="left"/>
        </w:tabs>
        <w:rPr>
          <w:sz w:val="20"/>
          <w:szCs w:val="20"/>
          <w:color w:val="auto"/>
        </w:rPr>
      </w:pPr>
      <w:r>
        <w:rPr>
          <w:rFonts w:ascii="Arial" w:cs="Arial" w:eastAsia="Arial" w:hAnsi="Arial"/>
          <w:sz w:val="14"/>
          <w:szCs w:val="14"/>
          <w:color w:val="auto"/>
        </w:rPr>
        <w:t>A-26</w:t>
      </w:r>
      <w:r>
        <w:rPr>
          <w:sz w:val="20"/>
          <w:szCs w:val="20"/>
          <w:color w:val="auto"/>
        </w:rPr>
        <w:tab/>
      </w:r>
      <w:r>
        <w:rPr>
          <w:rFonts w:ascii="Arial" w:cs="Arial" w:eastAsia="Arial" w:hAnsi="Arial"/>
          <w:sz w:val="14"/>
          <w:szCs w:val="14"/>
          <w:color w:val="auto"/>
        </w:rPr>
        <w:t>2025 Proxy Statement</w:t>
      </w:r>
    </w:p>
    <w:p>
      <w:pPr>
        <w:sectPr>
          <w:pgSz w:w="11880" w:h="15480" w:orient="portrait"/>
          <w:cols w:equalWidth="0" w:num="1">
            <w:col w:w="10462"/>
          </w:cols>
          <w:pgMar w:left="718" w:top="943" w:right="700" w:bottom="0" w:gutter="0" w:footer="0" w:header="0"/>
          <w:type w:val="continuous"/>
        </w:sectPr>
      </w:pPr>
    </w:p>
    <w:bookmarkStart w:id="118" w:name="page119"/>
    <w:bookmarkEnd w:id="118"/>
    <w:p>
      <w:pPr>
        <w:jc w:val="both"/>
        <w:ind w:right="40"/>
        <w:spacing w:after="0" w:line="282" w:lineRule="auto"/>
        <w:rPr>
          <w:sz w:val="20"/>
          <w:szCs w:val="20"/>
          <w:color w:val="auto"/>
        </w:rPr>
      </w:pPr>
      <w:r>
        <w:rPr>
          <w:rFonts w:ascii="Arial" w:cs="Arial" w:eastAsia="Arial" w:hAnsi="Arial"/>
          <w:sz w:val="18"/>
          <w:szCs w:val="18"/>
          <w:color w:val="auto"/>
        </w:rPr>
        <w:t>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15</w:t>
        <w:tab/>
        <w:t>AMENDMENT OR DISCONTINUANCE.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or Committee shall have the right to amend, suspend or terminate the Plan at any time and without notice.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any such amendment, suspension or termination of the Plan during an Offering Period, the Board or Committee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its discretion determine that the applicable Offering shall immediately terminate and that all amounts in the Participant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shall be carried forward into a payroll deduction account for each Participant under a successor plan, if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promptly refunded to each Participant. Except as provided in Section 14, any increase in the aggregate number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Stock to be issued under the Plan shall be subject to approval by a vote of the stockholders of the Company.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 any other amendment of the Plan shall be subject to approval by a vote of the stockholders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extent required by an applicable law or regulation. The Plan shall continue until the earlier to occur of (a)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Plan pursuant to this Section 15 or (b) issuance of all of the shares of Stock reserved for issuance under the Plan.</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16</w:t>
        <w:tab/>
        <w:t>EXECUTION.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record the adoption of the Plan by the Board, the Company has caused its authorized officer to execute the same.</w:t>
      </w:r>
    </w:p>
    <w:p>
      <w:pPr>
        <w:spacing w:after="0" w:line="2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LUCID GROUP, INC.</w:t>
      </w: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Brian K. Tomkiel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3834130</wp:posOffset>
                </wp:positionH>
                <wp:positionV relativeFrom="paragraph">
                  <wp:posOffset>33020</wp:posOffset>
                </wp:positionV>
                <wp:extent cx="277939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939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9pt,2.6pt" to="520.75pt,2.6pt" o:allowincell="f" strokecolor="#000000" strokeweight="0.499pt"/>
            </w:pict>
          </mc:Fallback>
        </mc:AlternateContent>
      </w:r>
    </w:p>
    <w:p>
      <w:pPr>
        <w:spacing w:after="0" w:line="5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K. Tomkiel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General Counsel</w:t>
      </w:r>
    </w:p>
    <w:p>
      <w:pPr>
        <w:sectPr>
          <w:pgSz w:w="11880" w:h="15480" w:orient="portrait"/>
          <w:cols w:equalWidth="0" w:num="1">
            <w:col w:w="10420"/>
          </w:cols>
          <w:pgMar w:left="720" w:top="94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A-27</w:t>
      </w:r>
    </w:p>
    <w:p>
      <w:pPr>
        <w:sectPr>
          <w:pgSz w:w="11880" w:h="15480" w:orient="portrait"/>
          <w:cols w:equalWidth="0" w:num="1">
            <w:col w:w="10420"/>
          </w:cols>
          <w:pgMar w:left="720" w:top="943" w:right="740" w:bottom="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LUCID GROUP, INC.</w:t>
      </w:r>
    </w:p>
    <w:p>
      <w:pPr>
        <w:spacing w:after="0" w:line="229" w:lineRule="auto"/>
        <w:rPr>
          <w:sz w:val="20"/>
          <w:szCs w:val="20"/>
          <w:color w:val="auto"/>
        </w:rPr>
      </w:pPr>
      <w:r>
        <w:rPr>
          <w:rFonts w:ascii="Times New Roman" w:cs="Times New Roman" w:eastAsia="Times New Roman" w:hAnsi="Times New Roman"/>
          <w:sz w:val="40"/>
          <w:szCs w:val="40"/>
          <w:color w:val="auto"/>
        </w:rPr>
        <w:t>Reconciliation of GAAP to Non-GAAP Financial Measures</w:t>
      </w:r>
    </w:p>
    <w:p>
      <w:pPr>
        <w:spacing w:after="0" w:line="229" w:lineRule="auto"/>
        <w:rPr>
          <w:sz w:val="20"/>
          <w:szCs w:val="20"/>
          <w:color w:val="auto"/>
        </w:rPr>
      </w:pPr>
      <w:r>
        <w:rPr>
          <w:rFonts w:ascii="Times New Roman" w:cs="Times New Roman" w:eastAsia="Times New Roman" w:hAnsi="Times New Roman"/>
          <w:sz w:val="40"/>
          <w:szCs w:val="40"/>
          <w:color w:val="auto"/>
        </w:rPr>
        <w:t>(Unaudited)</w:t>
      </w:r>
    </w:p>
    <w:p>
      <w:pPr>
        <w:spacing w:after="0"/>
        <w:rPr>
          <w:sz w:val="20"/>
          <w:szCs w:val="20"/>
          <w:color w:val="auto"/>
        </w:rPr>
      </w:pPr>
      <w:r>
        <w:rPr>
          <w:rFonts w:ascii="Times New Roman" w:cs="Times New Roman" w:eastAsia="Times New Roman" w:hAnsi="Times New Roman"/>
          <w:sz w:val="40"/>
          <w:szCs w:val="40"/>
          <w:color w:val="auto"/>
        </w:rPr>
        <w:t>(in thousands)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156845</wp:posOffset>
                </wp:positionV>
                <wp:extent cx="6614160" cy="29464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4160" cy="294640"/>
                        </a:xfrm>
                        <a:prstGeom prst="rect">
                          <a:avLst/>
                        </a:prstGeom>
                        <a:solidFill>
                          <a:srgbClr val="000000"/>
                        </a:solidFill>
                      </wps:spPr>
                      <wps:bodyPr/>
                    </wps:wsp>
                  </a:graphicData>
                </a:graphic>
              </wp:anchor>
            </w:drawing>
          </mc:Choice>
          <mc:Fallback>
            <w:pict>
              <v:rect id="Shape 127" o:spid="_x0000_s1152" style="position:absolute;margin-left:-0.0499pt;margin-top:12.35pt;width:520.8pt;height:2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4"/>
          <w:szCs w:val="14"/>
          <w:color w:val="FFFFFF"/>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3352165</wp:posOffset>
                </wp:positionH>
                <wp:positionV relativeFrom="paragraph">
                  <wp:posOffset>100965</wp:posOffset>
                </wp:positionV>
                <wp:extent cx="310896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8960" cy="4763"/>
                        </a:xfrm>
                        <a:prstGeom prst="line">
                          <a:avLst/>
                        </a:prstGeom>
                        <a:solidFill>
                          <a:srgbClr val="FFFFFF"/>
                        </a:solidFill>
                        <a:ln w="6337">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95pt,7.95pt" to="508.75pt,7.95pt" o:allowincell="f" strokecolor="#FFFFFF" strokeweight="0.499pt"/>
            </w:pict>
          </mc:Fallback>
        </mc:AlternateConten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4440" w:type="dxa"/>
            <w:vAlign w:val="bottom"/>
            <w:shd w:val="clear" w:color="auto" w:fill="000000"/>
          </w:tcPr>
          <w:p>
            <w:pPr>
              <w:spacing w:after="0"/>
              <w:rPr>
                <w:sz w:val="24"/>
                <w:szCs w:val="24"/>
                <w:color w:val="auto"/>
              </w:rPr>
            </w:pPr>
          </w:p>
        </w:tc>
        <w:tc>
          <w:tcPr>
            <w:tcW w:w="2000" w:type="dxa"/>
            <w:vAlign w:val="bottom"/>
            <w:shd w:val="clear" w:color="auto" w:fill="000000"/>
          </w:tcPr>
          <w:p>
            <w:pPr>
              <w:ind w:left="840"/>
              <w:spacing w:after="0"/>
              <w:rPr>
                <w:sz w:val="20"/>
                <w:szCs w:val="20"/>
                <w:color w:val="auto"/>
              </w:rPr>
            </w:pPr>
            <w:r>
              <w:rPr>
                <w:rFonts w:ascii="Arial" w:cs="Arial" w:eastAsia="Arial" w:hAnsi="Arial"/>
                <w:sz w:val="14"/>
                <w:szCs w:val="14"/>
                <w:color w:val="FFFFFF"/>
              </w:rPr>
              <w:t>2024</w:t>
            </w:r>
          </w:p>
        </w:tc>
        <w:tc>
          <w:tcPr>
            <w:tcW w:w="13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2023</w:t>
            </w:r>
          </w:p>
        </w:tc>
        <w:tc>
          <w:tcPr>
            <w:tcW w:w="1280" w:type="dxa"/>
            <w:vAlign w:val="bottom"/>
            <w:shd w:val="clear" w:color="auto" w:fill="000000"/>
          </w:tcPr>
          <w:p>
            <w:pPr>
              <w:ind w:left="100"/>
              <w:spacing w:after="0"/>
              <w:rPr>
                <w:sz w:val="20"/>
                <w:szCs w:val="20"/>
                <w:color w:val="auto"/>
              </w:rPr>
            </w:pPr>
            <w:r>
              <w:rPr>
                <w:rFonts w:ascii="Arial" w:cs="Arial" w:eastAsia="Arial" w:hAnsi="Arial"/>
                <w:sz w:val="14"/>
                <w:szCs w:val="14"/>
                <w:color w:val="FFFFFF"/>
              </w:rPr>
              <w:t>2022</w:t>
            </w:r>
          </w:p>
        </w:tc>
        <w:tc>
          <w:tcPr>
            <w:tcW w:w="1400" w:type="dxa"/>
            <w:vAlign w:val="bottom"/>
            <w:shd w:val="clear" w:color="auto" w:fill="000000"/>
          </w:tcPr>
          <w:p>
            <w:pPr>
              <w:ind w:left="120"/>
              <w:spacing w:after="0"/>
              <w:rPr>
                <w:sz w:val="20"/>
                <w:szCs w:val="20"/>
                <w:color w:val="auto"/>
              </w:rPr>
            </w:pPr>
            <w:r>
              <w:rPr>
                <w:rFonts w:ascii="Arial" w:cs="Arial" w:eastAsia="Arial" w:hAnsi="Arial"/>
                <w:sz w:val="14"/>
                <w:szCs w:val="14"/>
                <w:color w:val="FFFFFF"/>
              </w:rPr>
              <w:t>2021</w:t>
            </w:r>
          </w:p>
        </w:tc>
      </w:tr>
      <w:tr>
        <w:trPr>
          <w:trHeight w:val="149"/>
        </w:trPr>
        <w:tc>
          <w:tcPr>
            <w:tcW w:w="4440" w:type="dxa"/>
            <w:vAlign w:val="bottom"/>
            <w:shd w:val="clear" w:color="auto" w:fill="000000"/>
          </w:tcPr>
          <w:p>
            <w:pPr>
              <w:spacing w:after="0"/>
              <w:rPr>
                <w:sz w:val="12"/>
                <w:szCs w:val="12"/>
                <w:color w:val="auto"/>
              </w:rPr>
            </w:pPr>
          </w:p>
        </w:tc>
        <w:tc>
          <w:tcPr>
            <w:tcW w:w="2000" w:type="dxa"/>
            <w:vAlign w:val="bottom"/>
            <w:shd w:val="clear" w:color="auto" w:fill="000000"/>
          </w:tcPr>
          <w:p>
            <w:pPr>
              <w:spacing w:after="0"/>
              <w:rPr>
                <w:sz w:val="12"/>
                <w:szCs w:val="12"/>
                <w:color w:val="auto"/>
              </w:rPr>
            </w:pPr>
          </w:p>
        </w:tc>
        <w:tc>
          <w:tcPr>
            <w:tcW w:w="1300" w:type="dxa"/>
            <w:vAlign w:val="bottom"/>
            <w:shd w:val="clear" w:color="auto" w:fill="000000"/>
          </w:tcPr>
          <w:p>
            <w:pPr>
              <w:spacing w:after="0"/>
              <w:rPr>
                <w:sz w:val="12"/>
                <w:szCs w:val="12"/>
                <w:color w:val="auto"/>
              </w:rPr>
            </w:pPr>
          </w:p>
        </w:tc>
        <w:tc>
          <w:tcPr>
            <w:tcW w:w="128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r>
      <w:tr>
        <w:trPr>
          <w:trHeight w:val="326"/>
        </w:trPr>
        <w:tc>
          <w:tcPr>
            <w:tcW w:w="4440" w:type="dxa"/>
            <w:vAlign w:val="bottom"/>
          </w:tcPr>
          <w:p>
            <w:pPr>
              <w:ind w:left="180"/>
              <w:spacing w:after="0"/>
              <w:rPr>
                <w:sz w:val="20"/>
                <w:szCs w:val="20"/>
                <w:color w:val="auto"/>
              </w:rPr>
            </w:pPr>
            <w:r>
              <w:rPr>
                <w:rFonts w:ascii="Arial" w:cs="Arial" w:eastAsia="Arial" w:hAnsi="Arial"/>
                <w:sz w:val="16"/>
                <w:szCs w:val="16"/>
                <w:color w:val="auto"/>
              </w:rPr>
              <w:t>Net cash used in operating activities (GAAP)</w:t>
            </w:r>
          </w:p>
        </w:tc>
        <w:tc>
          <w:tcPr>
            <w:tcW w:w="2000" w:type="dxa"/>
            <w:vAlign w:val="bottom"/>
          </w:tcPr>
          <w:p>
            <w:pPr>
              <w:ind w:left="840"/>
              <w:spacing w:after="0"/>
              <w:rPr>
                <w:sz w:val="20"/>
                <w:szCs w:val="20"/>
                <w:color w:val="auto"/>
              </w:rPr>
            </w:pPr>
            <w:r>
              <w:rPr>
                <w:rFonts w:ascii="Arial" w:cs="Arial" w:eastAsia="Arial" w:hAnsi="Arial"/>
                <w:sz w:val="16"/>
                <w:szCs w:val="16"/>
                <w:color w:val="auto"/>
              </w:rPr>
              <w:t>$(2,019,674)</w:t>
            </w:r>
          </w:p>
        </w:tc>
        <w:tc>
          <w:tcPr>
            <w:tcW w:w="1300" w:type="dxa"/>
            <w:vAlign w:val="bottom"/>
          </w:tcPr>
          <w:p>
            <w:pPr>
              <w:ind w:left="120"/>
              <w:spacing w:after="0"/>
              <w:rPr>
                <w:sz w:val="20"/>
                <w:szCs w:val="20"/>
                <w:color w:val="auto"/>
              </w:rPr>
            </w:pPr>
            <w:r>
              <w:rPr>
                <w:rFonts w:ascii="Arial" w:cs="Arial" w:eastAsia="Arial" w:hAnsi="Arial"/>
                <w:sz w:val="16"/>
                <w:szCs w:val="16"/>
                <w:color w:val="auto"/>
              </w:rPr>
              <w:t>$(2,489,753)</w:t>
            </w:r>
          </w:p>
        </w:tc>
        <w:tc>
          <w:tcPr>
            <w:tcW w:w="1280" w:type="dxa"/>
            <w:vAlign w:val="bottom"/>
          </w:tcPr>
          <w:p>
            <w:pPr>
              <w:ind w:left="100"/>
              <w:spacing w:after="0"/>
              <w:rPr>
                <w:sz w:val="20"/>
                <w:szCs w:val="20"/>
                <w:color w:val="auto"/>
              </w:rPr>
            </w:pPr>
            <w:r>
              <w:rPr>
                <w:rFonts w:ascii="Arial" w:cs="Arial" w:eastAsia="Arial" w:hAnsi="Arial"/>
                <w:sz w:val="16"/>
                <w:szCs w:val="16"/>
                <w:color w:val="auto"/>
              </w:rPr>
              <w:t>$(2,226,258)</w:t>
            </w:r>
          </w:p>
        </w:tc>
        <w:tc>
          <w:tcPr>
            <w:tcW w:w="1400" w:type="dxa"/>
            <w:vAlign w:val="bottom"/>
          </w:tcPr>
          <w:p>
            <w:pPr>
              <w:ind w:left="120"/>
              <w:spacing w:after="0"/>
              <w:rPr>
                <w:sz w:val="20"/>
                <w:szCs w:val="20"/>
                <w:color w:val="auto"/>
              </w:rPr>
            </w:pPr>
            <w:r>
              <w:rPr>
                <w:rFonts w:ascii="Arial" w:cs="Arial" w:eastAsia="Arial" w:hAnsi="Arial"/>
                <w:sz w:val="16"/>
                <w:szCs w:val="16"/>
                <w:color w:val="auto"/>
              </w:rPr>
              <w:t>$(1,058,133)</w:t>
            </w:r>
          </w:p>
        </w:tc>
      </w:tr>
      <w:tr>
        <w:trPr>
          <w:trHeight w:val="135"/>
        </w:trPr>
        <w:tc>
          <w:tcPr>
            <w:tcW w:w="44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304"/>
        </w:trPr>
        <w:tc>
          <w:tcPr>
            <w:tcW w:w="44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000" w:type="dxa"/>
            <w:vAlign w:val="bottom"/>
          </w:tcPr>
          <w:p>
            <w:pPr>
              <w:ind w:left="840"/>
              <w:spacing w:after="0"/>
              <w:rPr>
                <w:sz w:val="20"/>
                <w:szCs w:val="20"/>
                <w:color w:val="auto"/>
              </w:rPr>
            </w:pPr>
            <w:r>
              <w:rPr>
                <w:rFonts w:ascii="Arial" w:cs="Arial" w:eastAsia="Arial" w:hAnsi="Arial"/>
                <w:sz w:val="16"/>
                <w:szCs w:val="16"/>
                <w:color w:val="auto"/>
              </w:rPr>
              <w:t>(883,841)</w:t>
            </w:r>
          </w:p>
        </w:tc>
        <w:tc>
          <w:tcPr>
            <w:tcW w:w="1300" w:type="dxa"/>
            <w:vAlign w:val="bottom"/>
          </w:tcPr>
          <w:p>
            <w:pPr>
              <w:ind w:left="120"/>
              <w:spacing w:after="0"/>
              <w:rPr>
                <w:sz w:val="20"/>
                <w:szCs w:val="20"/>
                <w:color w:val="auto"/>
              </w:rPr>
            </w:pPr>
            <w:r>
              <w:rPr>
                <w:rFonts w:ascii="Arial" w:cs="Arial" w:eastAsia="Arial" w:hAnsi="Arial"/>
                <w:sz w:val="16"/>
                <w:szCs w:val="16"/>
                <w:color w:val="auto"/>
              </w:rPr>
              <w:t>(910,644)</w:t>
            </w:r>
          </w:p>
        </w:tc>
        <w:tc>
          <w:tcPr>
            <w:tcW w:w="1280" w:type="dxa"/>
            <w:vAlign w:val="bottom"/>
          </w:tcPr>
          <w:p>
            <w:pPr>
              <w:ind w:left="100"/>
              <w:spacing w:after="0"/>
              <w:rPr>
                <w:sz w:val="20"/>
                <w:szCs w:val="20"/>
                <w:color w:val="auto"/>
              </w:rPr>
            </w:pPr>
            <w:r>
              <w:rPr>
                <w:rFonts w:ascii="Arial" w:cs="Arial" w:eastAsia="Arial" w:hAnsi="Arial"/>
                <w:sz w:val="16"/>
                <w:szCs w:val="16"/>
                <w:color w:val="auto"/>
              </w:rPr>
              <w:t>(1,074,852)</w:t>
            </w:r>
          </w:p>
        </w:tc>
        <w:tc>
          <w:tcPr>
            <w:tcW w:w="1400" w:type="dxa"/>
            <w:vAlign w:val="bottom"/>
          </w:tcPr>
          <w:p>
            <w:pPr>
              <w:ind w:left="120"/>
              <w:spacing w:after="0"/>
              <w:rPr>
                <w:sz w:val="20"/>
                <w:szCs w:val="20"/>
                <w:color w:val="auto"/>
              </w:rPr>
            </w:pPr>
            <w:r>
              <w:rPr>
                <w:rFonts w:ascii="Arial" w:cs="Arial" w:eastAsia="Arial" w:hAnsi="Arial"/>
                <w:sz w:val="16"/>
                <w:szCs w:val="16"/>
                <w:color w:val="auto"/>
              </w:rPr>
              <w:t>(421,220)</w:t>
            </w:r>
          </w:p>
        </w:tc>
      </w:tr>
      <w:tr>
        <w:trPr>
          <w:trHeight w:val="135"/>
        </w:trPr>
        <w:tc>
          <w:tcPr>
            <w:tcW w:w="44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304"/>
        </w:trPr>
        <w:tc>
          <w:tcPr>
            <w:tcW w:w="4440" w:type="dxa"/>
            <w:vAlign w:val="bottom"/>
          </w:tcPr>
          <w:p>
            <w:pPr>
              <w:ind w:left="180"/>
              <w:spacing w:after="0"/>
              <w:rPr>
                <w:sz w:val="20"/>
                <w:szCs w:val="20"/>
                <w:color w:val="auto"/>
              </w:rPr>
            </w:pPr>
            <w:r>
              <w:rPr>
                <w:rFonts w:ascii="Arial" w:cs="Arial" w:eastAsia="Arial" w:hAnsi="Arial"/>
                <w:sz w:val="16"/>
                <w:szCs w:val="16"/>
                <w:color w:val="auto"/>
              </w:rPr>
              <w:t>Free cash flow (non-GAAP)</w:t>
            </w:r>
          </w:p>
        </w:tc>
        <w:tc>
          <w:tcPr>
            <w:tcW w:w="2000" w:type="dxa"/>
            <w:vAlign w:val="bottom"/>
          </w:tcPr>
          <w:p>
            <w:pPr>
              <w:ind w:left="840"/>
              <w:spacing w:after="0"/>
              <w:rPr>
                <w:sz w:val="20"/>
                <w:szCs w:val="20"/>
                <w:color w:val="auto"/>
              </w:rPr>
            </w:pPr>
            <w:r>
              <w:rPr>
                <w:rFonts w:ascii="Arial" w:cs="Arial" w:eastAsia="Arial" w:hAnsi="Arial"/>
                <w:sz w:val="16"/>
                <w:szCs w:val="16"/>
                <w:color w:val="auto"/>
              </w:rPr>
              <w:t>$(2,903,515)</w:t>
            </w:r>
          </w:p>
        </w:tc>
        <w:tc>
          <w:tcPr>
            <w:tcW w:w="1300" w:type="dxa"/>
            <w:vAlign w:val="bottom"/>
          </w:tcPr>
          <w:p>
            <w:pPr>
              <w:ind w:left="120"/>
              <w:spacing w:after="0"/>
              <w:rPr>
                <w:sz w:val="20"/>
                <w:szCs w:val="20"/>
                <w:color w:val="auto"/>
              </w:rPr>
            </w:pPr>
            <w:r>
              <w:rPr>
                <w:rFonts w:ascii="Arial" w:cs="Arial" w:eastAsia="Arial" w:hAnsi="Arial"/>
                <w:sz w:val="16"/>
                <w:szCs w:val="16"/>
                <w:color w:val="auto"/>
              </w:rPr>
              <w:t>$(3,400,397)</w:t>
            </w:r>
          </w:p>
        </w:tc>
        <w:tc>
          <w:tcPr>
            <w:tcW w:w="1280" w:type="dxa"/>
            <w:vAlign w:val="bottom"/>
          </w:tcPr>
          <w:p>
            <w:pPr>
              <w:ind w:left="100"/>
              <w:spacing w:after="0"/>
              <w:rPr>
                <w:sz w:val="20"/>
                <w:szCs w:val="20"/>
                <w:color w:val="auto"/>
              </w:rPr>
            </w:pPr>
            <w:r>
              <w:rPr>
                <w:rFonts w:ascii="Arial" w:cs="Arial" w:eastAsia="Arial" w:hAnsi="Arial"/>
                <w:sz w:val="16"/>
                <w:szCs w:val="16"/>
                <w:color w:val="auto"/>
              </w:rPr>
              <w:t>$(3,301,110)</w:t>
            </w:r>
          </w:p>
        </w:tc>
        <w:tc>
          <w:tcPr>
            <w:tcW w:w="1400" w:type="dxa"/>
            <w:vAlign w:val="bottom"/>
          </w:tcPr>
          <w:p>
            <w:pPr>
              <w:ind w:left="120"/>
              <w:spacing w:after="0"/>
              <w:rPr>
                <w:sz w:val="20"/>
                <w:szCs w:val="20"/>
                <w:color w:val="auto"/>
              </w:rPr>
            </w:pPr>
            <w:r>
              <w:rPr>
                <w:rFonts w:ascii="Arial" w:cs="Arial" w:eastAsia="Arial" w:hAnsi="Arial"/>
                <w:sz w:val="16"/>
                <w:szCs w:val="16"/>
                <w:color w:val="auto"/>
              </w:rPr>
              <w:t>$(1,479,353)</w:t>
            </w:r>
          </w:p>
        </w:tc>
      </w:tr>
      <w:tr>
        <w:trPr>
          <w:trHeight w:val="138"/>
        </w:trPr>
        <w:tc>
          <w:tcPr>
            <w:tcW w:w="44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ectPr>
          <w:pgSz w:w="11880" w:h="15480" w:orient="portrait"/>
          <w:cols w:equalWidth="0" w:num="1">
            <w:col w:w="10420"/>
          </w:cols>
          <w:pgMar w:left="720" w:top="94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016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color w:val="auto"/>
        </w:rPr>
        <w:t>B-1</w:t>
      </w:r>
    </w:p>
    <w:p>
      <w:pPr>
        <w:sectPr>
          <w:pgSz w:w="11880" w:h="15480" w:orient="portrait"/>
          <w:cols w:equalWidth="0" w:num="1">
            <w:col w:w="10420"/>
          </w:cols>
          <w:pgMar w:left="720" w:top="942" w:right="7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257175</wp:posOffset>
                </wp:positionH>
                <wp:positionV relativeFrom="page">
                  <wp:posOffset>585470</wp:posOffset>
                </wp:positionV>
                <wp:extent cx="702691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6910"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0.25pt,46.1pt" to="573.55pt,46.1pt" o:allowincell="f" strokecolor="#000000" strokeweight="0.9609pt">
                <w10:wrap anchorx="page" anchory="page"/>
              </v:line>
            </w:pict>
          </mc:Fallback>
        </mc:AlternateContent>
        <mc:AlternateContent>
          <mc:Choice Requires="wps">
            <w:drawing>
              <wp:anchor simplePos="0" relativeHeight="251657728" behindDoc="1" locked="0" layoutInCell="0" allowOverlap="1">
                <wp:simplePos x="0" y="0"/>
                <wp:positionH relativeFrom="page">
                  <wp:posOffset>257175</wp:posOffset>
                </wp:positionH>
                <wp:positionV relativeFrom="page">
                  <wp:posOffset>609600</wp:posOffset>
                </wp:positionV>
                <wp:extent cx="702691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6910"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0.25pt,48pt" to="573.55pt,48pt" o:allowincell="f" strokecolor="#000000" strokeweight="0.9609pt">
                <w10:wrap anchorx="page" anchory="page"/>
              </v:line>
            </w:pict>
          </mc:Fallback>
        </mc:AlternateContent>
        <w:t>UNITED STATES SECURITIES AND EXCHANGE COMMISSION</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63" w:lineRule="exact"/>
        <w:rPr>
          <w:sz w:val="20"/>
          <w:szCs w:val="20"/>
          <w:color w:val="auto"/>
        </w:rPr>
      </w:pPr>
    </w:p>
    <w:p>
      <w:pPr>
        <w:ind w:left="440" w:right="1240" w:hanging="354"/>
        <w:spacing w:after="0" w:line="325" w:lineRule="auto"/>
        <w:tabs>
          <w:tab w:leader="none" w:pos="440"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63" w:lineRule="exact"/>
        <w:rPr>
          <w:sz w:val="20"/>
          <w:szCs w:val="20"/>
          <w:color w:val="auto"/>
        </w:rPr>
      </w:pPr>
    </w:p>
    <w:p>
      <w:pPr>
        <w:ind w:left="440" w:hanging="354"/>
        <w:spacing w:after="0"/>
        <w:tabs>
          <w:tab w:leader="none" w:pos="440"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880" w:h="15480" w:orient="portrait"/>
          <w:cols w:equalWidth="0" w:num="1">
            <w:col w:w="11080"/>
          </w:cols>
          <w:pgMar w:left="400" w:top="982" w:right="400" w:bottom="519" w:gutter="0" w:footer="0" w:header="0"/>
        </w:sectPr>
      </w:pP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11" w:lineRule="exact"/>
        <w:rPr>
          <w:sz w:val="20"/>
          <w:szCs w:val="20"/>
          <w:color w:val="auto"/>
        </w:rPr>
      </w:pPr>
    </w:p>
    <w:p>
      <w:pPr>
        <w:sectPr>
          <w:pgSz w:w="11880" w:h="15480" w:orient="portrait"/>
          <w:cols w:equalWidth="0" w:num="2">
            <w:col w:w="2940" w:space="660"/>
            <w:col w:w="7480"/>
          </w:cols>
          <w:pgMar w:left="400" w:top="982" w:right="400" w:bottom="519"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Commission File Number: 001-39408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Lucid Group,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880" w:h="15480" w:orient="portrait"/>
          <w:cols w:equalWidth="0" w:num="1">
            <w:col w:w="11080"/>
          </w:cols>
          <w:pgMar w:left="400" w:top="982" w:right="400" w:bottom="519" w:gutter="0" w:footer="0" w:header="0"/>
          <w:type w:val="continuous"/>
        </w:sectPr>
      </w:pPr>
    </w:p>
    <w:p>
      <w:pPr>
        <w:spacing w:after="0" w:line="66"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85-0891392</w:t>
      </w:r>
    </w:p>
    <w:p>
      <w:pPr>
        <w:spacing w:after="0" w:line="82" w:lineRule="exact"/>
        <w:rPr>
          <w:sz w:val="20"/>
          <w:szCs w:val="20"/>
          <w:color w:val="auto"/>
        </w:rPr>
      </w:pPr>
    </w:p>
    <w:p>
      <w:pPr>
        <w:sectPr>
          <w:pgSz w:w="11880" w:h="15480" w:orient="portrait"/>
          <w:cols w:equalWidth="0" w:num="2">
            <w:col w:w="5960" w:space="720"/>
            <w:col w:w="4400"/>
          </w:cols>
          <w:pgMar w:left="400" w:top="982" w:right="400" w:bottom="519" w:gutter="0" w:footer="0" w:header="0"/>
          <w:type w:val="continuous"/>
        </w:sectPr>
      </w:pPr>
    </w:p>
    <w:p>
      <w:pPr>
        <w:ind w:left="480"/>
        <w:spacing w:after="0"/>
        <w:rPr>
          <w:sz w:val="20"/>
          <w:szCs w:val="20"/>
          <w:color w:val="auto"/>
        </w:rPr>
      </w:pPr>
      <w:r>
        <w:rPr>
          <w:rFonts w:ascii="Arial" w:cs="Arial" w:eastAsia="Arial" w:hAnsi="Arial"/>
          <w:sz w:val="13"/>
          <w:szCs w:val="13"/>
          <w:b w:val="1"/>
          <w:bCs w:val="1"/>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i w:val="1"/>
          <w:iCs w:val="1"/>
          <w:color w:val="auto"/>
        </w:rPr>
        <w:t>(I.R.S. Employer Identification No.)</w:t>
      </w:r>
    </w:p>
    <w:p>
      <w:pPr>
        <w:spacing w:after="0" w:line="196" w:lineRule="exact"/>
        <w:rPr>
          <w:sz w:val="20"/>
          <w:szCs w:val="20"/>
          <w:color w:val="auto"/>
        </w:rPr>
      </w:pPr>
    </w:p>
    <w:p>
      <w:pPr>
        <w:sectPr>
          <w:pgSz w:w="11880" w:h="15480" w:orient="portrait"/>
          <w:cols w:equalWidth="0" w:num="2">
            <w:col w:w="5280" w:space="720"/>
            <w:col w:w="5080"/>
          </w:cols>
          <w:pgMar w:left="400" w:top="982" w:right="400" w:bottom="519"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7373 Gateway Boulevard, Newark, CA 94560</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(Address of principal executive offices) (Zip code)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(510) 648-3553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ectPr>
          <w:pgSz w:w="11880" w:h="15480" w:orient="portrait"/>
          <w:cols w:equalWidth="0" w:num="1">
            <w:col w:w="11080"/>
          </w:cols>
          <w:pgMar w:left="400" w:top="982" w:right="400" w:bottom="519" w:gutter="0" w:footer="0" w:header="0"/>
          <w:type w:val="continuous"/>
        </w:sectPr>
      </w:pPr>
    </w:p>
    <w:p>
      <w:pPr>
        <w:spacing w:after="0" w:line="163"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85" w:lineRule="exact"/>
        <w:rPr>
          <w:sz w:val="20"/>
          <w:szCs w:val="20"/>
          <w:color w:val="auto"/>
        </w:rPr>
      </w:pPr>
    </w:p>
    <w:p>
      <w:pPr>
        <w:sectPr>
          <w:pgSz w:w="11880" w:h="15480" w:orient="portrait"/>
          <w:cols w:equalWidth="0" w:num="3">
            <w:col w:w="4460" w:space="720"/>
            <w:col w:w="1540" w:space="720"/>
            <w:col w:w="3640"/>
          </w:cols>
          <w:pgMar w:left="400" w:top="982" w:right="400" w:bottom="519" w:gutter="0" w:footer="0" w:header="0"/>
          <w:type w:val="continuous"/>
        </w:sectPr>
      </w:pPr>
    </w:p>
    <w:p>
      <w:pPr>
        <w:ind w:left="620"/>
        <w:spacing w:after="0"/>
        <w:rPr>
          <w:sz w:val="20"/>
          <w:szCs w:val="20"/>
          <w:color w:val="auto"/>
        </w:rPr>
      </w:pPr>
      <w:r>
        <w:rPr>
          <w:rFonts w:ascii="Arial" w:cs="Arial" w:eastAsia="Arial" w:hAnsi="Arial"/>
          <w:sz w:val="13"/>
          <w:szCs w:val="13"/>
          <w:color w:val="auto"/>
        </w:rPr>
        <w:t>Class A Common Stock, $0.0001 par value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LCID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92" w:lineRule="exact"/>
        <w:rPr>
          <w:sz w:val="20"/>
          <w:szCs w:val="20"/>
          <w:color w:val="auto"/>
        </w:rPr>
      </w:pPr>
    </w:p>
    <w:p>
      <w:pPr>
        <w:sectPr>
          <w:pgSz w:w="11880" w:h="15480" w:orient="portrait"/>
          <w:cols w:equalWidth="0" w:num="3">
            <w:col w:w="5020" w:space="720"/>
            <w:col w:w="1800" w:space="720"/>
            <w:col w:w="2820"/>
          </w:cols>
          <w:pgMar w:left="400" w:top="982" w:right="400" w:bottom="519" w:gutter="0" w:footer="0" w:header="0"/>
          <w:type w:val="continuous"/>
        </w:sectPr>
      </w:pPr>
    </w:p>
    <w:p>
      <w:pPr>
        <w:ind w:left="2780"/>
        <w:spacing w:after="0"/>
        <w:rPr>
          <w:sz w:val="20"/>
          <w:szCs w:val="20"/>
          <w:color w:val="auto"/>
        </w:rPr>
      </w:pPr>
      <w:r>
        <w:rPr>
          <w:rFonts w:ascii="Arial" w:cs="Arial" w:eastAsia="Arial" w:hAnsi="Arial"/>
          <w:sz w:val="19"/>
          <w:szCs w:val="19"/>
          <w:b w:val="1"/>
          <w:bCs w:val="1"/>
          <w:color w:val="auto"/>
        </w:rPr>
        <w:t>Securities registered pursuant to Section 12(g) of the Act: None</w:t>
      </w:r>
    </w:p>
    <w:p>
      <w:pPr>
        <w:spacing w:after="0" w:line="139" w:lineRule="exact"/>
        <w:rPr>
          <w:sz w:val="20"/>
          <w:szCs w:val="20"/>
          <w:color w:val="auto"/>
        </w:rPr>
      </w:pPr>
    </w:p>
    <w:p>
      <w:pPr>
        <w:ind w:right="2840"/>
        <w:spacing w:after="0" w:line="409"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x</w:t>
      </w:r>
      <w:r>
        <w:rPr>
          <w:rFonts w:ascii="Arial" w:cs="Arial" w:eastAsia="Arial" w:hAnsi="Arial"/>
          <w:sz w:val="14"/>
          <w:szCs w:val="14"/>
          <w:color w:val="auto"/>
        </w:rPr>
        <w:t xml:space="preserve">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Arial" w:cs="Arial" w:eastAsia="Arial" w:hAnsi="Arial"/>
          <w:sz w:val="14"/>
          <w:szCs w:val="14"/>
          <w:b w:val="1"/>
          <w:bCs w:val="1"/>
          <w:color w:val="auto"/>
        </w:rPr>
        <w:t>o</w:t>
      </w:r>
      <w:r>
        <w:rPr>
          <w:rFonts w:ascii="Arial" w:cs="Arial" w:eastAsia="Arial" w:hAnsi="Arial"/>
          <w:sz w:val="14"/>
          <w:szCs w:val="14"/>
          <w:color w:val="auto"/>
        </w:rPr>
        <w:t xml:space="preserve"> Yes </w:t>
      </w:r>
      <w:r>
        <w:rPr>
          <w:rFonts w:ascii="Arial" w:cs="Arial" w:eastAsia="Arial" w:hAnsi="Arial"/>
          <w:sz w:val="14"/>
          <w:szCs w:val="14"/>
          <w:b w:val="1"/>
          <w:bCs w:val="1"/>
          <w:color w:val="auto"/>
        </w:rPr>
        <w:t>x</w:t>
      </w:r>
      <w:r>
        <w:rPr>
          <w:rFonts w:ascii="Arial" w:cs="Arial" w:eastAsia="Arial" w:hAnsi="Arial"/>
          <w:sz w:val="14"/>
          <w:szCs w:val="14"/>
          <w:color w:val="auto"/>
        </w:rPr>
        <w:t xml:space="preserve"> No</w:t>
      </w:r>
    </w:p>
    <w:p>
      <w:pPr>
        <w:jc w:val="both"/>
        <w:spacing w:after="0" w:line="284"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5"/>
          <w:szCs w:val="15"/>
          <w:b w:val="1"/>
          <w:bCs w:val="1"/>
          <w:color w:val="auto"/>
        </w:rPr>
        <w:t>x</w:t>
      </w:r>
      <w:r>
        <w:rPr>
          <w:rFonts w:ascii="Arial" w:cs="Arial" w:eastAsia="Arial" w:hAnsi="Arial"/>
          <w:sz w:val="15"/>
          <w:szCs w:val="15"/>
          <w:color w:val="auto"/>
        </w:rPr>
        <w:t xml:space="preserve"> Yes </w:t>
      </w:r>
      <w:r>
        <w:rPr>
          <w:rFonts w:ascii="Arial" w:cs="Arial" w:eastAsia="Arial" w:hAnsi="Arial"/>
          <w:sz w:val="15"/>
          <w:szCs w:val="15"/>
          <w:b w:val="1"/>
          <w:bCs w:val="1"/>
          <w:color w:val="auto"/>
        </w:rPr>
        <w:t>o</w:t>
      </w:r>
      <w:r>
        <w:rPr>
          <w:rFonts w:ascii="Arial" w:cs="Arial" w:eastAsia="Arial" w:hAnsi="Arial"/>
          <w:sz w:val="15"/>
          <w:szCs w:val="15"/>
          <w:color w:val="auto"/>
        </w:rPr>
        <w:t xml:space="preserve"> No</w:t>
      </w:r>
    </w:p>
    <w:p>
      <w:pPr>
        <w:spacing w:after="0" w:line="3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x</w:t>
      </w:r>
      <w:r>
        <w:rPr>
          <w:rFonts w:ascii="Arial" w:cs="Arial" w:eastAsia="Arial" w:hAnsi="Arial"/>
          <w:sz w:val="15"/>
          <w:szCs w:val="15"/>
          <w:color w:val="auto"/>
        </w:rPr>
        <w:t xml:space="preserve"> Yes </w:t>
      </w:r>
      <w:r>
        <w:rPr>
          <w:rFonts w:ascii="Arial" w:cs="Arial" w:eastAsia="Arial" w:hAnsi="Arial"/>
          <w:sz w:val="15"/>
          <w:szCs w:val="15"/>
          <w:b w:val="1"/>
          <w:bCs w:val="1"/>
          <w:color w:val="auto"/>
        </w:rPr>
        <w:t>o</w:t>
      </w:r>
      <w:r>
        <w:rPr>
          <w:rFonts w:ascii="Arial" w:cs="Arial" w:eastAsia="Arial" w:hAnsi="Arial"/>
          <w:sz w:val="15"/>
          <w:szCs w:val="15"/>
          <w:color w:val="auto"/>
        </w:rPr>
        <w:t xml:space="preserve"> No</w:t>
      </w:r>
    </w:p>
    <w:p>
      <w:pPr>
        <w:spacing w:after="0" w:line="17" w:lineRule="exact"/>
        <w:rPr>
          <w:sz w:val="20"/>
          <w:szCs w:val="20"/>
          <w:color w:val="auto"/>
        </w:rPr>
      </w:pPr>
    </w:p>
    <w:p>
      <w:pPr>
        <w:jc w:val="both"/>
        <w:spacing w:after="0" w:line="3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680" w:type="dxa"/>
            <w:vAlign w:val="bottom"/>
          </w:tcPr>
          <w:p>
            <w:pPr>
              <w:jc w:val="right"/>
              <w:ind w:right="703"/>
              <w:spacing w:after="0"/>
              <w:rPr>
                <w:sz w:val="20"/>
                <w:szCs w:val="20"/>
                <w:color w:val="auto"/>
              </w:rPr>
            </w:pPr>
            <w:r>
              <w:rPr>
                <w:rFonts w:ascii="Arial" w:cs="Arial" w:eastAsia="Arial" w:hAnsi="Arial"/>
                <w:sz w:val="15"/>
                <w:szCs w:val="15"/>
                <w:b w:val="1"/>
                <w:bCs w:val="1"/>
                <w:color w:val="auto"/>
              </w:rPr>
              <w:t>x</w:t>
            </w:r>
          </w:p>
        </w:tc>
        <w:tc>
          <w:tcPr>
            <w:tcW w:w="3400" w:type="dxa"/>
            <w:vAlign w:val="bottom"/>
          </w:tcPr>
          <w:p>
            <w:pPr>
              <w:ind w:left="760"/>
              <w:spacing w:after="0"/>
              <w:rPr>
                <w:sz w:val="20"/>
                <w:szCs w:val="20"/>
                <w:color w:val="auto"/>
              </w:rPr>
            </w:pPr>
            <w:r>
              <w:rPr>
                <w:rFonts w:ascii="Arial" w:cs="Arial" w:eastAsia="Arial" w:hAnsi="Arial"/>
                <w:sz w:val="15"/>
                <w:szCs w:val="15"/>
                <w:color w:val="auto"/>
              </w:rPr>
              <w:t>Accelerated Filer</w:t>
            </w:r>
          </w:p>
        </w:tc>
        <w:tc>
          <w:tcPr>
            <w:tcW w:w="980" w:type="dxa"/>
            <w:vAlign w:val="bottom"/>
          </w:tcPr>
          <w:p>
            <w:pPr>
              <w:ind w:left="840"/>
              <w:spacing w:after="0"/>
              <w:rPr>
                <w:sz w:val="20"/>
                <w:szCs w:val="20"/>
                <w:color w:val="auto"/>
              </w:rPr>
            </w:pPr>
            <w:r>
              <w:rPr>
                <w:rFonts w:ascii="Arial" w:cs="Arial" w:eastAsia="Arial" w:hAnsi="Arial"/>
                <w:sz w:val="15"/>
                <w:szCs w:val="15"/>
                <w:b w:val="1"/>
                <w:bCs w:val="1"/>
                <w:color w:val="auto"/>
              </w:rPr>
              <w:t>o</w:t>
            </w:r>
          </w:p>
        </w:tc>
      </w:tr>
      <w:tr>
        <w:trPr>
          <w:trHeight w:val="231"/>
        </w:trPr>
        <w:tc>
          <w:tcPr>
            <w:tcW w:w="2200" w:type="dxa"/>
            <w:vAlign w:val="bottom"/>
          </w:tcPr>
          <w:p>
            <w:pPr>
              <w:ind w:left="40"/>
              <w:spacing w:after="0"/>
              <w:rPr>
                <w:sz w:val="20"/>
                <w:szCs w:val="20"/>
                <w:color w:val="auto"/>
              </w:rPr>
            </w:pPr>
            <w:r>
              <w:rPr>
                <w:rFonts w:ascii="Arial" w:cs="Arial" w:eastAsia="Arial" w:hAnsi="Arial"/>
                <w:sz w:val="15"/>
                <w:szCs w:val="15"/>
                <w:color w:val="auto"/>
              </w:rPr>
              <w:t>Non-accelerated Filer</w:t>
            </w:r>
          </w:p>
        </w:tc>
        <w:tc>
          <w:tcPr>
            <w:tcW w:w="1680" w:type="dxa"/>
            <w:vAlign w:val="bottom"/>
          </w:tcPr>
          <w:p>
            <w:pPr>
              <w:jc w:val="right"/>
              <w:ind w:right="703"/>
              <w:spacing w:after="0"/>
              <w:rPr>
                <w:sz w:val="20"/>
                <w:szCs w:val="20"/>
                <w:color w:val="auto"/>
              </w:rPr>
            </w:pPr>
            <w:r>
              <w:rPr>
                <w:rFonts w:ascii="Arial" w:cs="Arial" w:eastAsia="Arial" w:hAnsi="Arial"/>
                <w:sz w:val="15"/>
                <w:szCs w:val="15"/>
                <w:b w:val="1"/>
                <w:bCs w:val="1"/>
                <w:color w:val="auto"/>
              </w:rPr>
              <w:t>o</w:t>
            </w:r>
          </w:p>
        </w:tc>
        <w:tc>
          <w:tcPr>
            <w:tcW w:w="3400" w:type="dxa"/>
            <w:vAlign w:val="bottom"/>
          </w:tcPr>
          <w:p>
            <w:pPr>
              <w:ind w:left="800"/>
              <w:spacing w:after="0"/>
              <w:rPr>
                <w:sz w:val="20"/>
                <w:szCs w:val="20"/>
                <w:color w:val="auto"/>
              </w:rPr>
            </w:pPr>
            <w:r>
              <w:rPr>
                <w:rFonts w:ascii="Arial" w:cs="Arial" w:eastAsia="Arial" w:hAnsi="Arial"/>
                <w:sz w:val="15"/>
                <w:szCs w:val="15"/>
                <w:color w:val="auto"/>
              </w:rPr>
              <w:t>Smaller Reporting Company</w:t>
            </w:r>
          </w:p>
        </w:tc>
        <w:tc>
          <w:tcPr>
            <w:tcW w:w="980" w:type="dxa"/>
            <w:vAlign w:val="bottom"/>
          </w:tcPr>
          <w:p>
            <w:pPr>
              <w:ind w:left="840"/>
              <w:spacing w:after="0"/>
              <w:rPr>
                <w:sz w:val="20"/>
                <w:szCs w:val="20"/>
                <w:color w:val="auto"/>
              </w:rPr>
            </w:pPr>
            <w:r>
              <w:rPr>
                <w:rFonts w:ascii="Arial" w:cs="Arial" w:eastAsia="Arial" w:hAnsi="Arial"/>
                <w:sz w:val="15"/>
                <w:szCs w:val="15"/>
                <w:b w:val="1"/>
                <w:bCs w:val="1"/>
                <w:color w:val="auto"/>
              </w:rPr>
              <w:t>o</w:t>
            </w:r>
          </w:p>
        </w:tc>
      </w:tr>
      <w:tr>
        <w:trPr>
          <w:trHeight w:val="231"/>
        </w:trPr>
        <w:tc>
          <w:tcPr>
            <w:tcW w:w="2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0" w:type="dxa"/>
            <w:vAlign w:val="bottom"/>
          </w:tcPr>
          <w:p>
            <w:pPr>
              <w:ind w:left="800"/>
              <w:spacing w:after="0"/>
              <w:rPr>
                <w:sz w:val="20"/>
                <w:szCs w:val="20"/>
                <w:color w:val="auto"/>
              </w:rPr>
            </w:pPr>
            <w:r>
              <w:rPr>
                <w:rFonts w:ascii="Arial" w:cs="Arial" w:eastAsia="Arial" w:hAnsi="Arial"/>
                <w:sz w:val="15"/>
                <w:szCs w:val="15"/>
                <w:color w:val="auto"/>
              </w:rPr>
              <w:t>Emerging Growth Company</w:t>
            </w:r>
          </w:p>
        </w:tc>
        <w:tc>
          <w:tcPr>
            <w:tcW w:w="980" w:type="dxa"/>
            <w:vAlign w:val="bottom"/>
          </w:tcPr>
          <w:p>
            <w:pPr>
              <w:ind w:left="840"/>
              <w:spacing w:after="0"/>
              <w:rPr>
                <w:sz w:val="20"/>
                <w:szCs w:val="20"/>
                <w:color w:val="auto"/>
              </w:rPr>
            </w:pPr>
            <w:r>
              <w:rPr>
                <w:rFonts w:ascii="Arial" w:cs="Arial" w:eastAsia="Arial" w:hAnsi="Arial"/>
                <w:sz w:val="15"/>
                <w:szCs w:val="15"/>
                <w:b w:val="1"/>
                <w:bCs w:val="1"/>
                <w:color w:val="auto"/>
              </w:rPr>
              <w:t>o</w:t>
            </w:r>
          </w:p>
        </w:tc>
      </w:tr>
    </w:tbl>
    <w:p>
      <w:pPr>
        <w:spacing w:after="0" w:line="15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b w:val="1"/>
          <w:bCs w:val="1"/>
          <w:color w:val="auto"/>
        </w:rPr>
        <w:t>o</w:t>
      </w:r>
    </w:p>
    <w:p>
      <w:pPr>
        <w:spacing w:after="0" w:line="17" w:lineRule="exact"/>
        <w:rPr>
          <w:sz w:val="20"/>
          <w:szCs w:val="20"/>
          <w:color w:val="auto"/>
        </w:rPr>
      </w:pPr>
    </w:p>
    <w:p>
      <w:pPr>
        <w:spacing w:after="0" w:line="346"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4"/>
          <w:szCs w:val="14"/>
          <w:b w:val="1"/>
          <w:bCs w:val="1"/>
          <w:color w:val="auto"/>
        </w:rPr>
        <w:t>x</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w:t>
      </w:r>
    </w:p>
    <w:p>
      <w:pPr>
        <w:spacing w:after="0" w:line="33" w:lineRule="exact"/>
        <w:rPr>
          <w:sz w:val="20"/>
          <w:szCs w:val="20"/>
          <w:color w:val="auto"/>
        </w:rPr>
      </w:pPr>
    </w:p>
    <w:p>
      <w:pPr>
        <w:spacing w:after="0"/>
        <w:tabs>
          <w:tab w:leader="none" w:pos="9160" w:val="left"/>
        </w:tabs>
        <w:rPr>
          <w:sz w:val="20"/>
          <w:szCs w:val="20"/>
          <w:color w:val="auto"/>
        </w:rPr>
      </w:pPr>
      <w:r>
        <w:rPr>
          <w:rFonts w:ascii="Arial" w:cs="Arial" w:eastAsia="Arial" w:hAnsi="Arial"/>
          <w:sz w:val="15"/>
          <w:szCs w:val="15"/>
          <w:color w:val="auto"/>
        </w:rPr>
        <w:t>of an error to previously issued financial statements.</w:t>
      </w:r>
      <w:r>
        <w:rPr>
          <w:sz w:val="20"/>
          <w:szCs w:val="20"/>
          <w:color w:val="auto"/>
        </w:rPr>
        <w:tab/>
      </w:r>
      <w:r>
        <w:rPr>
          <w:rFonts w:ascii="Arial" w:cs="Arial" w:eastAsia="Arial" w:hAnsi="Arial"/>
          <w:sz w:val="15"/>
          <w:szCs w:val="15"/>
          <w:b w:val="1"/>
          <w:bCs w:val="1"/>
          <w:color w:val="auto"/>
        </w:rPr>
        <w:t>o</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w:t>
      </w:r>
    </w:p>
    <w:p>
      <w:pPr>
        <w:sectPr>
          <w:pgSz w:w="11880" w:h="15480" w:orient="portrait"/>
          <w:cols w:equalWidth="0" w:num="1">
            <w:col w:w="11080"/>
          </w:cols>
          <w:pgMar w:left="400" w:top="982" w:right="400" w:bottom="519"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registrant’s executive officers during the relevant recovery period pursuant to §240.10D-1(b).</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t>
      </w:r>
    </w:p>
    <w:p>
      <w:pPr>
        <w:spacing w:after="0" w:line="94" w:lineRule="exact"/>
        <w:rPr>
          <w:sz w:val="20"/>
          <w:szCs w:val="20"/>
          <w:color w:val="auto"/>
        </w:rPr>
      </w:pPr>
    </w:p>
    <w:p>
      <w:pPr>
        <w:sectPr>
          <w:pgSz w:w="11880" w:h="15480" w:orient="portrait"/>
          <w:cols w:equalWidth="0" w:num="2">
            <w:col w:w="8460" w:space="720"/>
            <w:col w:w="1900"/>
          </w:cols>
          <w:pgMar w:left="400" w:top="982" w:right="400" w:bottom="519" w:gutter="0" w:footer="0" w:header="0"/>
          <w:type w:val="continuous"/>
        </w:sect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x </w:t>
      </w:r>
      <w:r>
        <w:rPr>
          <w:rFonts w:ascii="Arial" w:cs="Arial" w:eastAsia="Arial" w:hAnsi="Arial"/>
          <w:sz w:val="15"/>
          <w:szCs w:val="15"/>
          <w:color w:val="auto"/>
        </w:rPr>
        <w:t>No</w:t>
      </w:r>
    </w:p>
    <w:p>
      <w:pPr>
        <w:spacing w:after="0" w:line="96" w:lineRule="exact"/>
        <w:rPr>
          <w:sz w:val="20"/>
          <w:szCs w:val="20"/>
          <w:color w:val="auto"/>
        </w:rPr>
      </w:pPr>
    </w:p>
    <w:p>
      <w:pPr>
        <w:sectPr>
          <w:pgSz w:w="11880" w:h="15480" w:orient="portrait"/>
          <w:cols w:equalWidth="0" w:num="3">
            <w:col w:w="7160" w:space="80"/>
            <w:col w:w="240" w:space="140"/>
            <w:col w:w="3460"/>
          </w:cols>
          <w:pgMar w:left="400" w:top="982" w:right="400" w:bottom="519" w:gutter="0" w:footer="0" w:header="0"/>
          <w:type w:val="continuous"/>
        </w:sectPr>
      </w:pPr>
    </w:p>
    <w:p>
      <w:pPr>
        <w:ind w:right="60"/>
        <w:spacing w:after="0" w:line="269"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 of June 28, 2024 (the last business day of registrant’s second quarter of fiscal year 2024), was $2.4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of the registrant’s common stock outstanding at February 19, 2025: 3,031,499,851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77470</wp:posOffset>
                </wp:positionV>
                <wp:extent cx="702691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6910"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1pt" to="553.55pt,6.1pt" o:allowincell="f" strokecolor="#000000" strokeweight="0.9609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101600</wp:posOffset>
                </wp:positionV>
                <wp:extent cx="702691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6910"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pt" to="553.55pt,8pt" o:allowincell="f" strokecolor="#000000" strokeweight="0.9609pt"/>
            </w:pict>
          </mc:Fallback>
        </mc:AlternateContent>
      </w:r>
    </w:p>
    <w:p>
      <w:pPr>
        <w:sectPr>
          <w:pgSz w:w="11880" w:h="15480" w:orient="portrait"/>
          <w:cols w:equalWidth="0" w:num="1">
            <w:col w:w="11080"/>
          </w:cols>
          <w:pgMar w:left="400" w:top="982" w:right="400" w:bottom="519" w:gutter="0" w:footer="0" w:header="0"/>
          <w:type w:val="continuous"/>
        </w:sectPr>
      </w:pPr>
    </w:p>
    <w:bookmarkStart w:id="121" w:name="page122"/>
    <w:bookmarkEnd w:id="121"/>
    <w:p>
      <w:pPr>
        <w:jc w:val="center"/>
        <w:ind w:right="-39"/>
        <w:spacing w:after="0"/>
        <w:rPr>
          <w:sz w:val="20"/>
          <w:szCs w:val="20"/>
          <w:color w:val="auto"/>
        </w:rPr>
      </w:pPr>
      <w:r>
        <w:rPr>
          <w:rFonts w:ascii="Arial" w:cs="Arial" w:eastAsia="Arial" w:hAnsi="Arial"/>
          <w:sz w:val="19"/>
          <w:szCs w:val="19"/>
          <w:b w:val="1"/>
          <w:bCs w:val="1"/>
          <w:color w:val="auto"/>
        </w:rPr>
        <w:t>DOCUMENTS INCORPORATED BY REFERENCE:</w:t>
      </w:r>
    </w:p>
    <w:p>
      <w:pPr>
        <w:spacing w:after="0" w:line="146"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Certain portions of the registrant’s definitive proxy statement for its annual meeting of stockholders (the “Proxy Statement”), to be filed with the Securities and Exchange Commission within 120 days after December 31, 2024, are incorporated by reference into Part III of this Annual Report on Form 10-K (this “Annual Report”). Except with respect to information specifically incorporated by reference in this Annual Report, the Proxy Statement shall not be deemed to be filed as part hereof.</w:t>
      </w:r>
    </w:p>
    <w:p>
      <w:pPr>
        <w:sectPr>
          <w:pgSz w:w="11880" w:h="15480" w:orient="portrait"/>
          <w:cols w:equalWidth="0" w:num="1">
            <w:col w:w="11040"/>
          </w:cols>
          <w:pgMar w:left="400" w:top="756" w:right="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5"/>
        </w:trPr>
        <w:tc>
          <w:tcPr>
            <w:tcW w:w="1340" w:type="dxa"/>
            <w:vAlign w:val="bottom"/>
          </w:tcPr>
          <w:p>
            <w:pPr>
              <w:spacing w:after="0"/>
              <w:rPr>
                <w:sz w:val="22"/>
                <w:szCs w:val="22"/>
                <w:color w:val="auto"/>
              </w:rPr>
            </w:pPr>
          </w:p>
        </w:tc>
        <w:tc>
          <w:tcPr>
            <w:tcW w:w="8240" w:type="dxa"/>
            <w:vAlign w:val="bottom"/>
          </w:tcPr>
          <w:p>
            <w:pPr>
              <w:ind w:left="2160"/>
              <w:spacing w:after="0"/>
              <w:rPr>
                <w:sz w:val="20"/>
                <w:szCs w:val="20"/>
                <w:color w:val="auto"/>
              </w:rPr>
            </w:pPr>
            <w:r>
              <w:rPr>
                <w:rFonts w:ascii="Arial" w:cs="Arial" w:eastAsia="Arial" w:hAnsi="Arial"/>
                <w:sz w:val="19"/>
                <w:szCs w:val="19"/>
                <w:b w:val="1"/>
                <w:bCs w:val="1"/>
                <w:color w:val="auto"/>
              </w:rPr>
              <w:t>INDEX TO ANNUAL REPORT ON FORM 10-K</w:t>
            </w:r>
          </w:p>
        </w:tc>
      </w:tr>
      <w:tr>
        <w:trPr>
          <w:trHeight w:val="494"/>
        </w:trPr>
        <w:tc>
          <w:tcPr>
            <w:tcW w:w="1340" w:type="dxa"/>
            <w:vAlign w:val="bottom"/>
          </w:tcPr>
          <w:p>
            <w:pPr>
              <w:ind w:left="160"/>
              <w:spacing w:after="0"/>
              <w:rPr>
                <w:sz w:val="20"/>
                <w:szCs w:val="20"/>
                <w:color w:val="auto"/>
              </w:rPr>
            </w:pPr>
            <w:r>
              <w:rPr>
                <w:rFonts w:ascii="Arial" w:cs="Arial" w:eastAsia="Arial" w:hAnsi="Arial"/>
                <w:sz w:val="19"/>
                <w:szCs w:val="19"/>
                <w:b w:val="1"/>
                <w:bCs w:val="1"/>
                <w:color w:val="auto"/>
              </w:rPr>
              <w:t>FORM 10-K</w:t>
            </w:r>
          </w:p>
        </w:tc>
        <w:tc>
          <w:tcPr>
            <w:tcW w:w="8240" w:type="dxa"/>
            <w:vAlign w:val="bottom"/>
          </w:tcPr>
          <w:p>
            <w:pPr>
              <w:spacing w:after="0"/>
              <w:rPr>
                <w:sz w:val="24"/>
                <w:szCs w:val="24"/>
                <w:color w:val="auto"/>
              </w:rPr>
            </w:pPr>
          </w:p>
        </w:tc>
      </w:tr>
      <w:tr>
        <w:trPr>
          <w:trHeight w:val="253"/>
        </w:trPr>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9"/>
                <w:szCs w:val="19"/>
                <w:b w:val="1"/>
                <w:bCs w:val="1"/>
                <w:color w:val="auto"/>
              </w:rPr>
              <w:t>ITEM</w:t>
            </w:r>
          </w:p>
        </w:tc>
        <w:tc>
          <w:tcPr>
            <w:tcW w:w="8240" w:type="dxa"/>
            <w:vAlign w:val="bottom"/>
          </w:tcPr>
          <w:p>
            <w:pPr>
              <w:spacing w:after="0"/>
              <w:rPr>
                <w:sz w:val="21"/>
                <w:szCs w:val="21"/>
                <w:color w:val="auto"/>
              </w:rPr>
            </w:pPr>
          </w:p>
        </w:tc>
      </w:tr>
      <w:tr>
        <w:trPr>
          <w:trHeight w:val="309"/>
        </w:trPr>
        <w:tc>
          <w:tcPr>
            <w:tcW w:w="1340" w:type="dxa"/>
            <w:vAlign w:val="bottom"/>
          </w:tcPr>
          <w:p>
            <w:pPr>
              <w:ind w:left="60"/>
              <w:spacing w:after="0"/>
              <w:rPr>
                <w:sz w:val="20"/>
                <w:szCs w:val="20"/>
                <w:color w:val="auto"/>
              </w:rPr>
            </w:pPr>
            <w:r>
              <w:rPr>
                <w:rFonts w:ascii="Arial" w:cs="Arial" w:eastAsia="Arial" w:hAnsi="Arial"/>
                <w:sz w:val="19"/>
                <w:szCs w:val="19"/>
                <w:color w:val="auto"/>
              </w:rPr>
              <w:t>PART I</w:t>
            </w:r>
          </w:p>
        </w:tc>
        <w:tc>
          <w:tcPr>
            <w:tcW w:w="8240" w:type="dxa"/>
            <w:vAlign w:val="bottom"/>
          </w:tcPr>
          <w:p>
            <w:pPr>
              <w:spacing w:after="0"/>
              <w:rPr>
                <w:sz w:val="24"/>
                <w:szCs w:val="24"/>
                <w:color w:val="auto"/>
              </w:rPr>
            </w:pP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w:t>
            </w:r>
          </w:p>
        </w:tc>
        <w:tc>
          <w:tcPr>
            <w:tcW w:w="8240" w:type="dxa"/>
            <w:vAlign w:val="bottom"/>
          </w:tcPr>
          <w:p>
            <w:pPr>
              <w:ind w:left="60"/>
              <w:spacing w:after="0"/>
              <w:rPr>
                <w:sz w:val="20"/>
                <w:szCs w:val="20"/>
                <w:color w:val="auto"/>
              </w:rPr>
            </w:pPr>
            <w:r>
              <w:rPr>
                <w:rFonts w:ascii="Arial" w:cs="Arial" w:eastAsia="Arial" w:hAnsi="Arial"/>
                <w:sz w:val="19"/>
                <w:szCs w:val="19"/>
                <w:color w:val="auto"/>
              </w:rPr>
              <w:t>BUSINESS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1A.</w:t>
            </w:r>
          </w:p>
        </w:tc>
        <w:tc>
          <w:tcPr>
            <w:tcW w:w="8240" w:type="dxa"/>
            <w:vAlign w:val="bottom"/>
          </w:tcPr>
          <w:p>
            <w:pPr>
              <w:ind w:left="60"/>
              <w:spacing w:after="0"/>
              <w:rPr>
                <w:sz w:val="20"/>
                <w:szCs w:val="20"/>
                <w:color w:val="auto"/>
              </w:rPr>
            </w:pPr>
            <w:r>
              <w:rPr>
                <w:rFonts w:ascii="Arial" w:cs="Arial" w:eastAsia="Arial" w:hAnsi="Arial"/>
                <w:sz w:val="19"/>
                <w:szCs w:val="19"/>
                <w:color w:val="auto"/>
              </w:rPr>
              <w:t>RISK FACTORS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1B.</w:t>
            </w:r>
          </w:p>
        </w:tc>
        <w:tc>
          <w:tcPr>
            <w:tcW w:w="8240" w:type="dxa"/>
            <w:vAlign w:val="bottom"/>
          </w:tcPr>
          <w:p>
            <w:pPr>
              <w:ind w:left="60"/>
              <w:spacing w:after="0"/>
              <w:rPr>
                <w:sz w:val="20"/>
                <w:szCs w:val="20"/>
                <w:color w:val="auto"/>
              </w:rPr>
            </w:pPr>
            <w:r>
              <w:rPr>
                <w:rFonts w:ascii="Arial" w:cs="Arial" w:eastAsia="Arial" w:hAnsi="Arial"/>
                <w:sz w:val="19"/>
                <w:szCs w:val="19"/>
                <w:color w:val="auto"/>
              </w:rPr>
              <w:t>UNRESOLVED STAFF COMMENTS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1C.</w:t>
            </w:r>
          </w:p>
        </w:tc>
        <w:tc>
          <w:tcPr>
            <w:tcW w:w="8240" w:type="dxa"/>
            <w:vAlign w:val="bottom"/>
          </w:tcPr>
          <w:p>
            <w:pPr>
              <w:ind w:left="60"/>
              <w:spacing w:after="0"/>
              <w:rPr>
                <w:sz w:val="20"/>
                <w:szCs w:val="20"/>
                <w:color w:val="auto"/>
              </w:rPr>
            </w:pPr>
            <w:r>
              <w:rPr>
                <w:rFonts w:ascii="Arial" w:cs="Arial" w:eastAsia="Arial" w:hAnsi="Arial"/>
                <w:sz w:val="19"/>
                <w:szCs w:val="19"/>
                <w:color w:val="auto"/>
              </w:rPr>
              <w:t>CYBERSECURITY</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2.</w:t>
            </w:r>
          </w:p>
        </w:tc>
        <w:tc>
          <w:tcPr>
            <w:tcW w:w="8240" w:type="dxa"/>
            <w:vAlign w:val="bottom"/>
          </w:tcPr>
          <w:p>
            <w:pPr>
              <w:ind w:left="60"/>
              <w:spacing w:after="0"/>
              <w:rPr>
                <w:sz w:val="20"/>
                <w:szCs w:val="20"/>
                <w:color w:val="auto"/>
              </w:rPr>
            </w:pPr>
            <w:r>
              <w:rPr>
                <w:rFonts w:ascii="Arial" w:cs="Arial" w:eastAsia="Arial" w:hAnsi="Arial"/>
                <w:sz w:val="19"/>
                <w:szCs w:val="19"/>
                <w:color w:val="auto"/>
              </w:rPr>
              <w:t>PROPERTIES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3.</w:t>
            </w:r>
          </w:p>
        </w:tc>
        <w:tc>
          <w:tcPr>
            <w:tcW w:w="8240" w:type="dxa"/>
            <w:vAlign w:val="bottom"/>
          </w:tcPr>
          <w:p>
            <w:pPr>
              <w:ind w:left="60"/>
              <w:spacing w:after="0"/>
              <w:rPr>
                <w:sz w:val="20"/>
                <w:szCs w:val="20"/>
                <w:color w:val="auto"/>
              </w:rPr>
            </w:pPr>
            <w:r>
              <w:rPr>
                <w:rFonts w:ascii="Arial" w:cs="Arial" w:eastAsia="Arial" w:hAnsi="Arial"/>
                <w:sz w:val="19"/>
                <w:szCs w:val="19"/>
                <w:color w:val="auto"/>
              </w:rPr>
              <w:t>LEGAL PROCEEDINGS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4.</w:t>
            </w:r>
          </w:p>
        </w:tc>
        <w:tc>
          <w:tcPr>
            <w:tcW w:w="8240" w:type="dxa"/>
            <w:vAlign w:val="bottom"/>
          </w:tcPr>
          <w:p>
            <w:pPr>
              <w:ind w:left="60"/>
              <w:spacing w:after="0"/>
              <w:rPr>
                <w:sz w:val="20"/>
                <w:szCs w:val="20"/>
                <w:color w:val="auto"/>
              </w:rPr>
            </w:pPr>
            <w:r>
              <w:rPr>
                <w:rFonts w:ascii="Arial" w:cs="Arial" w:eastAsia="Arial" w:hAnsi="Arial"/>
                <w:sz w:val="19"/>
                <w:szCs w:val="19"/>
                <w:color w:val="auto"/>
              </w:rPr>
              <w:t>MINE SAFETY DISCLOSURES</w:t>
            </w:r>
          </w:p>
        </w:tc>
      </w:tr>
      <w:tr>
        <w:trPr>
          <w:trHeight w:val="461"/>
        </w:trPr>
        <w:tc>
          <w:tcPr>
            <w:tcW w:w="1340" w:type="dxa"/>
            <w:vAlign w:val="bottom"/>
          </w:tcPr>
          <w:p>
            <w:pPr>
              <w:ind w:left="60"/>
              <w:spacing w:after="0"/>
              <w:rPr>
                <w:sz w:val="20"/>
                <w:szCs w:val="20"/>
                <w:color w:val="auto"/>
              </w:rPr>
            </w:pPr>
            <w:r>
              <w:rPr>
                <w:rFonts w:ascii="Arial" w:cs="Arial" w:eastAsia="Arial" w:hAnsi="Arial"/>
                <w:sz w:val="19"/>
                <w:szCs w:val="19"/>
                <w:color w:val="auto"/>
              </w:rPr>
              <w:t>PART II</w:t>
            </w:r>
          </w:p>
        </w:tc>
        <w:tc>
          <w:tcPr>
            <w:tcW w:w="8240" w:type="dxa"/>
            <w:vAlign w:val="bottom"/>
          </w:tcPr>
          <w:p>
            <w:pPr>
              <w:spacing w:after="0"/>
              <w:rPr>
                <w:sz w:val="24"/>
                <w:szCs w:val="24"/>
                <w:color w:val="auto"/>
              </w:rPr>
            </w:pPr>
          </w:p>
        </w:tc>
      </w:tr>
      <w:tr>
        <w:trPr>
          <w:trHeight w:val="197"/>
        </w:trPr>
        <w:tc>
          <w:tcPr>
            <w:tcW w:w="1340" w:type="dxa"/>
            <w:vAlign w:val="bottom"/>
          </w:tcPr>
          <w:p>
            <w:pPr>
              <w:ind w:left="400"/>
              <w:spacing w:after="0" w:line="196" w:lineRule="exact"/>
              <w:rPr>
                <w:sz w:val="20"/>
                <w:szCs w:val="20"/>
                <w:color w:val="auto"/>
              </w:rPr>
            </w:pPr>
            <w:r>
              <w:rPr>
                <w:rFonts w:ascii="Arial" w:cs="Arial" w:eastAsia="Arial" w:hAnsi="Arial"/>
                <w:sz w:val="19"/>
                <w:szCs w:val="19"/>
                <w:color w:val="auto"/>
              </w:rPr>
              <w:t>ITEM 5.</w:t>
            </w:r>
          </w:p>
        </w:tc>
        <w:tc>
          <w:tcPr>
            <w:tcW w:w="8240" w:type="dxa"/>
            <w:vAlign w:val="bottom"/>
          </w:tcPr>
          <w:p>
            <w:pPr>
              <w:ind w:left="60"/>
              <w:spacing w:after="0" w:line="196" w:lineRule="exact"/>
              <w:rPr>
                <w:sz w:val="20"/>
                <w:szCs w:val="20"/>
                <w:color w:val="auto"/>
              </w:rPr>
            </w:pPr>
            <w:r>
              <w:rPr>
                <w:rFonts w:ascii="Arial" w:cs="Arial" w:eastAsia="Arial" w:hAnsi="Arial"/>
                <w:sz w:val="19"/>
                <w:szCs w:val="19"/>
                <w:color w:val="auto"/>
                <w:w w:val="98"/>
              </w:rPr>
              <w:t>MARKET FOR REGISTRANT’S COMMON EQUITY, RELATED STOCKHOLDER MATTERS AND</w:t>
            </w:r>
          </w:p>
        </w:tc>
      </w:tr>
      <w:tr>
        <w:trPr>
          <w:trHeight w:val="251"/>
        </w:trPr>
        <w:tc>
          <w:tcPr>
            <w:tcW w:w="1340" w:type="dxa"/>
            <w:vAlign w:val="bottom"/>
          </w:tcPr>
          <w:p>
            <w:pPr>
              <w:spacing w:after="0"/>
              <w:rPr>
                <w:sz w:val="21"/>
                <w:szCs w:val="21"/>
                <w:color w:val="auto"/>
              </w:rPr>
            </w:pPr>
          </w:p>
        </w:tc>
        <w:tc>
          <w:tcPr>
            <w:tcW w:w="8240" w:type="dxa"/>
            <w:vAlign w:val="bottom"/>
          </w:tcPr>
          <w:p>
            <w:pPr>
              <w:ind w:left="60"/>
              <w:spacing w:after="0"/>
              <w:rPr>
                <w:sz w:val="20"/>
                <w:szCs w:val="20"/>
                <w:color w:val="auto"/>
              </w:rPr>
            </w:pPr>
            <w:r>
              <w:rPr>
                <w:rFonts w:ascii="Arial" w:cs="Arial" w:eastAsia="Arial" w:hAnsi="Arial"/>
                <w:sz w:val="19"/>
                <w:szCs w:val="19"/>
                <w:color w:val="auto"/>
              </w:rPr>
              <w:t>ISSUER PURCHASES OF EQUITY SECURITIES</w:t>
            </w:r>
          </w:p>
        </w:tc>
      </w:tr>
      <w:tr>
        <w:trPr>
          <w:trHeight w:val="272"/>
        </w:trPr>
        <w:tc>
          <w:tcPr>
            <w:tcW w:w="1340" w:type="dxa"/>
            <w:vAlign w:val="bottom"/>
          </w:tcPr>
          <w:p>
            <w:pPr>
              <w:ind w:left="400"/>
              <w:spacing w:after="0"/>
              <w:rPr>
                <w:sz w:val="20"/>
                <w:szCs w:val="20"/>
                <w:color w:val="auto"/>
              </w:rPr>
            </w:pPr>
            <w:r>
              <w:rPr>
                <w:rFonts w:ascii="Arial" w:cs="Arial" w:eastAsia="Arial" w:hAnsi="Arial"/>
                <w:sz w:val="19"/>
                <w:szCs w:val="19"/>
                <w:color w:val="auto"/>
              </w:rPr>
              <w:t>ITEM 6.</w:t>
            </w:r>
          </w:p>
        </w:tc>
        <w:tc>
          <w:tcPr>
            <w:tcW w:w="8240" w:type="dxa"/>
            <w:vAlign w:val="bottom"/>
          </w:tcPr>
          <w:p>
            <w:pPr>
              <w:ind w:left="60"/>
              <w:spacing w:after="0"/>
              <w:rPr>
                <w:sz w:val="20"/>
                <w:szCs w:val="20"/>
                <w:color w:val="auto"/>
              </w:rPr>
            </w:pPr>
            <w:r>
              <w:rPr>
                <w:rFonts w:ascii="Arial" w:cs="Arial" w:eastAsia="Arial" w:hAnsi="Arial"/>
                <w:sz w:val="19"/>
                <w:szCs w:val="19"/>
                <w:color w:val="auto"/>
              </w:rPr>
              <w:t>[RESERVED]</w:t>
            </w:r>
          </w:p>
        </w:tc>
      </w:tr>
      <w:tr>
        <w:trPr>
          <w:trHeight w:val="197"/>
        </w:trPr>
        <w:tc>
          <w:tcPr>
            <w:tcW w:w="1340" w:type="dxa"/>
            <w:vAlign w:val="bottom"/>
          </w:tcPr>
          <w:p>
            <w:pPr>
              <w:ind w:left="400"/>
              <w:spacing w:after="0" w:line="196" w:lineRule="exact"/>
              <w:rPr>
                <w:sz w:val="20"/>
                <w:szCs w:val="20"/>
                <w:color w:val="auto"/>
              </w:rPr>
            </w:pPr>
            <w:r>
              <w:rPr>
                <w:rFonts w:ascii="Arial" w:cs="Arial" w:eastAsia="Arial" w:hAnsi="Arial"/>
                <w:sz w:val="19"/>
                <w:szCs w:val="19"/>
                <w:color w:val="auto"/>
              </w:rPr>
              <w:t>ITEM 7.</w:t>
            </w:r>
          </w:p>
        </w:tc>
        <w:tc>
          <w:tcPr>
            <w:tcW w:w="8240" w:type="dxa"/>
            <w:vAlign w:val="bottom"/>
          </w:tcPr>
          <w:p>
            <w:pPr>
              <w:ind w:left="60"/>
              <w:spacing w:after="0" w:line="196" w:lineRule="exact"/>
              <w:rPr>
                <w:sz w:val="20"/>
                <w:szCs w:val="20"/>
                <w:color w:val="auto"/>
              </w:rPr>
            </w:pPr>
            <w:r>
              <w:rPr>
                <w:rFonts w:ascii="Arial" w:cs="Arial" w:eastAsia="Arial" w:hAnsi="Arial"/>
                <w:sz w:val="19"/>
                <w:szCs w:val="19"/>
                <w:color w:val="auto"/>
              </w:rPr>
              <w:t>MANAGEMENT’S DISCUSSION AND ANALYSIS OF FINANCIAL CONDITION AND RESULTS</w:t>
            </w:r>
          </w:p>
        </w:tc>
      </w:tr>
      <w:tr>
        <w:trPr>
          <w:trHeight w:val="251"/>
        </w:trPr>
        <w:tc>
          <w:tcPr>
            <w:tcW w:w="1340" w:type="dxa"/>
            <w:vAlign w:val="bottom"/>
          </w:tcPr>
          <w:p>
            <w:pPr>
              <w:spacing w:after="0"/>
              <w:rPr>
                <w:sz w:val="21"/>
                <w:szCs w:val="21"/>
                <w:color w:val="auto"/>
              </w:rPr>
            </w:pPr>
          </w:p>
        </w:tc>
        <w:tc>
          <w:tcPr>
            <w:tcW w:w="8240" w:type="dxa"/>
            <w:vAlign w:val="bottom"/>
          </w:tcPr>
          <w:p>
            <w:pPr>
              <w:ind w:left="60"/>
              <w:spacing w:after="0"/>
              <w:rPr>
                <w:sz w:val="20"/>
                <w:szCs w:val="20"/>
                <w:color w:val="auto"/>
              </w:rPr>
            </w:pPr>
            <w:r>
              <w:rPr>
                <w:rFonts w:ascii="Arial" w:cs="Arial" w:eastAsia="Arial" w:hAnsi="Arial"/>
                <w:sz w:val="19"/>
                <w:szCs w:val="19"/>
                <w:color w:val="auto"/>
              </w:rPr>
              <w:t>OF OPERATIONS</w:t>
            </w:r>
          </w:p>
        </w:tc>
      </w:tr>
      <w:tr>
        <w:trPr>
          <w:trHeight w:val="272"/>
        </w:trPr>
        <w:tc>
          <w:tcPr>
            <w:tcW w:w="1340" w:type="dxa"/>
            <w:vAlign w:val="bottom"/>
          </w:tcPr>
          <w:p>
            <w:pPr>
              <w:ind w:left="400"/>
              <w:spacing w:after="0"/>
              <w:rPr>
                <w:sz w:val="20"/>
                <w:szCs w:val="20"/>
                <w:color w:val="auto"/>
              </w:rPr>
            </w:pPr>
            <w:r>
              <w:rPr>
                <w:rFonts w:ascii="Arial" w:cs="Arial" w:eastAsia="Arial" w:hAnsi="Arial"/>
                <w:sz w:val="19"/>
                <w:szCs w:val="19"/>
                <w:color w:val="auto"/>
              </w:rPr>
              <w:t>ITEM 7A.</w:t>
            </w:r>
          </w:p>
        </w:tc>
        <w:tc>
          <w:tcPr>
            <w:tcW w:w="8240" w:type="dxa"/>
            <w:vAlign w:val="bottom"/>
          </w:tcPr>
          <w:p>
            <w:pPr>
              <w:ind w:left="60"/>
              <w:spacing w:after="0"/>
              <w:rPr>
                <w:sz w:val="20"/>
                <w:szCs w:val="20"/>
                <w:color w:val="auto"/>
              </w:rPr>
            </w:pPr>
            <w:r>
              <w:rPr>
                <w:rFonts w:ascii="Arial" w:cs="Arial" w:eastAsia="Arial" w:hAnsi="Arial"/>
                <w:sz w:val="19"/>
                <w:szCs w:val="19"/>
                <w:color w:val="auto"/>
              </w:rPr>
              <w:t>QUANTITATIVE AND QUALITATIVE DISCLOSURES ABOUT MARKET RISK</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8.</w:t>
            </w:r>
          </w:p>
        </w:tc>
        <w:tc>
          <w:tcPr>
            <w:tcW w:w="8240" w:type="dxa"/>
            <w:vAlign w:val="bottom"/>
          </w:tcPr>
          <w:p>
            <w:pPr>
              <w:ind w:left="60"/>
              <w:spacing w:after="0"/>
              <w:rPr>
                <w:sz w:val="20"/>
                <w:szCs w:val="20"/>
                <w:color w:val="auto"/>
              </w:rPr>
            </w:pPr>
            <w:r>
              <w:rPr>
                <w:rFonts w:ascii="Arial" w:cs="Arial" w:eastAsia="Arial" w:hAnsi="Arial"/>
                <w:sz w:val="19"/>
                <w:szCs w:val="19"/>
                <w:color w:val="auto"/>
              </w:rPr>
              <w:t>FINANCIAL STATEMENTS AND SUPPLEMENTARY DATA</w:t>
            </w:r>
          </w:p>
        </w:tc>
      </w:tr>
      <w:tr>
        <w:trPr>
          <w:trHeight w:val="197"/>
        </w:trPr>
        <w:tc>
          <w:tcPr>
            <w:tcW w:w="1340" w:type="dxa"/>
            <w:vAlign w:val="bottom"/>
          </w:tcPr>
          <w:p>
            <w:pPr>
              <w:ind w:left="400"/>
              <w:spacing w:after="0" w:line="196" w:lineRule="exact"/>
              <w:rPr>
                <w:sz w:val="20"/>
                <w:szCs w:val="20"/>
                <w:color w:val="auto"/>
              </w:rPr>
            </w:pPr>
            <w:r>
              <w:rPr>
                <w:rFonts w:ascii="Arial" w:cs="Arial" w:eastAsia="Arial" w:hAnsi="Arial"/>
                <w:sz w:val="19"/>
                <w:szCs w:val="19"/>
                <w:color w:val="auto"/>
              </w:rPr>
              <w:t>ITEM 9.</w:t>
            </w:r>
          </w:p>
        </w:tc>
        <w:tc>
          <w:tcPr>
            <w:tcW w:w="8240" w:type="dxa"/>
            <w:vAlign w:val="bottom"/>
          </w:tcPr>
          <w:p>
            <w:pPr>
              <w:ind w:left="60"/>
              <w:spacing w:after="0" w:line="196" w:lineRule="exact"/>
              <w:rPr>
                <w:sz w:val="20"/>
                <w:szCs w:val="20"/>
                <w:color w:val="auto"/>
              </w:rPr>
            </w:pPr>
            <w:r>
              <w:rPr>
                <w:rFonts w:ascii="Arial" w:cs="Arial" w:eastAsia="Arial" w:hAnsi="Arial"/>
                <w:sz w:val="19"/>
                <w:szCs w:val="19"/>
                <w:color w:val="auto"/>
              </w:rPr>
              <w:t>CHANGES IN AND DISAGREEMENTS WITH ACCOUNTANTS ON ACCOUNTING AND</w:t>
            </w:r>
          </w:p>
        </w:tc>
      </w:tr>
      <w:tr>
        <w:trPr>
          <w:trHeight w:val="251"/>
        </w:trPr>
        <w:tc>
          <w:tcPr>
            <w:tcW w:w="1340" w:type="dxa"/>
            <w:vAlign w:val="bottom"/>
          </w:tcPr>
          <w:p>
            <w:pPr>
              <w:spacing w:after="0"/>
              <w:rPr>
                <w:sz w:val="21"/>
                <w:szCs w:val="21"/>
                <w:color w:val="auto"/>
              </w:rPr>
            </w:pPr>
          </w:p>
        </w:tc>
        <w:tc>
          <w:tcPr>
            <w:tcW w:w="8240" w:type="dxa"/>
            <w:vAlign w:val="bottom"/>
          </w:tcPr>
          <w:p>
            <w:pPr>
              <w:ind w:left="60"/>
              <w:spacing w:after="0"/>
              <w:rPr>
                <w:sz w:val="20"/>
                <w:szCs w:val="20"/>
                <w:color w:val="auto"/>
              </w:rPr>
            </w:pPr>
            <w:r>
              <w:rPr>
                <w:rFonts w:ascii="Arial" w:cs="Arial" w:eastAsia="Arial" w:hAnsi="Arial"/>
                <w:sz w:val="19"/>
                <w:szCs w:val="19"/>
                <w:color w:val="auto"/>
              </w:rPr>
              <w:t>FINANCIAL DISCLOSURE</w:t>
            </w:r>
          </w:p>
        </w:tc>
      </w:tr>
      <w:tr>
        <w:trPr>
          <w:trHeight w:val="272"/>
        </w:trPr>
        <w:tc>
          <w:tcPr>
            <w:tcW w:w="1340" w:type="dxa"/>
            <w:vAlign w:val="bottom"/>
          </w:tcPr>
          <w:p>
            <w:pPr>
              <w:ind w:left="400"/>
              <w:spacing w:after="0"/>
              <w:rPr>
                <w:sz w:val="20"/>
                <w:szCs w:val="20"/>
                <w:color w:val="auto"/>
              </w:rPr>
            </w:pPr>
            <w:r>
              <w:rPr>
                <w:rFonts w:ascii="Arial" w:cs="Arial" w:eastAsia="Arial" w:hAnsi="Arial"/>
                <w:sz w:val="19"/>
                <w:szCs w:val="19"/>
                <w:color w:val="auto"/>
              </w:rPr>
              <w:t>ITEM 9A.</w:t>
            </w:r>
          </w:p>
        </w:tc>
        <w:tc>
          <w:tcPr>
            <w:tcW w:w="8240" w:type="dxa"/>
            <w:vAlign w:val="bottom"/>
          </w:tcPr>
          <w:p>
            <w:pPr>
              <w:ind w:left="60"/>
              <w:spacing w:after="0"/>
              <w:rPr>
                <w:sz w:val="20"/>
                <w:szCs w:val="20"/>
                <w:color w:val="auto"/>
              </w:rPr>
            </w:pPr>
            <w:r>
              <w:rPr>
                <w:rFonts w:ascii="Arial" w:cs="Arial" w:eastAsia="Arial" w:hAnsi="Arial"/>
                <w:sz w:val="19"/>
                <w:szCs w:val="19"/>
                <w:color w:val="auto"/>
              </w:rPr>
              <w:t>CONTROLS AND PROCEDURES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9B.</w:t>
            </w:r>
          </w:p>
        </w:tc>
        <w:tc>
          <w:tcPr>
            <w:tcW w:w="8240" w:type="dxa"/>
            <w:vAlign w:val="bottom"/>
          </w:tcPr>
          <w:p>
            <w:pPr>
              <w:ind w:left="60"/>
              <w:spacing w:after="0"/>
              <w:rPr>
                <w:sz w:val="20"/>
                <w:szCs w:val="20"/>
                <w:color w:val="auto"/>
              </w:rPr>
            </w:pPr>
            <w:r>
              <w:rPr>
                <w:rFonts w:ascii="Arial" w:cs="Arial" w:eastAsia="Arial" w:hAnsi="Arial"/>
                <w:sz w:val="19"/>
                <w:szCs w:val="19"/>
                <w:color w:val="auto"/>
              </w:rPr>
              <w:t>OTHER INFORMATION</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9C.</w:t>
            </w:r>
          </w:p>
        </w:tc>
        <w:tc>
          <w:tcPr>
            <w:tcW w:w="8240" w:type="dxa"/>
            <w:vAlign w:val="bottom"/>
          </w:tcPr>
          <w:p>
            <w:pPr>
              <w:ind w:left="60"/>
              <w:spacing w:after="0"/>
              <w:rPr>
                <w:sz w:val="20"/>
                <w:szCs w:val="20"/>
                <w:color w:val="auto"/>
              </w:rPr>
            </w:pPr>
            <w:r>
              <w:rPr>
                <w:rFonts w:ascii="Arial" w:cs="Arial" w:eastAsia="Arial" w:hAnsi="Arial"/>
                <w:sz w:val="19"/>
                <w:szCs w:val="19"/>
                <w:color w:val="auto"/>
              </w:rPr>
              <w:t>DISCLOSURE REGARDING FOREIGN JURISDICTIONS THAT PREVENT INSPECTION</w:t>
            </w:r>
          </w:p>
        </w:tc>
      </w:tr>
      <w:tr>
        <w:trPr>
          <w:trHeight w:val="432"/>
        </w:trPr>
        <w:tc>
          <w:tcPr>
            <w:tcW w:w="1340" w:type="dxa"/>
            <w:vAlign w:val="bottom"/>
          </w:tcPr>
          <w:p>
            <w:pPr>
              <w:ind w:left="60"/>
              <w:spacing w:after="0"/>
              <w:rPr>
                <w:sz w:val="20"/>
                <w:szCs w:val="20"/>
                <w:color w:val="auto"/>
              </w:rPr>
            </w:pPr>
            <w:r>
              <w:rPr>
                <w:rFonts w:ascii="Arial" w:cs="Arial" w:eastAsia="Arial" w:hAnsi="Arial"/>
                <w:sz w:val="19"/>
                <w:szCs w:val="19"/>
                <w:color w:val="auto"/>
              </w:rPr>
              <w:t>PART III</w:t>
            </w:r>
          </w:p>
        </w:tc>
        <w:tc>
          <w:tcPr>
            <w:tcW w:w="8240" w:type="dxa"/>
            <w:vAlign w:val="bottom"/>
          </w:tcPr>
          <w:p>
            <w:pPr>
              <w:spacing w:after="0"/>
              <w:rPr>
                <w:sz w:val="24"/>
                <w:szCs w:val="24"/>
                <w:color w:val="auto"/>
              </w:rPr>
            </w:pP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10.</w:t>
            </w:r>
          </w:p>
        </w:tc>
        <w:tc>
          <w:tcPr>
            <w:tcW w:w="8240" w:type="dxa"/>
            <w:vAlign w:val="bottom"/>
          </w:tcPr>
          <w:p>
            <w:pPr>
              <w:ind w:left="60"/>
              <w:spacing w:after="0"/>
              <w:rPr>
                <w:sz w:val="20"/>
                <w:szCs w:val="20"/>
                <w:color w:val="auto"/>
              </w:rPr>
            </w:pPr>
            <w:r>
              <w:rPr>
                <w:rFonts w:ascii="Arial" w:cs="Arial" w:eastAsia="Arial" w:hAnsi="Arial"/>
                <w:sz w:val="19"/>
                <w:szCs w:val="19"/>
                <w:color w:val="auto"/>
              </w:rPr>
              <w:t>DIRECTORS, EXECUTIVE OFFICERS AND CORPORATE GOVERNANCE</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11.</w:t>
            </w:r>
          </w:p>
        </w:tc>
        <w:tc>
          <w:tcPr>
            <w:tcW w:w="8240" w:type="dxa"/>
            <w:vAlign w:val="bottom"/>
          </w:tcPr>
          <w:p>
            <w:pPr>
              <w:ind w:left="60"/>
              <w:spacing w:after="0"/>
              <w:rPr>
                <w:sz w:val="20"/>
                <w:szCs w:val="20"/>
                <w:color w:val="auto"/>
              </w:rPr>
            </w:pPr>
            <w:r>
              <w:rPr>
                <w:rFonts w:ascii="Arial" w:cs="Arial" w:eastAsia="Arial" w:hAnsi="Arial"/>
                <w:sz w:val="19"/>
                <w:szCs w:val="19"/>
                <w:color w:val="auto"/>
              </w:rPr>
              <w:t>EXECUTIVE COMPENSATION</w:t>
            </w:r>
          </w:p>
        </w:tc>
      </w:tr>
      <w:tr>
        <w:trPr>
          <w:trHeight w:val="197"/>
        </w:trPr>
        <w:tc>
          <w:tcPr>
            <w:tcW w:w="1340" w:type="dxa"/>
            <w:vAlign w:val="bottom"/>
          </w:tcPr>
          <w:p>
            <w:pPr>
              <w:ind w:left="400"/>
              <w:spacing w:after="0" w:line="196" w:lineRule="exact"/>
              <w:rPr>
                <w:sz w:val="20"/>
                <w:szCs w:val="20"/>
                <w:color w:val="auto"/>
              </w:rPr>
            </w:pPr>
            <w:r>
              <w:rPr>
                <w:rFonts w:ascii="Arial" w:cs="Arial" w:eastAsia="Arial" w:hAnsi="Arial"/>
                <w:sz w:val="19"/>
                <w:szCs w:val="19"/>
                <w:color w:val="auto"/>
              </w:rPr>
              <w:t>ITEM 12.</w:t>
            </w:r>
          </w:p>
        </w:tc>
        <w:tc>
          <w:tcPr>
            <w:tcW w:w="8240" w:type="dxa"/>
            <w:vAlign w:val="bottom"/>
          </w:tcPr>
          <w:p>
            <w:pPr>
              <w:ind w:left="60"/>
              <w:spacing w:after="0" w:line="196" w:lineRule="exact"/>
              <w:rPr>
                <w:sz w:val="20"/>
                <w:szCs w:val="20"/>
                <w:color w:val="auto"/>
              </w:rPr>
            </w:pPr>
            <w:r>
              <w:rPr>
                <w:rFonts w:ascii="Arial" w:cs="Arial" w:eastAsia="Arial" w:hAnsi="Arial"/>
                <w:sz w:val="19"/>
                <w:szCs w:val="19"/>
                <w:color w:val="auto"/>
              </w:rPr>
              <w:t>SECURITY OWNERSHIP OF CERTAIN BENEFICIAL OWNERS AND MANAGEMENT AND</w:t>
            </w:r>
          </w:p>
        </w:tc>
      </w:tr>
      <w:tr>
        <w:trPr>
          <w:trHeight w:val="251"/>
        </w:trPr>
        <w:tc>
          <w:tcPr>
            <w:tcW w:w="1340" w:type="dxa"/>
            <w:vAlign w:val="bottom"/>
          </w:tcPr>
          <w:p>
            <w:pPr>
              <w:spacing w:after="0"/>
              <w:rPr>
                <w:sz w:val="21"/>
                <w:szCs w:val="21"/>
                <w:color w:val="auto"/>
              </w:rPr>
            </w:pPr>
          </w:p>
        </w:tc>
        <w:tc>
          <w:tcPr>
            <w:tcW w:w="8240" w:type="dxa"/>
            <w:vAlign w:val="bottom"/>
          </w:tcPr>
          <w:p>
            <w:pPr>
              <w:ind w:left="60"/>
              <w:spacing w:after="0"/>
              <w:rPr>
                <w:sz w:val="20"/>
                <w:szCs w:val="20"/>
                <w:color w:val="auto"/>
              </w:rPr>
            </w:pPr>
            <w:r>
              <w:rPr>
                <w:rFonts w:ascii="Arial" w:cs="Arial" w:eastAsia="Arial" w:hAnsi="Arial"/>
                <w:sz w:val="19"/>
                <w:szCs w:val="19"/>
                <w:color w:val="auto"/>
              </w:rPr>
              <w:t>RELATED STOCKHOLDER MATTERS</w:t>
            </w:r>
          </w:p>
        </w:tc>
      </w:tr>
      <w:tr>
        <w:trPr>
          <w:trHeight w:val="195"/>
        </w:trPr>
        <w:tc>
          <w:tcPr>
            <w:tcW w:w="1340" w:type="dxa"/>
            <w:vAlign w:val="bottom"/>
          </w:tcPr>
          <w:p>
            <w:pPr>
              <w:ind w:left="400"/>
              <w:spacing w:after="0" w:line="195" w:lineRule="exact"/>
              <w:rPr>
                <w:sz w:val="20"/>
                <w:szCs w:val="20"/>
                <w:color w:val="auto"/>
              </w:rPr>
            </w:pPr>
            <w:r>
              <w:rPr>
                <w:rFonts w:ascii="Arial" w:cs="Arial" w:eastAsia="Arial" w:hAnsi="Arial"/>
                <w:sz w:val="19"/>
                <w:szCs w:val="19"/>
                <w:color w:val="auto"/>
              </w:rPr>
              <w:t>ITEM 13.</w:t>
            </w:r>
          </w:p>
        </w:tc>
        <w:tc>
          <w:tcPr>
            <w:tcW w:w="8240" w:type="dxa"/>
            <w:vAlign w:val="bottom"/>
          </w:tcPr>
          <w:p>
            <w:pPr>
              <w:ind w:left="60"/>
              <w:spacing w:after="0" w:line="195" w:lineRule="exact"/>
              <w:rPr>
                <w:sz w:val="20"/>
                <w:szCs w:val="20"/>
                <w:color w:val="auto"/>
              </w:rPr>
            </w:pPr>
            <w:r>
              <w:rPr>
                <w:rFonts w:ascii="Arial" w:cs="Arial" w:eastAsia="Arial" w:hAnsi="Arial"/>
                <w:sz w:val="19"/>
                <w:szCs w:val="19"/>
                <w:color w:val="auto"/>
              </w:rPr>
              <w:t>CERTAIN RELATIONSHIPS AND RELATED TRANSACTIONS, AND DIRECTOR</w:t>
            </w:r>
          </w:p>
        </w:tc>
      </w:tr>
      <w:tr>
        <w:trPr>
          <w:trHeight w:val="251"/>
        </w:trPr>
        <w:tc>
          <w:tcPr>
            <w:tcW w:w="1340" w:type="dxa"/>
            <w:vAlign w:val="bottom"/>
          </w:tcPr>
          <w:p>
            <w:pPr>
              <w:spacing w:after="0"/>
              <w:rPr>
                <w:sz w:val="21"/>
                <w:szCs w:val="21"/>
                <w:color w:val="auto"/>
              </w:rPr>
            </w:pPr>
          </w:p>
        </w:tc>
        <w:tc>
          <w:tcPr>
            <w:tcW w:w="8240" w:type="dxa"/>
            <w:vAlign w:val="bottom"/>
          </w:tcPr>
          <w:p>
            <w:pPr>
              <w:ind w:left="60"/>
              <w:spacing w:after="0"/>
              <w:rPr>
                <w:sz w:val="20"/>
                <w:szCs w:val="20"/>
                <w:color w:val="auto"/>
              </w:rPr>
            </w:pPr>
            <w:r>
              <w:rPr>
                <w:rFonts w:ascii="Arial" w:cs="Arial" w:eastAsia="Arial" w:hAnsi="Arial"/>
                <w:sz w:val="19"/>
                <w:szCs w:val="19"/>
                <w:color w:val="auto"/>
              </w:rPr>
              <w:t>INDEPENDENCE</w:t>
            </w:r>
          </w:p>
        </w:tc>
      </w:tr>
      <w:tr>
        <w:trPr>
          <w:trHeight w:val="272"/>
        </w:trPr>
        <w:tc>
          <w:tcPr>
            <w:tcW w:w="1340" w:type="dxa"/>
            <w:vAlign w:val="bottom"/>
          </w:tcPr>
          <w:p>
            <w:pPr>
              <w:ind w:left="400"/>
              <w:spacing w:after="0"/>
              <w:rPr>
                <w:sz w:val="20"/>
                <w:szCs w:val="20"/>
                <w:color w:val="auto"/>
              </w:rPr>
            </w:pPr>
            <w:r>
              <w:rPr>
                <w:rFonts w:ascii="Arial" w:cs="Arial" w:eastAsia="Arial" w:hAnsi="Arial"/>
                <w:sz w:val="19"/>
                <w:szCs w:val="19"/>
                <w:color w:val="auto"/>
              </w:rPr>
              <w:t>ITEM 14.</w:t>
            </w:r>
          </w:p>
        </w:tc>
        <w:tc>
          <w:tcPr>
            <w:tcW w:w="8240" w:type="dxa"/>
            <w:vAlign w:val="bottom"/>
          </w:tcPr>
          <w:p>
            <w:pPr>
              <w:ind w:left="60"/>
              <w:spacing w:after="0"/>
              <w:rPr>
                <w:sz w:val="20"/>
                <w:szCs w:val="20"/>
                <w:color w:val="auto"/>
              </w:rPr>
            </w:pPr>
            <w:r>
              <w:rPr>
                <w:rFonts w:ascii="Arial" w:cs="Arial" w:eastAsia="Arial" w:hAnsi="Arial"/>
                <w:sz w:val="19"/>
                <w:szCs w:val="19"/>
                <w:color w:val="auto"/>
              </w:rPr>
              <w:t>PRINCIPAL ACCOUNTANT FEES AND SERVICES</w:t>
            </w:r>
          </w:p>
        </w:tc>
      </w:tr>
      <w:tr>
        <w:trPr>
          <w:trHeight w:val="461"/>
        </w:trPr>
        <w:tc>
          <w:tcPr>
            <w:tcW w:w="1340" w:type="dxa"/>
            <w:vAlign w:val="bottom"/>
          </w:tcPr>
          <w:p>
            <w:pPr>
              <w:ind w:left="60"/>
              <w:spacing w:after="0"/>
              <w:rPr>
                <w:sz w:val="20"/>
                <w:szCs w:val="20"/>
                <w:color w:val="auto"/>
              </w:rPr>
            </w:pPr>
            <w:r>
              <w:rPr>
                <w:rFonts w:ascii="Arial" w:cs="Arial" w:eastAsia="Arial" w:hAnsi="Arial"/>
                <w:sz w:val="19"/>
                <w:szCs w:val="19"/>
                <w:color w:val="auto"/>
              </w:rPr>
              <w:t>PART IV</w:t>
            </w:r>
          </w:p>
        </w:tc>
        <w:tc>
          <w:tcPr>
            <w:tcW w:w="8240" w:type="dxa"/>
            <w:vAlign w:val="bottom"/>
          </w:tcPr>
          <w:p>
            <w:pPr>
              <w:spacing w:after="0"/>
              <w:rPr>
                <w:sz w:val="24"/>
                <w:szCs w:val="24"/>
                <w:color w:val="auto"/>
              </w:rPr>
            </w:pP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15.</w:t>
            </w:r>
          </w:p>
        </w:tc>
        <w:tc>
          <w:tcPr>
            <w:tcW w:w="8240" w:type="dxa"/>
            <w:vAlign w:val="bottom"/>
          </w:tcPr>
          <w:p>
            <w:pPr>
              <w:ind w:left="60"/>
              <w:spacing w:after="0"/>
              <w:rPr>
                <w:sz w:val="20"/>
                <w:szCs w:val="20"/>
                <w:color w:val="auto"/>
              </w:rPr>
            </w:pPr>
            <w:r>
              <w:rPr>
                <w:rFonts w:ascii="Arial" w:cs="Arial" w:eastAsia="Arial" w:hAnsi="Arial"/>
                <w:sz w:val="19"/>
                <w:szCs w:val="19"/>
                <w:color w:val="auto"/>
              </w:rPr>
              <w:t>EXHIBITS AND FINANCIAL STATEMENT SCHEDULES</w:t>
            </w:r>
          </w:p>
        </w:tc>
      </w:tr>
      <w:tr>
        <w:trPr>
          <w:trHeight w:val="274"/>
        </w:trPr>
        <w:tc>
          <w:tcPr>
            <w:tcW w:w="1340" w:type="dxa"/>
            <w:vAlign w:val="bottom"/>
          </w:tcPr>
          <w:p>
            <w:pPr>
              <w:ind w:left="400"/>
              <w:spacing w:after="0"/>
              <w:rPr>
                <w:sz w:val="20"/>
                <w:szCs w:val="20"/>
                <w:color w:val="auto"/>
              </w:rPr>
            </w:pPr>
            <w:r>
              <w:rPr>
                <w:rFonts w:ascii="Arial" w:cs="Arial" w:eastAsia="Arial" w:hAnsi="Arial"/>
                <w:sz w:val="19"/>
                <w:szCs w:val="19"/>
                <w:color w:val="auto"/>
              </w:rPr>
              <w:t>ITEM 16.</w:t>
            </w:r>
          </w:p>
        </w:tc>
        <w:tc>
          <w:tcPr>
            <w:tcW w:w="8240" w:type="dxa"/>
            <w:vAlign w:val="bottom"/>
          </w:tcPr>
          <w:p>
            <w:pPr>
              <w:ind w:left="60"/>
              <w:spacing w:after="0"/>
              <w:rPr>
                <w:sz w:val="20"/>
                <w:szCs w:val="20"/>
                <w:color w:val="auto"/>
              </w:rPr>
            </w:pPr>
            <w:r>
              <w:rPr>
                <w:rFonts w:ascii="Arial" w:cs="Arial" w:eastAsia="Arial" w:hAnsi="Arial"/>
                <w:sz w:val="19"/>
                <w:szCs w:val="19"/>
                <w:color w:val="auto"/>
              </w:rPr>
              <w:t>FORM 10-K SUMMARY</w:t>
            </w:r>
          </w:p>
        </w:tc>
      </w:tr>
      <w:tr>
        <w:trPr>
          <w:trHeight w:val="274"/>
        </w:trPr>
        <w:tc>
          <w:tcPr>
            <w:tcW w:w="1340" w:type="dxa"/>
            <w:vAlign w:val="bottom"/>
          </w:tcPr>
          <w:p>
            <w:pPr>
              <w:ind w:left="60"/>
              <w:spacing w:after="0"/>
              <w:rPr>
                <w:sz w:val="20"/>
                <w:szCs w:val="20"/>
                <w:color w:val="auto"/>
              </w:rPr>
            </w:pPr>
            <w:r>
              <w:rPr>
                <w:rFonts w:ascii="Arial" w:cs="Arial" w:eastAsia="Arial" w:hAnsi="Arial"/>
                <w:sz w:val="19"/>
                <w:szCs w:val="19"/>
                <w:color w:val="auto"/>
              </w:rPr>
              <w:t>SIGNATURES</w:t>
            </w:r>
          </w:p>
        </w:tc>
        <w:tc>
          <w:tcPr>
            <w:tcW w:w="8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PAGE</w:t>
      </w:r>
    </w:p>
    <w:p>
      <w:pPr>
        <w:jc w:val="center"/>
        <w:spacing w:after="0"/>
        <w:rPr>
          <w:sz w:val="20"/>
          <w:szCs w:val="20"/>
          <w:color w:val="auto"/>
        </w:rPr>
      </w:pPr>
      <w:r>
        <w:rPr>
          <w:rFonts w:ascii="Arial" w:cs="Arial" w:eastAsia="Arial" w:hAnsi="Arial"/>
          <w:sz w:val="19"/>
          <w:szCs w:val="19"/>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-171450</wp:posOffset>
                </wp:positionH>
                <wp:positionV relativeFrom="paragraph">
                  <wp:posOffset>30480</wp:posOffset>
                </wp:positionV>
                <wp:extent cx="87820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9pt,2.4pt" to="55.65pt,2.4pt" o:allowincell="f" strokecolor="#000000" strokeweight="0.9609pt"/>
            </w:pict>
          </mc:Fallback>
        </mc:AlternateContent>
      </w:r>
    </w:p>
    <w:p>
      <w:pPr>
        <w:spacing w:after="0" w:line="35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6</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23</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72</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73</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74</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74</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75</w:t>
      </w: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76</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78</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78</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91</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93</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141</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142</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142</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142</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143</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143</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143</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143</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143</w:t>
      </w:r>
    </w:p>
    <w:p>
      <w:pPr>
        <w:spacing w:after="0" w:line="200" w:lineRule="exact"/>
        <w:rPr>
          <w:sz w:val="20"/>
          <w:szCs w:val="20"/>
          <w:color w:val="auto"/>
        </w:rPr>
      </w:pPr>
    </w:p>
    <w:p>
      <w:pPr>
        <w:spacing w:after="0" w:line="31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144</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147</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148</w:t>
      </w:r>
    </w:p>
    <w:p>
      <w:pPr>
        <w:spacing w:after="0" w:line="252" w:lineRule="exact"/>
        <w:rPr>
          <w:sz w:val="20"/>
          <w:szCs w:val="20"/>
          <w:color w:val="auto"/>
        </w:rPr>
      </w:pPr>
    </w:p>
    <w:p>
      <w:pPr>
        <w:sectPr>
          <w:pgSz w:w="11880" w:h="15480" w:orient="portrait"/>
          <w:cols w:equalWidth="0" w:num="2">
            <w:col w:w="9580" w:space="380"/>
            <w:col w:w="840"/>
          </w:cols>
          <w:pgMar w:left="400" w:top="756"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800"/>
          </w:cols>
          <w:pgMar w:left="400" w:top="756" w:right="680" w:bottom="0" w:gutter="0" w:footer="0" w:header="0"/>
          <w:type w:val="continuous"/>
        </w:sectPr>
      </w:pPr>
    </w:p>
    <w:bookmarkStart w:id="123" w:name="page124"/>
    <w:bookmarkEnd w:id="123"/>
    <w:p>
      <w:pPr>
        <w:jc w:val="center"/>
        <w:ind w:right="-39"/>
        <w:spacing w:after="0"/>
        <w:rPr>
          <w:sz w:val="20"/>
          <w:szCs w:val="20"/>
          <w:color w:val="auto"/>
        </w:rPr>
      </w:pPr>
      <w:r>
        <w:rPr>
          <w:rFonts w:ascii="Arial" w:cs="Arial" w:eastAsia="Arial" w:hAnsi="Arial"/>
          <w:sz w:val="19"/>
          <w:szCs w:val="19"/>
          <w:color w:val="auto"/>
        </w:rPr>
        <w:t>CAUTIONARY NOTE REGARDING FORWARD-LOOKING STATEMENTS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Annual Report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Annual Report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spacing w:after="0" w:line="76" w:lineRule="exact"/>
        <w:rPr>
          <w:sz w:val="20"/>
          <w:szCs w:val="20"/>
          <w:color w:val="auto"/>
        </w:rPr>
      </w:pPr>
    </w:p>
    <w:p>
      <w:pPr>
        <w:ind w:left="700" w:right="20" w:hanging="347"/>
        <w:spacing w:after="0" w:line="293"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domestic and foreign business, economic, market, financial, political, regulatory and legal conditions, including changes of policies, government closures of banks and liquidity concerns at other financial institutions, imposition of tariffs and threat of a trade war, a potential global economic recession or other downturn and global conflicts or other geopolitical events;</w:t>
      </w:r>
    </w:p>
    <w:p>
      <w:pPr>
        <w:spacing w:after="0" w:line="48" w:lineRule="exact"/>
        <w:rPr>
          <w:rFonts w:ascii="Arial" w:cs="Arial" w:eastAsia="Arial" w:hAnsi="Arial"/>
          <w:sz w:val="18"/>
          <w:szCs w:val="18"/>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changes in overall demand for our products and services and cancellation of orders for our vehicles;</w:t>
      </w:r>
    </w:p>
    <w:p>
      <w:pPr>
        <w:spacing w:after="0" w:line="127" w:lineRule="exact"/>
        <w:rPr>
          <w:rFonts w:ascii="Arial" w:cs="Arial" w:eastAsia="Arial" w:hAnsi="Arial"/>
          <w:sz w:val="19"/>
          <w:szCs w:val="19"/>
          <w:color w:val="auto"/>
        </w:rPr>
      </w:pPr>
    </w:p>
    <w:p>
      <w:pPr>
        <w:ind w:left="700" w:right="540" w:hanging="347"/>
        <w:spacing w:after="0" w:line="351" w:lineRule="auto"/>
        <w:tabs>
          <w:tab w:leader="none" w:pos="7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materials, our supply chain, logistics, inventory management and quality control, and our ability to complete the tooling of our manufacturing facilities over time and scale production of our vehicles;</w:t>
      </w:r>
    </w:p>
    <w:p>
      <w:pPr>
        <w:spacing w:after="0" w:line="4" w:lineRule="exact"/>
        <w:rPr>
          <w:rFonts w:ascii="Arial" w:cs="Arial" w:eastAsia="Arial" w:hAnsi="Arial"/>
          <w:sz w:val="17"/>
          <w:szCs w:val="17"/>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the uncertainty of our projected financial and operational information;</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the timing of expected business milestones and commercial product launches;</w:t>
      </w:r>
    </w:p>
    <w:p>
      <w:pPr>
        <w:spacing w:after="0" w:line="127" w:lineRule="exact"/>
        <w:rPr>
          <w:rFonts w:ascii="Arial" w:cs="Arial" w:eastAsia="Arial" w:hAnsi="Arial"/>
          <w:sz w:val="19"/>
          <w:szCs w:val="19"/>
          <w:color w:val="auto"/>
        </w:rPr>
      </w:pPr>
    </w:p>
    <w:p>
      <w:pPr>
        <w:ind w:left="700" w:right="260" w:hanging="347"/>
        <w:spacing w:after="0" w:line="289" w:lineRule="auto"/>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the expansion of our manufacturing facility, the construction of new manufacturing facilities and the increase of our production capacity;</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manage expenses and control costs;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future market adoption of our offerings;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effects of competition and the pace and depth of electric vehicle adoption generally on our business;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changes in regulatory requirements, policies, and governmental incentives;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changes in fuel and energy prices;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rapidly innovate;</w:t>
      </w:r>
    </w:p>
    <w:p>
      <w:pPr>
        <w:spacing w:after="0" w:line="127" w:lineRule="exact"/>
        <w:rPr>
          <w:rFonts w:ascii="Arial" w:cs="Arial" w:eastAsia="Arial" w:hAnsi="Arial"/>
          <w:sz w:val="19"/>
          <w:szCs w:val="19"/>
          <w:color w:val="auto"/>
        </w:rPr>
      </w:pPr>
    </w:p>
    <w:p>
      <w:pPr>
        <w:ind w:left="700" w:right="100" w:hanging="347"/>
        <w:spacing w:after="0" w:line="289" w:lineRule="auto"/>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enter into or maintain partnerships with original equipment manufacturers, vendors and technology providers, including our ability to realize the anticipated benefits of our transaction with Aston Martin;</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effectively manage our growth and recruit and retain key employees, including our executive team;</w:t>
      </w:r>
    </w:p>
    <w:p>
      <w:pPr>
        <w:spacing w:after="0" w:line="127" w:lineRule="exact"/>
        <w:rPr>
          <w:rFonts w:ascii="Arial" w:cs="Arial" w:eastAsia="Arial" w:hAnsi="Arial"/>
          <w:sz w:val="19"/>
          <w:szCs w:val="19"/>
          <w:color w:val="auto"/>
        </w:rPr>
      </w:pPr>
    </w:p>
    <w:p>
      <w:pPr>
        <w:ind w:left="700" w:right="540" w:hanging="347"/>
        <w:spacing w:after="0" w:line="318"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ongoing need to attract, retain, and motivate key employees, including engineering and management employees, as we have undertaken multiple significant management changes in the last few years, including our CEO;</w:t>
      </w:r>
    </w:p>
    <w:p>
      <w:pPr>
        <w:spacing w:after="0" w:line="27" w:lineRule="exact"/>
        <w:rPr>
          <w:rFonts w:ascii="Arial" w:cs="Arial" w:eastAsia="Arial" w:hAnsi="Arial"/>
          <w:sz w:val="18"/>
          <w:szCs w:val="18"/>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potential vehicle recalls;</w:t>
      </w:r>
    </w:p>
    <w:p>
      <w:pPr>
        <w:spacing w:after="0" w:line="127" w:lineRule="exact"/>
        <w:rPr>
          <w:rFonts w:ascii="Arial" w:cs="Arial" w:eastAsia="Arial" w:hAnsi="Arial"/>
          <w:sz w:val="19"/>
          <w:szCs w:val="19"/>
          <w:color w:val="auto"/>
        </w:rPr>
      </w:pPr>
    </w:p>
    <w:p>
      <w:pPr>
        <w:ind w:left="700" w:right="440" w:hanging="347"/>
        <w:spacing w:after="0" w:line="289" w:lineRule="auto"/>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establish and expand our brand, and capture additional market share, and the risks associated with negative press or reputational harm;</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risks related to our outstanding Redeemable Convertible Preferred Stock;</w:t>
      </w:r>
    </w:p>
    <w:p>
      <w:pPr>
        <w:spacing w:after="0" w:line="127" w:lineRule="exact"/>
        <w:rPr>
          <w:rFonts w:ascii="Arial" w:cs="Arial" w:eastAsia="Arial" w:hAnsi="Arial"/>
          <w:sz w:val="19"/>
          <w:szCs w:val="19"/>
          <w:color w:val="auto"/>
        </w:rPr>
      </w:pPr>
    </w:p>
    <w:p>
      <w:pPr>
        <w:ind w:left="700" w:right="220" w:hanging="347"/>
        <w:spacing w:after="0" w:line="289" w:lineRule="auto"/>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availability of, and our ability to obtain and effectively utilize, zero emission vehicle credits, tax incentives, and other governmental and regulatory programs and incentives;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conduct equity, equity-linked, or debt financing in the future;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our ability to pay interest and principal on our indebtedness;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future changes to vehicle specifications which may impact performance, features, pricing, and other expectations;</w:t>
      </w:r>
    </w:p>
    <w:p>
      <w:pPr>
        <w:sectPr>
          <w:pgSz w:w="11880" w:h="15480" w:orient="portrait"/>
          <w:cols w:equalWidth="0" w:num="1">
            <w:col w:w="11040"/>
          </w:cols>
          <w:pgMar w:left="400" w:top="763" w:right="440" w:bottom="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1040"/>
          </w:cols>
          <w:pgMar w:left="400" w:top="763" w:right="440" w:bottom="0" w:gutter="0" w:footer="0" w:header="0"/>
          <w:type w:val="continuous"/>
        </w:sectPr>
      </w:pPr>
    </w:p>
    <w:bookmarkStart w:id="124" w:name="page125"/>
    <w:bookmarkEnd w:id="124"/>
    <w:p>
      <w:pPr>
        <w:ind w:left="700" w:hanging="347"/>
        <w:spacing w:after="0"/>
        <w:tabs>
          <w:tab w:leader="none" w:pos="7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outcome of any potential litigation, government and regulatory proceedings, investigations and inquiries; 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other factors disclosed in this Annual Report or our other filings with the Securities and Exchange Commission (the “SEC”).</w:t>
      </w:r>
    </w:p>
    <w:p>
      <w:pPr>
        <w:spacing w:after="0" w:line="24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forward-looking statements contained in this Annual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Annual Report.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Annual Report.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Frequently Used Terms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stated in Part II Item 8. Financial Statements and Supplementary Data, or the context otherwise requires, references in this</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Annual Report to:</w:t>
      </w:r>
    </w:p>
    <w:p>
      <w:pPr>
        <w:spacing w:after="0" w:line="243" w:lineRule="exact"/>
        <w:rPr>
          <w:sz w:val="20"/>
          <w:szCs w:val="20"/>
          <w:color w:val="auto"/>
        </w:rPr>
      </w:pPr>
    </w:p>
    <w:p>
      <w:pPr>
        <w:ind w:right="4900"/>
        <w:spacing w:after="0" w:line="534" w:lineRule="auto"/>
        <w:rPr>
          <w:sz w:val="20"/>
          <w:szCs w:val="20"/>
          <w:color w:val="auto"/>
        </w:rPr>
      </w:pPr>
      <w:r>
        <w:rPr>
          <w:rFonts w:ascii="Arial" w:cs="Arial" w:eastAsia="Arial" w:hAnsi="Arial"/>
          <w:sz w:val="18"/>
          <w:szCs w:val="18"/>
          <w:color w:val="auto"/>
        </w:rPr>
        <w:t>“2026 Notes” are to the 1.25% Convertible Senior Notes due 2026; “AMP-1” are to our Advanced Manufacturing Plant-1 in Casa Grande, Arizona;</w:t>
      </w:r>
    </w:p>
    <w:p>
      <w:pPr>
        <w:spacing w:after="0" w:line="1"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color w:val="auto"/>
        </w:rPr>
        <w:t>“AMP-2” are to our planned Advanced Manufacturing Plant-2 in Saudi Arabia, which consists of a semi knocked-down (“SKD”) portion that has been completed and a completely-built-up (“CBU”) portion that will be constructed;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“Ayar” are to Ayar Third Investment Company, an affiliate of the PIF and the controlling stockholder of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“Board” or “Board of Directors” are to the board of directors of Lucid Group Inc., a Delaware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“Certificate of Designations” refers to Series A Certificate of Designations and Series B Certificate of Designations, together;</w:t>
      </w:r>
    </w:p>
    <w:p>
      <w:pPr>
        <w:spacing w:after="0" w:line="243"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“Churchill IPO” are to the initial public offering by Churchill which closed on August 3, 2020;</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“Closing” are to the consummation of the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“Closing Date” are to July 23, 2021, the date on which the Transactions were consummated;</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“common stock” are to the Class A common stock of Lucid Group, Inc., par value $0.0001 per share;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“ESG” are to Environmental, Social and Governance;</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“EV” are to electric vehicle;</w:t>
      </w:r>
    </w:p>
    <w:p>
      <w:pPr>
        <w:spacing w:after="0" w:line="243" w:lineRule="exact"/>
        <w:rPr>
          <w:sz w:val="20"/>
          <w:szCs w:val="20"/>
          <w:color w:val="auto"/>
        </w:rPr>
      </w:pPr>
    </w:p>
    <w:p>
      <w:pPr>
        <w:ind w:right="200"/>
        <w:spacing w:after="0" w:line="289" w:lineRule="auto"/>
        <w:rPr>
          <w:sz w:val="20"/>
          <w:szCs w:val="20"/>
          <w:color w:val="auto"/>
        </w:rPr>
      </w:pPr>
      <w:r>
        <w:rPr>
          <w:rFonts w:ascii="Arial" w:cs="Arial" w:eastAsia="Arial" w:hAnsi="Arial"/>
          <w:sz w:val="19"/>
          <w:szCs w:val="19"/>
          <w:color w:val="auto"/>
        </w:rPr>
        <w:t>“Investor Rights Agreement” are to the Investor Rights Agreement, dated as of February 22, 2021 and as amended from time-to-time, by and among the Company, the Sponsor, Ayar and certain other parties thereto;</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“Legacy Lucid” are to Atieva, Inc., d/b/a Lucid Motors, an exempted company incorporated with limited liability under the laws of the Cayman Islands, and its consolidated subsidiaries before the Closing Date;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“LPM-1” are to our Lucid Powertrain Manufacturing Plant-1 in Casa Grande, Arizona;</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1060"/>
          </w:cols>
          <w:pgMar w:left="400" w:top="763" w:right="420" w:bottom="0" w:gutter="0" w:footer="0" w:header="0"/>
          <w:type w:val="continuous"/>
        </w:sectPr>
      </w:pPr>
    </w:p>
    <w:bookmarkStart w:id="125" w:name="page126"/>
    <w:bookmarkEnd w:id="125"/>
    <w:p>
      <w:pPr>
        <w:ind w:right="300"/>
        <w:spacing w:after="0" w:line="289" w:lineRule="auto"/>
        <w:rPr>
          <w:sz w:val="20"/>
          <w:szCs w:val="20"/>
          <w:color w:val="auto"/>
        </w:rPr>
      </w:pPr>
      <w:r>
        <w:rPr>
          <w:rFonts w:ascii="Arial" w:cs="Arial" w:eastAsia="Arial" w:hAnsi="Arial"/>
          <w:sz w:val="19"/>
          <w:szCs w:val="19"/>
          <w:color w:val="auto"/>
        </w:rPr>
        <w:t>“Merger” are to the merger of a merger subsidiary of Churchill and Atieva, Inc., with Atieva, Inc. surviving such merger as a wholly owned subsidiary of Churchill;</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“PIF” are to the Public Investment Fund, the sovereign wealth fund of Saudi Arabia;</w:t>
      </w:r>
    </w:p>
    <w:p>
      <w:pPr>
        <w:spacing w:after="0" w:line="243" w:lineRule="exact"/>
        <w:rPr>
          <w:sz w:val="20"/>
          <w:szCs w:val="20"/>
          <w:color w:val="auto"/>
        </w:rPr>
      </w:pPr>
    </w:p>
    <w:p>
      <w:pPr>
        <w:ind w:right="240"/>
        <w:spacing w:after="0" w:line="289" w:lineRule="auto"/>
        <w:rPr>
          <w:sz w:val="20"/>
          <w:szCs w:val="20"/>
          <w:color w:val="auto"/>
        </w:rPr>
      </w:pPr>
      <w:r>
        <w:rPr>
          <w:rFonts w:ascii="Arial" w:cs="Arial" w:eastAsia="Arial" w:hAnsi="Arial"/>
          <w:sz w:val="19"/>
          <w:szCs w:val="19"/>
          <w:color w:val="auto"/>
        </w:rPr>
        <w:t>“Private Placement Warrants” are to Churchill’s warrants issued to the Sponsor in a private placement simultaneously with the closing of the Churchill IPO;</w:t>
      </w:r>
    </w:p>
    <w:p>
      <w:pPr>
        <w:spacing w:after="0" w:line="165" w:lineRule="exact"/>
        <w:rPr>
          <w:sz w:val="20"/>
          <w:szCs w:val="20"/>
          <w:color w:val="auto"/>
        </w:rPr>
      </w:pPr>
    </w:p>
    <w:p>
      <w:pPr>
        <w:ind w:right="60"/>
        <w:spacing w:after="0" w:line="566" w:lineRule="auto"/>
        <w:rPr>
          <w:sz w:val="20"/>
          <w:szCs w:val="20"/>
          <w:color w:val="auto"/>
        </w:rPr>
      </w:pPr>
      <w:r>
        <w:rPr>
          <w:rFonts w:ascii="Arial" w:cs="Arial" w:eastAsia="Arial" w:hAnsi="Arial"/>
          <w:sz w:val="17"/>
          <w:szCs w:val="17"/>
          <w:color w:val="auto"/>
        </w:rPr>
        <w:t>“Redeemable Convertible Preferred Stock” are to the Series A Convertible Preferred Stock and Series B Convertible Preferred Stock, together; “Series A Certificate of Designations” refers to the Certificate of Designations of Series A Redeemable Convertible Preferred Stock;</w:t>
      </w:r>
    </w:p>
    <w:p>
      <w:pPr>
        <w:ind w:right="260"/>
        <w:spacing w:after="0" w:line="289" w:lineRule="auto"/>
        <w:rPr>
          <w:sz w:val="20"/>
          <w:szCs w:val="20"/>
          <w:color w:val="auto"/>
        </w:rPr>
      </w:pPr>
      <w:r>
        <w:rPr>
          <w:rFonts w:ascii="Arial" w:cs="Arial" w:eastAsia="Arial" w:hAnsi="Arial"/>
          <w:sz w:val="19"/>
          <w:szCs w:val="19"/>
          <w:color w:val="auto"/>
        </w:rPr>
        <w:t>“Series A Redeemable Convertible Preferred Stock” are to the Series A Convertible Preferred Stock of Lucid Group, Inc., par value $0.0001 per share;</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“Series A Subscription Agreement” refers to the subscription agreement entered into on March 24, 2024, by the Company and Ayar to purchase from the Company 100,000 shares of its Series A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“Series B Certificate of Designations” refers to the Certificate of Designations of Series B Redeemable Convertible Preferred Stock;</w:t>
      </w:r>
    </w:p>
    <w:p>
      <w:pPr>
        <w:spacing w:after="0" w:line="243"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color w:val="auto"/>
        </w:rPr>
        <w:t>“Series B Redeemable Convertible Preferred Stock” are to the Series B Convertible Preferred Stock of Lucid Group, Inc., par value $0.0001 per share;</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“Series B Subscription Agreement” refers to the subscription agreement entered into on August 4, 2024, by the Company and Ayar to purchase from the Company 75,000 shares of its Series B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“Sponsor” are to Churchill Sponsor IV LLC, a Delaware limited liability company and an affiliate of M. Klein and Company;</w:t>
      </w:r>
    </w:p>
    <w:p>
      <w:pPr>
        <w:spacing w:after="0" w:line="243" w:lineRule="exact"/>
        <w:rPr>
          <w:sz w:val="20"/>
          <w:szCs w:val="20"/>
          <w:color w:val="auto"/>
        </w:rPr>
      </w:pPr>
    </w:p>
    <w:p>
      <w:pPr>
        <w:ind w:right="180"/>
        <w:spacing w:after="0" w:line="289" w:lineRule="auto"/>
        <w:rPr>
          <w:sz w:val="20"/>
          <w:szCs w:val="20"/>
          <w:color w:val="auto"/>
        </w:rPr>
      </w:pPr>
      <w:r>
        <w:rPr>
          <w:rFonts w:ascii="Arial" w:cs="Arial" w:eastAsia="Arial" w:hAnsi="Arial"/>
          <w:sz w:val="19"/>
          <w:szCs w:val="19"/>
          <w:color w:val="auto"/>
        </w:rPr>
        <w:t>“Transactions” are to the Merger, together with the other transactions consummated under the Merger Agreement and the related agreements; and</w:t>
      </w:r>
    </w:p>
    <w:p>
      <w:pPr>
        <w:spacing w:after="0" w:line="165" w:lineRule="exact"/>
        <w:rPr>
          <w:sz w:val="20"/>
          <w:szCs w:val="20"/>
          <w:color w:val="auto"/>
        </w:rPr>
      </w:pPr>
    </w:p>
    <w:p>
      <w:pPr>
        <w:ind w:right="260"/>
        <w:spacing w:after="0" w:line="289" w:lineRule="auto"/>
        <w:rPr>
          <w:sz w:val="20"/>
          <w:szCs w:val="20"/>
          <w:color w:val="auto"/>
        </w:rPr>
      </w:pPr>
      <w:r>
        <w:rPr>
          <w:rFonts w:ascii="Arial" w:cs="Arial" w:eastAsia="Arial" w:hAnsi="Arial"/>
          <w:sz w:val="19"/>
          <w:szCs w:val="19"/>
          <w:color w:val="auto"/>
        </w:rPr>
        <w:t>“Warrant Agreement” are to the Warrant Agreement, dated July 29, 2020, entered into in connection with the Churchill IPO by and between Continental Stock Transfer &amp; Trust Company and Churchill.</w:t>
      </w:r>
    </w:p>
    <w:p>
      <w:pPr>
        <w:spacing w:after="0" w:line="165" w:lineRule="exact"/>
        <w:rPr>
          <w:sz w:val="20"/>
          <w:szCs w:val="20"/>
          <w:color w:val="auto"/>
        </w:rPr>
      </w:pPr>
    </w:p>
    <w:p>
      <w:pPr>
        <w:ind w:right="40"/>
        <w:spacing w:after="0" w:line="351"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1060"/>
          </w:cols>
          <w:pgMar w:left="400" w:top="763" w:right="420" w:bottom="0" w:gutter="0" w:footer="0" w:header="0"/>
          <w:type w:val="continuous"/>
        </w:sectPr>
      </w:pPr>
    </w:p>
    <w:bookmarkStart w:id="126" w:name="page127"/>
    <w:bookmarkEnd w:id="126"/>
    <w:p>
      <w:pPr>
        <w:jc w:val="center"/>
        <w:ind w:right="-39"/>
        <w:spacing w:after="0"/>
        <w:rPr>
          <w:sz w:val="20"/>
          <w:szCs w:val="20"/>
          <w:color w:val="auto"/>
        </w:rPr>
      </w:pPr>
      <w:r>
        <w:rPr>
          <w:rFonts w:ascii="Arial" w:cs="Arial" w:eastAsia="Arial" w:hAnsi="Arial"/>
          <w:sz w:val="19"/>
          <w:szCs w:val="19"/>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Mission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Lucid’s mission is to advance the state-of-the-art of EV technology for the benefit of all.</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Us</w:t>
      </w:r>
    </w:p>
    <w:p>
      <w:pPr>
        <w:spacing w:after="0" w:line="2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Lucid is a technology company that is setting new standards with the world’s most advanced EVs, the award-winning Lucid Air and all-new Lucid Gravity. This includes the Lucid Air Pure, the most efficient vehicle on the market today (as measured by miles of range per kilowatt-hour), the Lucid Air Grand Touring, the longest-range (up to 512 miles of U.S. Environmental Protection Agency (“EPA”)-estimated range) and the fastest-charging (as measured by miles of range per minute) fully electric car in its class on the market today, and the Lucid Gravity, capable of up to 450 miles of an EPA-estimated range and up to 400 kW fast charging. Estimated ranges, including EPA-estimated ranges where applicable, are provided for Lucid Air vehicles equipped with 19-inch wheels and Lucid Gravity Grand Touring vehicles equipped with 20”F/21”R wheels and configured as 2-row, 5-seat vehicle. Actual range will vary depending on many factors, including vehicle configuration, battery age, driving habits, charging habits, temperatures, accessory use, and other factors. Lucid (i) designs, engineers and manufactures EVs, EV powertrains, and battery systems in-house using our own equipment and factories, (ii) designs and develops proprietary software in-house for Lucid vehicles that can be continuously enhanced upon through over-the-air (“OTA”) software updates, (iii) offers a refined customer experience at our own geographically distributed retail and service locations and through direct-to-consumer online sales, (iv) plans to supply and license technology to third parties, and (v) boasts a strong product roadmap of future vehicle programs and technologies. Our focus on in-house hardware and software innovation, vertical integration, and a “clean sheet” approach to engineering and design led to the development of the award-winning Lucid Air and Lucid Gravity.</w:t>
      </w:r>
    </w:p>
    <w:p>
      <w:pPr>
        <w:spacing w:after="0" w:line="186" w:lineRule="exact"/>
        <w:rPr>
          <w:sz w:val="20"/>
          <w:szCs w:val="20"/>
          <w:color w:val="auto"/>
        </w:rPr>
      </w:pPr>
    </w:p>
    <w:p>
      <w:pPr>
        <w:jc w:val="both"/>
        <w:ind w:right="160"/>
        <w:spacing w:after="0" w:line="271" w:lineRule="auto"/>
        <w:rPr>
          <w:sz w:val="20"/>
          <w:szCs w:val="20"/>
          <w:color w:val="auto"/>
        </w:rPr>
      </w:pPr>
      <w:r>
        <w:rPr>
          <w:rFonts w:ascii="Arial" w:cs="Arial" w:eastAsia="Arial" w:hAnsi="Arial"/>
          <w:sz w:val="19"/>
          <w:szCs w:val="19"/>
          <w:color w:val="auto"/>
        </w:rPr>
        <w:t>The Lucid Air redefines both the luxury sedan segment and the EV space, with an EPA-estimated range of up to 512 miles on a single charge for the Grand Touring trim. A significant enabler of this range is an efficient and powerful drivetrain that Lucid developed and built in-house through our vertically integrated manufacturing structure.</w:t>
      </w:r>
    </w:p>
    <w:p>
      <w:pPr>
        <w:spacing w:after="0" w:line="182"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The Lucid Gravity is a groundbreaking new class of sport utility vehicle (“SUV”), conceived from the ground up without compromise. The Lucid Gravity provides the interior space and practicality of a full-size SUV within the exterior footprint of a mid-size SUV. As a result, it provides a space for up to seven adults, game-changing versatility, and an unparalleled driving experience. Leveraging Lucid’s in-house powertrain technology, we have engineered the Lucid Gravity to deliver up to 450 miles of EPA-estimated range, while the only other competitive vehicle on the market today offering comparable driving range requires a battery pack over 60 percent larger in capacity.</w:t>
      </w:r>
    </w:p>
    <w:p>
      <w:pPr>
        <w:spacing w:after="0" w:line="162"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The Lucid Space Concept underpins the design of Lucid Air and Lucid Gravity, merging a smaller exterior footprint with more interior space and better comfort. This achievement is enabled by our wholistic approach to vehicle design and integration, which is aided by highly efficient miniaturized drivetrain components.</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Lucid Air and the Lucid Gravity are assembled at our EV manufacturing facility in Casa Grande, Arizona, named Advanced Manufacturing Plant-1 (“AMP-1”). In 2024, we completed key expansion activities to bring installed capacity at AMP-1 to 90,000 vehicles per year.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control our technology roadmap, ensure a high degree of quality control, and improve product margins relative to an outsourced manufacturing arrangement. We plan to diversify our vehicle portfolio and increase production capacity through localization of manufacturing in another geographical region. In 2022, we broke ground on the Advanced Manufacturing Plant-2 in Saudi Arabia (“AMP-2”), and in 2023, we began semi knocked-down (“SKD”) assembly, with installed annual capacity of 5,000 vehicles. The initial operation is re-assembly of the Lucid Air vehicle ‘kits’ that are pre-manufactured at AMP-1. In 2024, we started an expansion at AMP-2 to enable completely-built-up (“CBU”) unit production with an additional installed annual capacity of 150,000 vehicles. The start of production of our Midsize platform is scheduled for late 2026, which we expect will expand our market reach into higher-volume vehicle segments.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We sell vehicles directly to consumers through our retail sales network and through direct online sales, including utilizing Lucid Financial Services. As of December 31, 2024, we have opened 42 Studios and service centers in North America, 11 in Europe, and 4 in the Middle East. In addition, we have various temporary and satellite service centers. We believe that owning and operating our sales network provides an opportunity to closely manage the customer experience, gather direct customer feedback, and ensure that customer interactions are tailored to our customers’ needs.</w:t>
      </w:r>
    </w:p>
    <w:p>
      <w:pPr>
        <w:sectPr>
          <w:pgSz w:w="11880" w:h="15480" w:orient="portrait"/>
          <w:cols w:equalWidth="0" w:num="1">
            <w:col w:w="11040"/>
          </w:cols>
          <w:pgMar w:left="400" w:top="75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1040"/>
          </w:cols>
          <w:pgMar w:left="400" w:top="756" w:right="440" w:bottom="0" w:gutter="0" w:footer="0" w:header="0"/>
          <w:type w:val="continuous"/>
        </w:sectPr>
      </w:pPr>
    </w:p>
    <w:bookmarkStart w:id="127" w:name="page128"/>
    <w:bookmarkEnd w:id="127"/>
    <w:p>
      <w:pPr>
        <w:ind w:right="100"/>
        <w:spacing w:after="0" w:line="260" w:lineRule="auto"/>
        <w:rPr>
          <w:sz w:val="20"/>
          <w:szCs w:val="20"/>
          <w:color w:val="auto"/>
        </w:rPr>
      </w:pPr>
      <w:r>
        <w:rPr>
          <w:rFonts w:ascii="Arial" w:cs="Arial" w:eastAsia="Arial" w:hAnsi="Arial"/>
          <w:sz w:val="19"/>
          <w:szCs w:val="19"/>
          <w:color w:val="auto"/>
        </w:rPr>
        <w:t>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We have contracted with a third-party roadside assistance partner for urgent roadside needs. As a technology company, we also complement our in-house service offerings with remote vehicle diagnostics and alerts, and OTA updates. This combination of in-house capabilities, supplementary service partners, and remote support and update capability is intended to offer a premium service experience.</w:t>
      </w:r>
    </w:p>
    <w:p>
      <w:pPr>
        <w:spacing w:after="0" w:line="194"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began delivering the Lucid Air to customers in October 2021. We have leveraged and expanded the technological advancements from the Lucid Air to the Lucid Gravity, which started commercial production in December 2024. Beyond the Lucid Air and the Lucid Gravity, we plan to expand our vehicle lineup with the upcoming Midsize platform, which is scheduled for start of production in late 2026.</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Opportunity</w:t>
      </w:r>
    </w:p>
    <w:p>
      <w:pPr>
        <w:spacing w:after="0" w:line="249" w:lineRule="exact"/>
        <w:rPr>
          <w:sz w:val="20"/>
          <w:szCs w:val="20"/>
          <w:color w:val="auto"/>
        </w:rPr>
      </w:pPr>
    </w:p>
    <w:p>
      <w:pPr>
        <w:ind w:right="220"/>
        <w:spacing w:after="0" w:line="265" w:lineRule="auto"/>
        <w:rPr>
          <w:sz w:val="20"/>
          <w:szCs w:val="20"/>
          <w:color w:val="auto"/>
        </w:rPr>
      </w:pPr>
      <w:r>
        <w:rPr>
          <w:rFonts w:ascii="Arial" w:cs="Arial" w:eastAsia="Arial" w:hAnsi="Arial"/>
          <w:sz w:val="19"/>
          <w:szCs w:val="19"/>
          <w:color w:val="auto"/>
        </w:rPr>
        <w:t>We are defining the next generation of sustainable mobility by uniting our California aesthetic with our high-tech and Silicon Valley roots. Current competitive vehicles are based on traditions established by internal combustion automotive manufacture and design. We believe that we are leading the next wave of innovation in the vehicle space. With the Lucid Air and the Lucid Gravity, we target consumers who desire EVs with a high-end aesthetic and the accompanying premium experience.</w:t>
      </w:r>
    </w:p>
    <w:p>
      <w:pPr>
        <w:spacing w:after="0" w:line="18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Lucid Air and the Lucid Gravity compete in the global luxury car market. Our competitive advantage is defined by our leading EV hardware and software technology, developed entirely in-house. The Lucid Air Pure is the most efficient vehicle in the world (as measured by miles of range per kilowatt-hour), the Lucid Air Grand Touring is the longest-range and the fastest-charging (as measured by miles of range per minute) fully electric car in its class on the market today, and the Lucid Air Sapphire is the highest-performance version of the Lucid Air (boasting 1,234 horsepower from three motors, the ability to accelerate from zero to 60 miles per hour in 1.89 seconds, and a quarter-mile time of 8.95 seconds).</w:t>
      </w:r>
    </w:p>
    <w:p>
      <w:pPr>
        <w:spacing w:after="0" w:line="194"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color w:val="auto"/>
        </w:rPr>
        <w:t>We are defining a recognizable brand that is synonymous with elegant design, excellent driving performance, and outstanding range. We believe the automotive experience is one comprised of several essential elements, including: (i) high-end comfort and significant attention to detail in design, content, materials, and fit and finish, (ii) superior customer interaction, with high-touch customer engagement throughout both the sales cycle and ownership journey, and (iii) convenient service that exceeds that of a non-premium automotive experience.</w:t>
      </w:r>
    </w:p>
    <w:p>
      <w:pPr>
        <w:spacing w:after="0" w:line="159"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Our long-term goal is to make a positive impact on the global climate crisis through mass production of advanced technologies and EVs. The market is still nascent, with approximately 11.1% and 8.1% of new passenger vehicle sales in 2024 being battery electric vehicles (“BEV”) worldwide and in North America, respectively (worldwide figure is an estimate from S&amp;P Global AutoInsight, and the North America figure is an actual result from S&amp;P Global Catalyst Registration).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our launch vehicle, the Lucid Air has established the bar for excellence across all our future products and experiences. We started delivering vehicles to customers in North America in October 2021. In 2022, we delivered our first vehicles to customers in Europe and the Middle East. Over the course of 2023, we delivered the entire Lucid Air lineup including the Lucid Air Sapphire, the world’s first luxury electric super-sports sedan, and the Lucid Air Pure, the most attainable and most efficient Lucid Air model. The Lucid Air has received critical acclaim since it debuted, winning MotorTrend 2022 Car of the Year, followed by the 2023 World Luxury Car Award, and most recently was named to Car and Driver’s 10Best list for 2024 and 2025. Production of our second vehicle, the Lucid Gravity, began in December 2024. The Lucid Gravity builds on innovations and processes from the Lucid Air sedan for an unprecedented combination of performance, interior space, and efficiency. Beyond the Lucid Air and the Lucid Gravity, our business plan expands to vehicles using our upcoming Midsize platform, which is scheduled for start of production in late 2026.</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In addition to the sale of Lucid-branded vehicles, we believe that our technological prowess and manufacturing capabilities present a further opportunity to generate revenue and combat climate change through the sale or licensing of EV powertrains, battery technology, and embedded controls software to third parties. Such powertrain and battery arrangements could facilitate and accelerate the shift to electrification for traditional automotive original equipment manufacturers (“OEMs”), pure-play EV companies, and prospective partners in the transportation sector, and thereby enable the global production of EVs in greater volumes and at varying price points. We believe that the sale or licensing of our technology would also accelerate our efforts to refine our manufacturing efficiencies and the real world, practical operation of our technologies.</w:t>
      </w:r>
    </w:p>
    <w:p>
      <w:pPr>
        <w:sectPr>
          <w:pgSz w:w="11880" w:h="15480" w:orient="portrait"/>
          <w:cols w:equalWidth="0" w:num="1">
            <w:col w:w="11040"/>
          </w:cols>
          <w:pgMar w:left="400" w:top="763"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1040"/>
          </w:cols>
          <w:pgMar w:left="400" w:top="763" w:right="44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19"/>
          <w:szCs w:val="19"/>
          <w:b w:val="1"/>
          <w:bCs w:val="1"/>
          <w:color w:val="auto"/>
        </w:rPr>
        <w:t>Competitive Strengths</w:t>
      </w:r>
    </w:p>
    <w:p>
      <w:pPr>
        <w:spacing w:after="0" w:line="279" w:lineRule="exact"/>
        <w:rPr>
          <w:sz w:val="20"/>
          <w:szCs w:val="20"/>
          <w:color w:val="auto"/>
        </w:rPr>
      </w:pPr>
    </w:p>
    <w:p>
      <w:pPr>
        <w:ind w:left="700" w:right="100" w:hanging="347"/>
        <w:spacing w:after="0" w:line="299" w:lineRule="auto"/>
        <w:tabs>
          <w:tab w:leader="none" w:pos="700" w:val="left"/>
        </w:tabs>
        <w:numPr>
          <w:ilvl w:val="0"/>
          <w:numId w:val="123"/>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Revolutionary Powertrain Technology. </w:t>
      </w:r>
      <w:r>
        <w:rPr>
          <w:rFonts w:ascii="Arial" w:cs="Arial" w:eastAsia="Arial" w:hAnsi="Arial"/>
          <w:sz w:val="19"/>
          <w:szCs w:val="19"/>
          <w:color w:val="auto"/>
        </w:rPr>
        <w:t>Our proprietary EV technology delivers outstanding range, charging, and driver-oriented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all while achieving higher efficiency ratings than other EVs as measured by miles of range per kilowatt hour of energy consumed. All variants of the Lucid Air have received EPA-estimated range ratings of over 400 miles and the Lucid Air Grand Touring holds the title for the longest range passenger vehicle with an EPA-estimated range of 512 miles. The Lucid Gravity delivers up to 450 miles of EPA-estimated range, while the only other competitive vehicle on the market today offering comparable driving range requires a battery pack over 60 percent larger in capacity.</w:t>
      </w:r>
    </w:p>
    <w:p>
      <w:pPr>
        <w:spacing w:after="0" w:line="170" w:lineRule="exact"/>
        <w:rPr>
          <w:rFonts w:ascii="Arial" w:cs="Arial" w:eastAsia="Arial" w:hAnsi="Arial"/>
          <w:sz w:val="23"/>
          <w:szCs w:val="23"/>
          <w:b w:val="1"/>
          <w:bCs w:val="1"/>
          <w:color w:val="auto"/>
        </w:rPr>
      </w:pPr>
    </w:p>
    <w:p>
      <w:pPr>
        <w:ind w:left="700" w:right="40"/>
        <w:spacing w:after="0" w:line="280" w:lineRule="auto"/>
        <w:rPr>
          <w:rFonts w:ascii="Arial" w:cs="Arial" w:eastAsia="Arial" w:hAnsi="Arial"/>
          <w:sz w:val="23"/>
          <w:szCs w:val="23"/>
          <w:b w:val="1"/>
          <w:bCs w:val="1"/>
          <w:color w:val="auto"/>
        </w:rPr>
      </w:pPr>
      <w:r>
        <w:rPr>
          <w:rFonts w:ascii="Arial" w:cs="Arial" w:eastAsia="Arial" w:hAnsi="Arial"/>
          <w:sz w:val="18"/>
          <w:szCs w:val="18"/>
          <w:color w:val="auto"/>
        </w:rPr>
        <w:t>The Air’s proprietary high-voltage electrical architecture, the Wunderbox on-board inverter charger, and our efficient battery management system, all developed in-house by our teams, enable customers to spend less time charging. For example, the Lucid Air Grand Touring can add approximately 300 miles in about 21 minutes using DC fast charging, while the Lucid Air Pure can add up to 150 miles in about 12 minutes with DC fast charging. (Estimates are based on use of a 350 kW DC fast charger and vehicles equipped with 19-inch wheels. Actual rates will vary based upon vehicle equipment and charging conditions.)</w:t>
      </w:r>
    </w:p>
    <w:p>
      <w:pPr>
        <w:spacing w:after="0" w:line="175" w:lineRule="exact"/>
        <w:rPr>
          <w:rFonts w:ascii="Arial" w:cs="Arial" w:eastAsia="Arial" w:hAnsi="Arial"/>
          <w:sz w:val="23"/>
          <w:szCs w:val="23"/>
          <w:b w:val="1"/>
          <w:bCs w:val="1"/>
          <w:color w:val="auto"/>
        </w:rPr>
      </w:pPr>
    </w:p>
    <w:p>
      <w:pPr>
        <w:ind w:left="700" w:right="40"/>
        <w:spacing w:after="0" w:line="260" w:lineRule="auto"/>
        <w:rPr>
          <w:rFonts w:ascii="Arial" w:cs="Arial" w:eastAsia="Arial" w:hAnsi="Arial"/>
          <w:sz w:val="23"/>
          <w:szCs w:val="23"/>
          <w:b w:val="1"/>
          <w:bCs w:val="1"/>
          <w:color w:val="auto"/>
        </w:rPr>
      </w:pPr>
      <w:r>
        <w:rPr>
          <w:rFonts w:ascii="Arial" w:cs="Arial" w:eastAsia="Arial" w:hAnsi="Arial"/>
          <w:sz w:val="19"/>
          <w:szCs w:val="19"/>
          <w:color w:val="auto"/>
        </w:rPr>
        <w:t>In November 2023, we launched RangeXchange, the first application of the bi-directional charging capability built into the Lucid Air. Using Lucid’s innovative new vehicle-to-vehicle (“V2V”) RangeXchange adapter and the latest mobile charging cable, the Lucid Air can function as the power source to charge another EV. In the future, we plan to further unlock the potential of the bi-directional charging capability built into the Lucid Air to serve as a back-up power source for residential applications, such as during emergency power grid outages, when paired with Lucid Connected Home Charging Station. (Additional equipment is needed at the home to enable back-up power capabilities.)</w:t>
      </w:r>
    </w:p>
    <w:p>
      <w:pPr>
        <w:spacing w:after="0" w:line="193" w:lineRule="exact"/>
        <w:rPr>
          <w:rFonts w:ascii="Arial" w:cs="Arial" w:eastAsia="Arial" w:hAnsi="Arial"/>
          <w:sz w:val="23"/>
          <w:szCs w:val="23"/>
          <w:b w:val="1"/>
          <w:bCs w:val="1"/>
          <w:color w:val="auto"/>
        </w:rPr>
      </w:pPr>
    </w:p>
    <w:p>
      <w:pPr>
        <w:ind w:left="700" w:right="140"/>
        <w:spacing w:after="0" w:line="277" w:lineRule="auto"/>
        <w:rPr>
          <w:rFonts w:ascii="Arial" w:cs="Arial" w:eastAsia="Arial" w:hAnsi="Arial"/>
          <w:sz w:val="23"/>
          <w:szCs w:val="23"/>
          <w:b w:val="1"/>
          <w:bCs w:val="1"/>
          <w:color w:val="auto"/>
        </w:rPr>
      </w:pPr>
      <w:r>
        <w:rPr>
          <w:rFonts w:ascii="Arial" w:cs="Arial" w:eastAsia="Arial" w:hAnsi="Arial"/>
          <w:sz w:val="18"/>
          <w:szCs w:val="18"/>
          <w:color w:val="auto"/>
        </w:rPr>
        <w:t>In June 2023, we entered into an agreement (the “Implementation Agreement”) with Aston Martin Lagonda Global Holdings plc (together with its subsidiaries, “Aston Martin”), under which we and Aston Martin have established a long-term strategic technology and supply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BEV chassis, and supply powertrain and battery components to Aston Martin (collectively, the “Strategic Technology Arrangement”).</w:t>
      </w:r>
    </w:p>
    <w:p>
      <w:pPr>
        <w:spacing w:after="0" w:line="210" w:lineRule="exact"/>
        <w:rPr>
          <w:rFonts w:ascii="Arial" w:cs="Arial" w:eastAsia="Arial" w:hAnsi="Arial"/>
          <w:sz w:val="23"/>
          <w:szCs w:val="23"/>
          <w:b w:val="1"/>
          <w:bCs w:val="1"/>
          <w:color w:val="auto"/>
        </w:rPr>
      </w:pPr>
    </w:p>
    <w:p>
      <w:pPr>
        <w:ind w:left="700" w:right="20" w:hanging="347"/>
        <w:spacing w:after="0" w:line="346" w:lineRule="auto"/>
        <w:tabs>
          <w:tab w:leader="none" w:pos="700" w:val="left"/>
        </w:tabs>
        <w:numPr>
          <w:ilvl w:val="0"/>
          <w:numId w:val="123"/>
        </w:numPr>
        <w:rPr>
          <w:rFonts w:ascii="Arial" w:cs="Arial" w:eastAsia="Arial" w:hAnsi="Arial"/>
          <w:sz w:val="20"/>
          <w:szCs w:val="20"/>
          <w:b w:val="1"/>
          <w:bCs w:val="1"/>
          <w:color w:val="auto"/>
        </w:rPr>
      </w:pPr>
      <w:r>
        <w:rPr>
          <w:rFonts w:ascii="Arial" w:cs="Arial" w:eastAsia="Arial" w:hAnsi="Arial"/>
          <w:sz w:val="17"/>
          <w:szCs w:val="17"/>
          <w:b w:val="1"/>
          <w:bCs w:val="1"/>
          <w:i w:val="1"/>
          <w:iCs w:val="1"/>
          <w:color w:val="auto"/>
        </w:rPr>
        <w:t xml:space="preserve">Proven, Real World Validation. </w:t>
      </w:r>
      <w:r>
        <w:rPr>
          <w:rFonts w:ascii="Arial" w:cs="Arial" w:eastAsia="Arial" w:hAnsi="Arial"/>
          <w:sz w:val="17"/>
          <w:szCs w:val="17"/>
          <w:color w:val="auto"/>
        </w:rPr>
        <w:t>Our battery technology developed over the past decade has been validated as world-class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prototype and production vehicles and our role as the sole battery supplier to the second generation of the premier EV racing series, our patented battery technology has driven more than 230 million real world miles since Lucid’s inception.</w:t>
      </w:r>
    </w:p>
    <w:p>
      <w:pPr>
        <w:spacing w:after="0" w:line="165" w:lineRule="exact"/>
        <w:rPr>
          <w:rFonts w:ascii="Arial" w:cs="Arial" w:eastAsia="Arial" w:hAnsi="Arial"/>
          <w:sz w:val="20"/>
          <w:szCs w:val="20"/>
          <w:b w:val="1"/>
          <w:bCs w:val="1"/>
          <w:color w:val="auto"/>
        </w:rPr>
      </w:pPr>
    </w:p>
    <w:p>
      <w:pPr>
        <w:ind w:left="700" w:right="20" w:hanging="347"/>
        <w:spacing w:after="0" w:line="314" w:lineRule="auto"/>
        <w:tabs>
          <w:tab w:leader="none" w:pos="700" w:val="left"/>
        </w:tabs>
        <w:numPr>
          <w:ilvl w:val="0"/>
          <w:numId w:val="123"/>
        </w:numPr>
        <w:rPr>
          <w:rFonts w:ascii="Arial" w:cs="Arial" w:eastAsia="Arial" w:hAnsi="Arial"/>
          <w:sz w:val="22"/>
          <w:szCs w:val="22"/>
          <w:b w:val="1"/>
          <w:bCs w:val="1"/>
          <w:color w:val="auto"/>
        </w:rPr>
      </w:pPr>
      <w:r>
        <w:rPr>
          <w:rFonts w:ascii="Arial" w:cs="Arial" w:eastAsia="Arial" w:hAnsi="Arial"/>
          <w:sz w:val="18"/>
          <w:szCs w:val="18"/>
          <w:b w:val="1"/>
          <w:bCs w:val="1"/>
          <w:i w:val="1"/>
          <w:iCs w:val="1"/>
          <w:color w:val="auto"/>
        </w:rPr>
        <w:t xml:space="preserve">Highly Differentiated Performance. </w:t>
      </w:r>
      <w:r>
        <w:rPr>
          <w:rFonts w:ascii="Arial" w:cs="Arial" w:eastAsia="Arial" w:hAnsi="Arial"/>
          <w:sz w:val="18"/>
          <w:szCs w:val="18"/>
          <w:color w:val="auto"/>
        </w:rPr>
        <w:t>Our advancements in battery pack and drivetrain technology, created through a clean-sheet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to engineering, have resulted in compelling performance and efficiency in our vehicles. The Lucid Air Sapphire offers 1,234 horsepower, a 0-60 miles per hour acceleration time of 1.89 seconds and a standing quarter-mile time of 8.95 seconds.</w:t>
      </w:r>
    </w:p>
    <w:p>
      <w:pPr>
        <w:spacing w:after="0" w:line="187" w:lineRule="exact"/>
        <w:rPr>
          <w:rFonts w:ascii="Arial" w:cs="Arial" w:eastAsia="Arial" w:hAnsi="Arial"/>
          <w:sz w:val="22"/>
          <w:szCs w:val="22"/>
          <w:b w:val="1"/>
          <w:bCs w:val="1"/>
          <w:color w:val="auto"/>
        </w:rPr>
      </w:pPr>
    </w:p>
    <w:p>
      <w:pPr>
        <w:ind w:left="700" w:hanging="347"/>
        <w:spacing w:after="0" w:line="341" w:lineRule="auto"/>
        <w:tabs>
          <w:tab w:leader="none" w:pos="700" w:val="left"/>
        </w:tabs>
        <w:numPr>
          <w:ilvl w:val="0"/>
          <w:numId w:val="123"/>
        </w:numPr>
        <w:rPr>
          <w:rFonts w:ascii="Arial" w:cs="Arial" w:eastAsia="Arial" w:hAnsi="Arial"/>
          <w:sz w:val="20"/>
          <w:szCs w:val="20"/>
          <w:b w:val="1"/>
          <w:bCs w:val="1"/>
          <w:color w:val="auto"/>
        </w:rPr>
      </w:pPr>
      <w:r>
        <w:rPr>
          <w:rFonts w:ascii="Arial" w:cs="Arial" w:eastAsia="Arial" w:hAnsi="Arial"/>
          <w:sz w:val="17"/>
          <w:szCs w:val="17"/>
          <w:b w:val="1"/>
          <w:bCs w:val="1"/>
          <w:i w:val="1"/>
          <w:iCs w:val="1"/>
          <w:color w:val="auto"/>
        </w:rPr>
        <w:t xml:space="preserve">Directly Owned Manufacturing. </w:t>
      </w:r>
      <w:r>
        <w:rPr>
          <w:rFonts w:ascii="Arial" w:cs="Arial" w:eastAsia="Arial" w:hAnsi="Arial"/>
          <w:sz w:val="17"/>
          <w:szCs w:val="17"/>
          <w:color w:val="auto"/>
        </w:rPr>
        <w:t>Our vehicles are produced at AMP-1, the first purpose-built, greenfield EV manufacturing facility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North America. With the Lucid Air already in production, expansion activities have recently been completed to enable the concurrent production of the Lucid Air and the Lucid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we manufacture and assemble our complete electric powertrain at AMP-1, including assembly of battery packs, integrated drive units, and the Wunderbox. In September 2023, we also opened AMP-2, which was Saudi Arabia’s first-ever car manufacturing facility and our first manufacturing facility outside the United States, where we commenced SKD assembly operations.</w:t>
      </w:r>
    </w:p>
    <w:p>
      <w:pPr>
        <w:spacing w:after="0" w:line="172" w:lineRule="exact"/>
        <w:rPr>
          <w:rFonts w:ascii="Arial" w:cs="Arial" w:eastAsia="Arial" w:hAnsi="Arial"/>
          <w:sz w:val="20"/>
          <w:szCs w:val="20"/>
          <w:b w:val="1"/>
          <w:bCs w:val="1"/>
          <w:color w:val="auto"/>
        </w:rPr>
      </w:pPr>
    </w:p>
    <w:p>
      <w:pPr>
        <w:ind w:left="700" w:right="20" w:hanging="347"/>
        <w:spacing w:after="0" w:line="299" w:lineRule="auto"/>
        <w:tabs>
          <w:tab w:leader="none" w:pos="700" w:val="left"/>
        </w:tabs>
        <w:numPr>
          <w:ilvl w:val="0"/>
          <w:numId w:val="123"/>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In-House Sales and Service. </w:t>
      </w:r>
      <w:r>
        <w:rPr>
          <w:rFonts w:ascii="Arial" w:cs="Arial" w:eastAsia="Arial" w:hAnsi="Arial"/>
          <w:sz w:val="19"/>
          <w:szCs w:val="19"/>
          <w:color w:val="auto"/>
        </w:rPr>
        <w:t>Consistent with the focus on vertical integration in our manufacturing processes, we employ a direct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sales and service model to maintain full control over the customer experience and ensure that interactions are aligned with Lucid standards. We enable a superior customer experience by vertically integrating our sales operations instead of relying on a traditional outsourced dealership model. We are also scaling our own service operations to support planned future growth, in addition to further developing our established network of partnerships with body shops and other ancillary service partners that meet our expectations for customer service.</w:t>
      </w:r>
    </w:p>
    <w:p>
      <w:pPr>
        <w:sectPr>
          <w:pgSz w:w="11880" w:h="15480" w:orient="portrait"/>
          <w:cols w:equalWidth="0" w:num="1">
            <w:col w:w="11040"/>
          </w:cols>
          <w:pgMar w:left="400" w:top="75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1040"/>
          </w:cols>
          <w:pgMar w:left="400" w:top="756" w:right="440" w:bottom="0" w:gutter="0" w:footer="0" w:header="0"/>
          <w:type w:val="continuous"/>
        </w:sectPr>
      </w:pPr>
    </w:p>
    <w:bookmarkStart w:id="129" w:name="page130"/>
    <w:bookmarkEnd w:id="129"/>
    <w:p>
      <w:pPr>
        <w:ind w:left="700" w:right="180" w:hanging="347"/>
        <w:spacing w:after="0" w:line="299" w:lineRule="auto"/>
        <w:tabs>
          <w:tab w:leader="none" w:pos="700" w:val="left"/>
        </w:tabs>
        <w:numPr>
          <w:ilvl w:val="0"/>
          <w:numId w:val="124"/>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Product Design. </w:t>
      </w:r>
      <w:r>
        <w:rPr>
          <w:rFonts w:ascii="Arial" w:cs="Arial" w:eastAsia="Arial" w:hAnsi="Arial"/>
          <w:sz w:val="19"/>
          <w:szCs w:val="19"/>
          <w:color w:val="auto"/>
        </w:rPr>
        <w:t>The Lucid Air and the Lucid Gravity fuse art and science to capture the full potential of electrification. As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first vehicle, the Air established the bar for excellence across all our products and experiences. Our Space Concept represents a technical breakthrough, achieved by rethinking the way an automobile is designed from the ground up. Our reimagining of the car has resulted in class-leading interior space for the driver, passengers, and storage within a compact and efficient exterior. The Lucid Gravity builds upon this design philosophy to deliver an occupant and cargo space that outclasses the competition in a vehicle with a significantly smaller exterior footprint.</w:t>
      </w:r>
    </w:p>
    <w:p>
      <w:pPr>
        <w:spacing w:after="0" w:line="199" w:lineRule="exact"/>
        <w:rPr>
          <w:rFonts w:ascii="Arial" w:cs="Arial" w:eastAsia="Arial" w:hAnsi="Arial"/>
          <w:sz w:val="23"/>
          <w:szCs w:val="23"/>
          <w:b w:val="1"/>
          <w:bCs w:val="1"/>
          <w:color w:val="auto"/>
        </w:rPr>
      </w:pPr>
    </w:p>
    <w:p>
      <w:pPr>
        <w:ind w:left="700" w:right="60" w:hanging="347"/>
        <w:spacing w:after="0" w:line="293" w:lineRule="auto"/>
        <w:tabs>
          <w:tab w:leader="none" w:pos="700" w:val="left"/>
        </w:tabs>
        <w:numPr>
          <w:ilvl w:val="0"/>
          <w:numId w:val="124"/>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Deep Experience. </w:t>
      </w:r>
      <w:r>
        <w:rPr>
          <w:rFonts w:ascii="Arial" w:cs="Arial" w:eastAsia="Arial" w:hAnsi="Arial"/>
          <w:sz w:val="19"/>
          <w:szCs w:val="19"/>
          <w:color w:val="auto"/>
        </w:rPr>
        <w:t>We have assembled a seasoned management and advisory team with deep experience in the automotive and EV</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industries. The management team is rounded out by executives with significant experience from such companies as Tesla, Audi, Ford, Hyundai, Mazda, Mercedes-Benz, Porsche, Stellantis, and Volkswagen, among others.</w:t>
      </w:r>
    </w:p>
    <w:p>
      <w:pPr>
        <w:spacing w:after="0" w:line="204" w:lineRule="exact"/>
        <w:rPr>
          <w:rFonts w:ascii="Arial" w:cs="Arial" w:eastAsia="Arial" w:hAnsi="Arial"/>
          <w:sz w:val="23"/>
          <w:szCs w:val="23"/>
          <w:b w:val="1"/>
          <w:bCs w:val="1"/>
          <w:color w:val="auto"/>
        </w:rPr>
      </w:pPr>
    </w:p>
    <w:p>
      <w:pPr>
        <w:jc w:val="both"/>
        <w:ind w:left="700" w:right="280" w:hanging="347"/>
        <w:spacing w:after="0" w:line="293" w:lineRule="auto"/>
        <w:tabs>
          <w:tab w:leader="none" w:pos="700" w:val="left"/>
        </w:tabs>
        <w:numPr>
          <w:ilvl w:val="0"/>
          <w:numId w:val="124"/>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Strategic Partnerships. </w:t>
      </w:r>
      <w:r>
        <w:rPr>
          <w:rFonts w:ascii="Arial" w:cs="Arial" w:eastAsia="Arial" w:hAnsi="Arial"/>
          <w:sz w:val="19"/>
          <w:szCs w:val="19"/>
          <w:color w:val="auto"/>
        </w:rPr>
        <w:t>We have established strong relationships with suppliers and partners to deliver the Lucid Air and the Lucid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Gravity. We have battery cell supply agreements in place with leading suppliers in the EV space and have also begun entering into agreements to help ensure our supply of critical battery materials.</w:t>
      </w:r>
    </w:p>
    <w:p>
      <w:pPr>
        <w:spacing w:after="0" w:line="196" w:lineRule="exact"/>
        <w:rPr>
          <w:rFonts w:ascii="Arial" w:cs="Arial" w:eastAsia="Arial" w:hAnsi="Arial"/>
          <w:sz w:val="23"/>
          <w:szCs w:val="23"/>
          <w:b w:val="1"/>
          <w:bCs w:val="1"/>
          <w:color w:val="auto"/>
        </w:rPr>
      </w:pPr>
    </w:p>
    <w:p>
      <w:pPr>
        <w:ind w:left="700" w:right="240" w:hanging="347"/>
        <w:spacing w:after="0" w:line="371" w:lineRule="auto"/>
        <w:tabs>
          <w:tab w:leader="none" w:pos="700" w:val="left"/>
        </w:tabs>
        <w:numPr>
          <w:ilvl w:val="0"/>
          <w:numId w:val="124"/>
        </w:numPr>
        <w:rPr>
          <w:rFonts w:ascii="Arial" w:cs="Arial" w:eastAsia="Arial" w:hAnsi="Arial"/>
          <w:sz w:val="20"/>
          <w:szCs w:val="20"/>
          <w:color w:val="auto"/>
        </w:rPr>
      </w:pPr>
      <w:r>
        <w:rPr>
          <w:rFonts w:ascii="Arial" w:cs="Arial" w:eastAsia="Arial" w:hAnsi="Arial"/>
          <w:sz w:val="17"/>
          <w:szCs w:val="17"/>
          <w:b w:val="1"/>
          <w:bCs w:val="1"/>
          <w:i w:val="1"/>
          <w:iCs w:val="1"/>
          <w:color w:val="auto"/>
        </w:rPr>
        <w:t xml:space="preserve">Software Defined. </w:t>
      </w:r>
      <w:r>
        <w:rPr>
          <w:rFonts w:ascii="Arial" w:cs="Arial" w:eastAsia="Arial" w:hAnsi="Arial"/>
          <w:sz w:val="17"/>
          <w:szCs w:val="17"/>
          <w:color w:val="auto"/>
        </w:rPr>
        <w:t>Our advanced software-defined vehicle architecture is applied throughout our vehicles to allow us to continually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tune and improve vehicle performance, add features, and delight our existing and new customers through OTA software updates.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Growth Strategy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We aim to create opportunity as an automotive company and a technology provider for other automotive OEMs.</w:t>
      </w:r>
    </w:p>
    <w:p>
      <w:pPr>
        <w:spacing w:after="0" w:line="272" w:lineRule="exact"/>
        <w:rPr>
          <w:sz w:val="20"/>
          <w:szCs w:val="20"/>
          <w:color w:val="auto"/>
        </w:rPr>
      </w:pPr>
    </w:p>
    <w:p>
      <w:pPr>
        <w:ind w:left="700" w:hanging="347"/>
        <w:spacing w:after="0" w:line="298" w:lineRule="auto"/>
        <w:tabs>
          <w:tab w:leader="none" w:pos="700" w:val="left"/>
        </w:tabs>
        <w:numPr>
          <w:ilvl w:val="0"/>
          <w:numId w:val="125"/>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Vehicle Roadmap. </w:t>
      </w:r>
      <w:r>
        <w:rPr>
          <w:rFonts w:ascii="Arial" w:cs="Arial" w:eastAsia="Arial" w:hAnsi="Arial"/>
          <w:sz w:val="19"/>
          <w:szCs w:val="19"/>
          <w:color w:val="auto"/>
        </w:rPr>
        <w:t>We have established a roadmap for future vehicle lines that includes a variety of vehicle types expected to perform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well in various customer segments. Establishing the brand with the Lucid Air and the Lucid Gravity, we plan to unlock further sales with a new Midsize platform, enabling sales in some of the highest-volume vehicle segments, which we expect will enable us to leverage economies of scale and efficiency of operations. We will seek to establish a strong customer base in premium vehicle markets across the globe.</w:t>
      </w:r>
    </w:p>
    <w:p>
      <w:pPr>
        <w:spacing w:after="0" w:line="200" w:lineRule="exact"/>
        <w:rPr>
          <w:rFonts w:ascii="Arial" w:cs="Arial" w:eastAsia="Arial" w:hAnsi="Arial"/>
          <w:sz w:val="23"/>
          <w:szCs w:val="23"/>
          <w:b w:val="1"/>
          <w:bCs w:val="1"/>
          <w:color w:val="auto"/>
        </w:rPr>
      </w:pPr>
    </w:p>
    <w:p>
      <w:pPr>
        <w:ind w:left="700" w:right="40" w:hanging="347"/>
        <w:spacing w:after="0" w:line="298" w:lineRule="auto"/>
        <w:tabs>
          <w:tab w:leader="none" w:pos="700" w:val="left"/>
        </w:tabs>
        <w:numPr>
          <w:ilvl w:val="0"/>
          <w:numId w:val="125"/>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International Expansion. </w:t>
      </w:r>
      <w:r>
        <w:rPr>
          <w:rFonts w:ascii="Arial" w:cs="Arial" w:eastAsia="Arial" w:hAnsi="Arial"/>
          <w:sz w:val="19"/>
          <w:szCs w:val="19"/>
          <w:color w:val="auto"/>
        </w:rPr>
        <w:t>We expect to increase our market presence in multiple geographies along with the relevant retail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 footprint across each geographic region. Expanding across global markets is key to achieving the scale of economies needed for a profitable OEM. The expansion is expected to enhance the brand presence and awareness and support top line growth objectives. Additional business and distribution models are being implemented to both accelerate speed to market while optimizing resource requirements.</w:t>
      </w:r>
    </w:p>
    <w:p>
      <w:pPr>
        <w:spacing w:after="0" w:line="170" w:lineRule="exact"/>
        <w:rPr>
          <w:rFonts w:ascii="Arial" w:cs="Arial" w:eastAsia="Arial" w:hAnsi="Arial"/>
          <w:sz w:val="23"/>
          <w:szCs w:val="23"/>
          <w:b w:val="1"/>
          <w:bCs w:val="1"/>
          <w:color w:val="auto"/>
        </w:rPr>
      </w:pPr>
    </w:p>
    <w:p>
      <w:pPr>
        <w:ind w:left="700" w:right="100"/>
        <w:spacing w:after="0" w:line="284" w:lineRule="auto"/>
        <w:rPr>
          <w:rFonts w:ascii="Arial" w:cs="Arial" w:eastAsia="Arial" w:hAnsi="Arial"/>
          <w:sz w:val="23"/>
          <w:szCs w:val="23"/>
          <w:b w:val="1"/>
          <w:bCs w:val="1"/>
          <w:color w:val="auto"/>
        </w:rPr>
      </w:pPr>
      <w:r>
        <w:rPr>
          <w:rFonts w:ascii="Arial" w:cs="Arial" w:eastAsia="Arial" w:hAnsi="Arial"/>
          <w:sz w:val="18"/>
          <w:szCs w:val="18"/>
          <w:color w:val="auto"/>
        </w:rPr>
        <w:t>Long term, we are also exploring expansion of our manufacturing footprint. These manufacturing facilities could include facilities for component subassembly, vehicle kit reassembly, and complete built unit vehicle production. We believe that establishing a global manufacturing footprint will help us to grow the brand, scale the business and address market demand in the Middle East, European and Asia-Pacific markets, while also taking action to reduce our carbon footprint and address climate change.</w:t>
      </w:r>
    </w:p>
    <w:p>
      <w:pPr>
        <w:spacing w:after="0" w:line="172" w:lineRule="exact"/>
        <w:rPr>
          <w:rFonts w:ascii="Arial" w:cs="Arial" w:eastAsia="Arial" w:hAnsi="Arial"/>
          <w:sz w:val="23"/>
          <w:szCs w:val="23"/>
          <w:b w:val="1"/>
          <w:bCs w:val="1"/>
          <w:color w:val="auto"/>
        </w:rPr>
      </w:pPr>
    </w:p>
    <w:p>
      <w:pPr>
        <w:ind w:left="700" w:right="580"/>
        <w:spacing w:after="0" w:line="289" w:lineRule="auto"/>
        <w:rPr>
          <w:rFonts w:ascii="Arial" w:cs="Arial" w:eastAsia="Arial" w:hAnsi="Arial"/>
          <w:sz w:val="23"/>
          <w:szCs w:val="23"/>
          <w:b w:val="1"/>
          <w:bCs w:val="1"/>
          <w:color w:val="auto"/>
        </w:rPr>
      </w:pPr>
      <w:r>
        <w:rPr>
          <w:rFonts w:ascii="Arial" w:cs="Arial" w:eastAsia="Arial" w:hAnsi="Arial"/>
          <w:sz w:val="19"/>
          <w:szCs w:val="19"/>
          <w:color w:val="auto"/>
        </w:rPr>
        <w:t>We anticipate that a localized supply chain, production, distribution and retail network will yield cost savings and lower carbon emissions with shorter transportation distances of products to customers.</w:t>
      </w:r>
    </w:p>
    <w:p>
      <w:pPr>
        <w:spacing w:after="0" w:line="195" w:lineRule="exact"/>
        <w:rPr>
          <w:rFonts w:ascii="Arial" w:cs="Arial" w:eastAsia="Arial" w:hAnsi="Arial"/>
          <w:sz w:val="23"/>
          <w:szCs w:val="23"/>
          <w:b w:val="1"/>
          <w:bCs w:val="1"/>
          <w:color w:val="auto"/>
        </w:rPr>
      </w:pPr>
    </w:p>
    <w:p>
      <w:pPr>
        <w:ind w:left="700" w:right="240" w:hanging="347"/>
        <w:spacing w:after="0" w:line="317" w:lineRule="auto"/>
        <w:tabs>
          <w:tab w:leader="none" w:pos="700" w:val="left"/>
        </w:tabs>
        <w:numPr>
          <w:ilvl w:val="0"/>
          <w:numId w:val="125"/>
        </w:numPr>
        <w:rPr>
          <w:rFonts w:ascii="Arial" w:cs="Arial" w:eastAsia="Arial" w:hAnsi="Arial"/>
          <w:sz w:val="22"/>
          <w:szCs w:val="22"/>
          <w:b w:val="1"/>
          <w:bCs w:val="1"/>
          <w:color w:val="auto"/>
        </w:rPr>
      </w:pPr>
      <w:r>
        <w:rPr>
          <w:rFonts w:ascii="Arial" w:cs="Arial" w:eastAsia="Arial" w:hAnsi="Arial"/>
          <w:sz w:val="18"/>
          <w:szCs w:val="18"/>
          <w:b w:val="1"/>
          <w:bCs w:val="1"/>
          <w:i w:val="1"/>
          <w:iCs w:val="1"/>
          <w:color w:val="auto"/>
        </w:rPr>
        <w:t xml:space="preserve">Technology Outbound Sales &amp; Licensing. </w:t>
      </w:r>
      <w:r>
        <w:rPr>
          <w:rFonts w:ascii="Arial" w:cs="Arial" w:eastAsia="Arial" w:hAnsi="Arial"/>
          <w:sz w:val="18"/>
          <w:szCs w:val="18"/>
          <w:color w:val="auto"/>
        </w:rPr>
        <w:t>We are actively engaged in supplying all racing teams in the premier EV open wheel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racing series with a front drive unit and related software. We also entered into the Strategic Technology Arrangement with Aston Martin in 2023 under which we will provide Aston Martin access to our powertrain and battery system technology to use in Aston Martin’s battery electric vehicles. We plan to continue expanding this technology division to supply our world class technologies to other automotive OEMs and partners in the transportation sector to help accelerate the adoption of EVs.</w:t>
      </w:r>
    </w:p>
    <w:p>
      <w:pPr>
        <w:spacing w:after="0" w:line="156" w:lineRule="exact"/>
        <w:rPr>
          <w:rFonts w:ascii="Arial" w:cs="Arial" w:eastAsia="Arial" w:hAnsi="Arial"/>
          <w:sz w:val="22"/>
          <w:szCs w:val="22"/>
          <w:b w:val="1"/>
          <w:bCs w:val="1"/>
          <w:color w:val="auto"/>
        </w:rPr>
      </w:pPr>
    </w:p>
    <w:p>
      <w:pPr>
        <w:ind w:left="700" w:right="80"/>
        <w:spacing w:after="0" w:line="265" w:lineRule="auto"/>
        <w:rPr>
          <w:rFonts w:ascii="Arial" w:cs="Arial" w:eastAsia="Arial" w:hAnsi="Arial"/>
          <w:sz w:val="22"/>
          <w:szCs w:val="22"/>
          <w:b w:val="1"/>
          <w:bCs w:val="1"/>
          <w:color w:val="auto"/>
        </w:rPr>
      </w:pPr>
      <w:r>
        <w:rPr>
          <w:rFonts w:ascii="Arial" w:cs="Arial" w:eastAsia="Arial" w:hAnsi="Arial"/>
          <w:sz w:val="19"/>
          <w:szCs w:val="19"/>
          <w:color w:val="auto"/>
        </w:rPr>
        <w:t>We are motivated to achieve a future where transportation is fully sustainable. The sale of technology solutions to traditional automotive OEMs and pure-EV brands would support that goal, as would sales to customers in other transportation sectors. Our technology is modular and readily customizable, enhancing our suitability for build-to-print powertrain and battery solutions for other manufacturers.</w:t>
      </w:r>
    </w:p>
    <w:p>
      <w:pPr>
        <w:sectPr>
          <w:pgSz w:w="11880" w:h="15480" w:orient="portrait"/>
          <w:cols w:equalWidth="0" w:num="1">
            <w:col w:w="11060"/>
          </w:cols>
          <w:pgMar w:left="400" w:top="79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1060"/>
          </w:cols>
          <w:pgMar w:left="400" w:top="793" w:right="42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9"/>
          <w:szCs w:val="19"/>
          <w:b w:val="1"/>
          <w:bCs w:val="1"/>
          <w:color w:val="auto"/>
        </w:rPr>
        <w:t>Our Vehicles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Lucid Air</w:t>
      </w:r>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The Lucid Air is the most advanced car in the world, featuring California-inspired design and award-winning powertrain technology. As Lucid’s first vehicle, the Air has established Lucid as the preeminent force in electric vehicle technology. Since the first deliveries to customers in October 2021, the Lucid Air has been the benchmark for luxury vehicles and EVs, continuing to grow in popularity and garnering continuing accolades from the media. The Lucid Air is offered in an array of trims and configurations at different price points with distinct superlatives. The 2025 Air Pure offers a remarkable 420 miles of EPA-estimated range, with just an 84-kWh battery pack, and thus achieves a landmark 5.0 miles per kilowatt hour of energy, making it the most efficient vehicle on the market today. With 512 miles of EPA-estimated range, the Lucid Air Grand Touring continues to lead the market in range by a significant margin, enabled by advancements in Lucid’s electric powertrain technology. The Lucid Air Sapphire is the highest-performance version of the Lucid Air, boasting 1,234 horsepower from three motors, 427 miles of an EPA-estimated range (when equipped with standard wheel covers), the ability to accelerate from zero to 60 miles per hour in 1.89 seconds, and a quarter-mile time of 8.95 seconds. In 2024, the Lucid Air outperformed many major and well-established brand in the U.S. across both electric and combustion vehicles within its competitive set, based on the data from Motor Intelligence.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Lucid Gravity</w:t>
      </w:r>
    </w:p>
    <w:p>
      <w:pPr>
        <w:spacing w:after="0" w:line="2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Lucid Gravity, for which we began commercial production in December 2024, reimagines what an SUV can be, and is conceived from the ground up to offer a previously impossible combination of features. Enabled by Lucid’s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 Leveraging Lucid’s in-house powertrain technology, we have engineered the Lucid Gravity to deliver up to 450 miles of EPA-estimated range, while the only other competitive vehicle on the market today offering comparable driving range requires a battery pack over 60 percent larger in capacity.</w:t>
      </w:r>
    </w:p>
    <w:p>
      <w:pPr>
        <w:spacing w:after="0" w:line="180" w:lineRule="exact"/>
        <w:rPr>
          <w:sz w:val="20"/>
          <w:szCs w:val="20"/>
          <w:color w:val="auto"/>
        </w:rPr>
      </w:pPr>
    </w:p>
    <w:p>
      <w:pPr>
        <w:ind w:right="520"/>
        <w:spacing w:after="0" w:line="265" w:lineRule="auto"/>
        <w:rPr>
          <w:sz w:val="20"/>
          <w:szCs w:val="20"/>
          <w:color w:val="auto"/>
        </w:rPr>
      </w:pPr>
      <w:r>
        <w:rPr>
          <w:rFonts w:ascii="Arial" w:cs="Arial" w:eastAsia="Arial" w:hAnsi="Arial"/>
          <w:sz w:val="19"/>
          <w:szCs w:val="19"/>
          <w:color w:val="auto"/>
        </w:rPr>
        <w:t>The Lucid Gravity is designed to share components with the Lucid Air where optimal,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w:t>
      </w:r>
    </w:p>
    <w:p>
      <w:pPr>
        <w:spacing w:after="0" w:line="188"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68"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As discussed in “</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below, the Lucid Air and the Lucid Gravity are underpinned by the Lucid Electric Advanced Platform (“LEAP”), which is designed with adjustability to support multiple vehicle variants to enable greater capital deployment efficiency and speed to market.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Future Vehicle Programs</w:t>
      </w:r>
    </w:p>
    <w:p>
      <w:pPr>
        <w:spacing w:after="0" w:line="250"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started by manufacturing higher-end vehicles to establish our brand. We expect to progress to higher-volume vehicle segments over time, which require a higher throughput from manufacturing to distribution. Beyond the Lucid Air and the Lucid Gravity, our roadmap calls to expand our vehicle lineup with vehicles built on a new Midsize platform, with which we intend to enter lower-price and higher-volume vehicle segments. The Midsize platform is currently in development, and is scheduled for start of production in late 2026.</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Technology</w:t>
      </w:r>
    </w:p>
    <w:p>
      <w:pPr>
        <w:spacing w:after="0" w:line="249"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We are a technology company that has set new standards for sustainable transportation. We have done so in part by developing proprietary EV technology in-house. Core to our DNA is the achievement of technical excellence.</w:t>
      </w:r>
    </w:p>
    <w:p>
      <w:pPr>
        <w:spacing w:after="0" w:line="165" w:lineRule="exact"/>
        <w:rPr>
          <w:sz w:val="20"/>
          <w:szCs w:val="20"/>
          <w:color w:val="auto"/>
        </w:rPr>
      </w:pPr>
    </w:p>
    <w:p>
      <w:pPr>
        <w:ind w:right="400"/>
        <w:spacing w:after="0" w:line="317" w:lineRule="auto"/>
        <w:rPr>
          <w:sz w:val="20"/>
          <w:szCs w:val="20"/>
          <w:color w:val="auto"/>
        </w:rPr>
      </w:pPr>
      <w:r>
        <w:rPr>
          <w:rFonts w:ascii="Arial" w:cs="Arial" w:eastAsia="Arial" w:hAnsi="Arial"/>
          <w:sz w:val="17"/>
          <w:szCs w:val="17"/>
          <w:color w:val="auto"/>
        </w:rPr>
        <w:t>Our in-house engineering team is focused on delivering innovation in all facets of vehicle development, including hardware and software development, vehicle design, and passenger comfort. The development of the Lucid Air and the Lucid Gravity have been predicated on the premise that miniaturizing the powertrain would allow us to redesign what a passenger vehicle can be from the ground up.</w:t>
      </w:r>
    </w:p>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have refined our battery technologies over many years in real-world applications, including more than 230 million miles of vehicle testing and the supply of battery packs to all teams in the world’s premier EV open wheel racing series. We have used the data accumulated from these activities to refine our technology and thoughtfully develop the Lucid Air, and subsequently the Lucid Gravity.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in-house research and development organization establishes us as a leader across multiple technologies and areas of expertise.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Our technological achievements include significant advancements to the core technologies that drive an EV and are instrumental in the LEAP.</w:t>
      </w:r>
    </w:p>
    <w:p>
      <w:pPr>
        <w:sectPr>
          <w:pgSz w:w="11880" w:h="15480" w:orient="portrait"/>
          <w:cols w:equalWidth="0" w:num="1">
            <w:col w:w="11080"/>
          </w:cols>
          <w:pgMar w:left="400" w:top="756" w:right="400" w:bottom="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1080"/>
          </w:cols>
          <w:pgMar w:left="400" w:top="756" w:right="400"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17"/>
          <w:szCs w:val="17"/>
          <w:color w:val="auto"/>
        </w:rPr>
        <w:t>LEAP was designed and developed in-house, incorporating our six key powertrain elements: (i) battery pack &amp; battery management software,</w:t>
      </w:r>
    </w:p>
    <w:p>
      <w:pPr>
        <w:spacing w:after="0" w:line="35" w:lineRule="exact"/>
        <w:rPr>
          <w:sz w:val="20"/>
          <w:szCs w:val="20"/>
          <w:color w:val="auto"/>
        </w:rPr>
      </w:pPr>
    </w:p>
    <w:p>
      <w:pPr>
        <w:ind w:right="700" w:firstLine="7"/>
        <w:spacing w:after="0" w:line="351" w:lineRule="auto"/>
        <w:tabs>
          <w:tab w:leader="none" w:pos="28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electric motors, (iii) power electronics, (iv) transmission, (v) control software, and (vi) two-way onboard boost-charger. The LEAP structure is an enabling factor allowing the Lucid Space Concept to support class-leading interior and cargo room for a luxury EV.</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Areas where our in-house engineering has driven advancement include:</w:t>
      </w:r>
    </w:p>
    <w:p>
      <w:pPr>
        <w:spacing w:after="0" w:line="238" w:lineRule="exact"/>
        <w:rPr>
          <w:sz w:val="20"/>
          <w:szCs w:val="20"/>
          <w:color w:val="auto"/>
        </w:rPr>
      </w:pPr>
    </w:p>
    <w:p>
      <w:pPr>
        <w:ind w:left="700" w:hanging="347"/>
        <w:spacing w:after="0" w:line="281"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Battery Pack. </w:t>
      </w:r>
      <w:r>
        <w:rPr>
          <w:rFonts w:ascii="Arial" w:cs="Arial" w:eastAsia="Arial" w:hAnsi="Arial"/>
          <w:sz w:val="18"/>
          <w:szCs w:val="18"/>
          <w:color w:val="auto"/>
        </w:rPr>
        <w:t>The Lucid Air’s battery pack translates our motorsport experience and more than 230 million miles of real-world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compact and energy dense unit that was developed in-house with a clean-sheet approach to engineering. The battery pack is designed to be scalable and modular, providing opportunities for cost and range variations as we develop future variants on our LEAP architecture. It is also designed for performance, with advanced cell end-cooling and low resistance technologies designed to reduce heat generation, control battery cell thermal conditions and ultimately increase range.</w:t>
      </w:r>
    </w:p>
    <w:p>
      <w:pPr>
        <w:spacing w:after="0" w:line="176" w:lineRule="exact"/>
        <w:rPr>
          <w:rFonts w:ascii="Arial" w:cs="Arial" w:eastAsia="Arial" w:hAnsi="Arial"/>
          <w:sz w:val="18"/>
          <w:szCs w:val="18"/>
          <w:color w:val="auto"/>
        </w:rPr>
      </w:pPr>
    </w:p>
    <w:p>
      <w:pPr>
        <w:ind w:left="700" w:right="60"/>
        <w:spacing w:after="0" w:line="265" w:lineRule="auto"/>
        <w:rPr>
          <w:rFonts w:ascii="Arial" w:cs="Arial" w:eastAsia="Arial" w:hAnsi="Arial"/>
          <w:sz w:val="18"/>
          <w:szCs w:val="18"/>
          <w:color w:val="auto"/>
        </w:rPr>
      </w:pPr>
      <w:r>
        <w:rPr>
          <w:rFonts w:ascii="Arial" w:cs="Arial" w:eastAsia="Arial" w:hAnsi="Arial"/>
          <w:sz w:val="19"/>
          <w:szCs w:val="19"/>
          <w:color w:val="auto"/>
        </w:rPr>
        <w:t>Our battery packs incorporate battery cells from suppliers that have extensive experience in the development and manufacturing of cells for high-performance EV applications and robust battery cycle life. The battery cells incorporated into our battery packs are required to conform to our high standards, including with respect to our targets for range, energy density, recharge/discharge rates and other characteristics, and to support our compact, energy-dense battery pack form.</w:t>
      </w:r>
    </w:p>
    <w:p>
      <w:pPr>
        <w:spacing w:after="0" w:line="187" w:lineRule="exact"/>
        <w:rPr>
          <w:rFonts w:ascii="Arial" w:cs="Arial" w:eastAsia="Arial" w:hAnsi="Arial"/>
          <w:sz w:val="18"/>
          <w:szCs w:val="18"/>
          <w:color w:val="auto"/>
        </w:rPr>
      </w:pPr>
    </w:p>
    <w:p>
      <w:pPr>
        <w:jc w:val="both"/>
        <w:ind w:left="700"/>
        <w:spacing w:after="0" w:line="280" w:lineRule="auto"/>
        <w:rPr>
          <w:rFonts w:ascii="Arial" w:cs="Arial" w:eastAsia="Arial" w:hAnsi="Arial"/>
          <w:sz w:val="18"/>
          <w:szCs w:val="18"/>
          <w:color w:val="auto"/>
        </w:rPr>
      </w:pPr>
      <w:r>
        <w:rPr>
          <w:rFonts w:ascii="Arial" w:cs="Arial" w:eastAsia="Arial" w:hAnsi="Arial"/>
          <w:sz w:val="19"/>
          <w:szCs w:val="19"/>
          <w:color w:val="auto"/>
        </w:rPr>
        <w:t>Our battery packs support our vision to revolutionize EV technology through mass industrialization. Our single piece injection molded battery module is race derived yet designed for mass production, with electrical “bus bar” connectors that are integrally captured in the molding in a single 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profound technological advancement.</w:t>
      </w:r>
    </w:p>
    <w:p>
      <w:pPr>
        <w:spacing w:after="0" w:line="157" w:lineRule="exact"/>
        <w:rPr>
          <w:rFonts w:ascii="Arial" w:cs="Arial" w:eastAsia="Arial" w:hAnsi="Arial"/>
          <w:sz w:val="18"/>
          <w:szCs w:val="18"/>
          <w:color w:val="auto"/>
        </w:rPr>
      </w:pPr>
    </w:p>
    <w:p>
      <w:pPr>
        <w:ind w:left="700" w:right="80"/>
        <w:spacing w:after="0" w:line="337" w:lineRule="auto"/>
        <w:rPr>
          <w:rFonts w:ascii="Arial" w:cs="Arial" w:eastAsia="Arial" w:hAnsi="Arial"/>
          <w:sz w:val="18"/>
          <w:szCs w:val="18"/>
          <w:color w:val="auto"/>
        </w:rPr>
      </w:pPr>
      <w:r>
        <w:rPr>
          <w:rFonts w:ascii="Arial" w:cs="Arial" w:eastAsia="Arial" w:hAnsi="Arial"/>
          <w:sz w:val="18"/>
          <w:szCs w:val="18"/>
          <w:color w:val="auto"/>
        </w:rPr>
        <w:t>The technology developed for the battery pack in the Lucid Air has transferred to the Lucid Gravity, and we believe is suitable for the industrialization of our Midsize platform, and to technologically adjacent markets. See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Growth Strategy.</w:t>
      </w:r>
      <w:r>
        <w:rPr>
          <w:rFonts w:ascii="Arial" w:cs="Arial" w:eastAsia="Arial" w:hAnsi="Arial"/>
          <w:sz w:val="18"/>
          <w:szCs w:val="18"/>
          <w:color w:val="auto"/>
        </w:rPr>
        <w:t>”</w:t>
      </w:r>
    </w:p>
    <w:p>
      <w:pPr>
        <w:spacing w:after="0" w:line="105" w:lineRule="exact"/>
        <w:rPr>
          <w:rFonts w:ascii="Arial" w:cs="Arial" w:eastAsia="Arial" w:hAnsi="Arial"/>
          <w:sz w:val="18"/>
          <w:szCs w:val="18"/>
          <w:color w:val="auto"/>
        </w:rPr>
      </w:pPr>
    </w:p>
    <w:p>
      <w:pPr>
        <w:ind w:left="700" w:right="420" w:hanging="347"/>
        <w:spacing w:after="0" w:line="295"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Electric Motor, Inverter and Transmission Drive Unit. </w:t>
      </w:r>
      <w:r>
        <w:rPr>
          <w:rFonts w:ascii="Arial" w:cs="Arial" w:eastAsia="Arial" w:hAnsi="Arial"/>
          <w:sz w:val="18"/>
          <w:szCs w:val="18"/>
          <w:color w:val="auto"/>
        </w:rPr>
        <w:t>For our motor and gearbox system, we developed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magnet motors in-house. Combining these motors with an inverter and an integrated gearbox and differential creates an advanced electric drive unit that weighs just 163lb (74kg) and is small enough to fit inside a carry-on roller bag.</w:t>
      </w:r>
    </w:p>
    <w:p>
      <w:pPr>
        <w:spacing w:after="0" w:line="163" w:lineRule="exact"/>
        <w:rPr>
          <w:rFonts w:ascii="Arial" w:cs="Arial" w:eastAsia="Arial" w:hAnsi="Arial"/>
          <w:sz w:val="18"/>
          <w:szCs w:val="18"/>
          <w:color w:val="auto"/>
        </w:rPr>
      </w:pPr>
    </w:p>
    <w:p>
      <w:pPr>
        <w:ind w:left="700" w:right="200"/>
        <w:spacing w:after="0" w:line="265" w:lineRule="auto"/>
        <w:rPr>
          <w:rFonts w:ascii="Arial" w:cs="Arial" w:eastAsia="Arial" w:hAnsi="Arial"/>
          <w:sz w:val="18"/>
          <w:szCs w:val="18"/>
          <w:color w:val="auto"/>
        </w:rPr>
      </w:pPr>
      <w:r>
        <w:rPr>
          <w:rFonts w:ascii="Arial" w:cs="Arial" w:eastAsia="Arial" w:hAnsi="Arial"/>
          <w:sz w:val="19"/>
          <w:szCs w:val="19"/>
          <w:color w:val="auto"/>
        </w:rPr>
        <w:t>The Lucid drive unit is capable of producing up to 670 horsepower with power density up to 9.0 horsepower per kg, depending on vehicle trim and variant. This compactness allows for one, two or even three units to be used to power a Lucid Air or Lucid Gravity. Further to this, we have developed motor and transmission technology for the world’s premier EV open wheel racing series with a power density of over 14.5 horsepower per kg.</w:t>
      </w:r>
    </w:p>
    <w:p>
      <w:pPr>
        <w:spacing w:after="0" w:line="187" w:lineRule="exact"/>
        <w:rPr>
          <w:rFonts w:ascii="Arial" w:cs="Arial" w:eastAsia="Arial" w:hAnsi="Arial"/>
          <w:sz w:val="18"/>
          <w:szCs w:val="18"/>
          <w:color w:val="auto"/>
        </w:rPr>
      </w:pPr>
    </w:p>
    <w:p>
      <w:pPr>
        <w:ind w:left="700" w:right="120"/>
        <w:spacing w:after="0" w:line="265" w:lineRule="auto"/>
        <w:rPr>
          <w:rFonts w:ascii="Arial" w:cs="Arial" w:eastAsia="Arial" w:hAnsi="Arial"/>
          <w:sz w:val="18"/>
          <w:szCs w:val="18"/>
          <w:color w:val="auto"/>
        </w:rPr>
      </w:pPr>
      <w:r>
        <w:rPr>
          <w:rFonts w:ascii="Arial" w:cs="Arial" w:eastAsia="Arial" w:hAnsi="Arial"/>
          <w:sz w:val="19"/>
          <w:szCs w:val="19"/>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patented cooling system that more effectively removes heat from the stator winding, reducing losses and boosting efficiency.</w:t>
      </w:r>
    </w:p>
    <w:p>
      <w:pPr>
        <w:spacing w:after="0" w:line="187" w:lineRule="exact"/>
        <w:rPr>
          <w:rFonts w:ascii="Arial" w:cs="Arial" w:eastAsia="Arial" w:hAnsi="Arial"/>
          <w:sz w:val="18"/>
          <w:szCs w:val="18"/>
          <w:color w:val="auto"/>
        </w:rPr>
      </w:pPr>
    </w:p>
    <w:p>
      <w:pPr>
        <w:ind w:left="700" w:right="220"/>
        <w:spacing w:after="0" w:line="262" w:lineRule="auto"/>
        <w:rPr>
          <w:rFonts w:ascii="Arial" w:cs="Arial" w:eastAsia="Arial" w:hAnsi="Arial"/>
          <w:sz w:val="18"/>
          <w:szCs w:val="18"/>
          <w:color w:val="auto"/>
        </w:rPr>
      </w:pPr>
      <w:r>
        <w:rPr>
          <w:rFonts w:ascii="Arial" w:cs="Arial" w:eastAsia="Arial" w:hAnsi="Arial"/>
          <w:sz w:val="19"/>
          <w:szCs w:val="19"/>
          <w:color w:val="auto"/>
        </w:rPr>
        <w:t>The compactness of these electric drive units lays the foundation for our Space Concept vehicle design approach. The patented fully integrated transmission and differential also contribute to this approach. Together, these components comprise a unified, integrated rotational system that is both lightweight and extremely efficient. Meanwhile, we leverage a high voltage, silicon-carbide metal– oxide–semiconductor field-effect transistor (“MOSFET”) system in our inverters to increase efficiency, especially in real-world driving conditions.</w:t>
      </w:r>
    </w:p>
    <w:p>
      <w:pPr>
        <w:spacing w:after="0" w:line="185" w:lineRule="exact"/>
        <w:rPr>
          <w:rFonts w:ascii="Arial" w:cs="Arial" w:eastAsia="Arial" w:hAnsi="Arial"/>
          <w:sz w:val="18"/>
          <w:szCs w:val="18"/>
          <w:color w:val="auto"/>
        </w:rPr>
      </w:pPr>
    </w:p>
    <w:p>
      <w:pPr>
        <w:ind w:left="700" w:right="100" w:hanging="347"/>
        <w:spacing w:after="0" w:line="263" w:lineRule="auto"/>
        <w:tabs>
          <w:tab w:leader="none" w:pos="700" w:val="left"/>
        </w:tabs>
        <w:numPr>
          <w:ilvl w:val="0"/>
          <w:numId w:val="12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Bi-directional Charging. </w:t>
      </w:r>
      <w:r>
        <w:rPr>
          <w:rFonts w:ascii="Arial" w:cs="Arial" w:eastAsia="Arial" w:hAnsi="Arial"/>
          <w:sz w:val="19"/>
          <w:szCs w:val="19"/>
          <w:color w:val="auto"/>
        </w:rPr>
        <w:t>The 900V+ high voltage architecture and our Wunderbox are key enablers inside the Lucid Air’s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Lucid Gravity’s electrical platform. The Wunderbox is designed to enable ultra-fast DC and bi-directional AC charging with proprietary technology. It is a multi-function unit, developed in-house to help ensure compatibility with various charging stations and power levels, from Level 1 AC up to Level 3 DC fast charging. It also enables “boost-charging” when needed, such as when connected to 400V DC charging infrastructure.</w:t>
      </w:r>
    </w:p>
    <w:p>
      <w:pPr>
        <w:spacing w:after="0" w:line="190" w:lineRule="exact"/>
        <w:rPr>
          <w:rFonts w:ascii="Arial" w:cs="Arial" w:eastAsia="Arial" w:hAnsi="Arial"/>
          <w:sz w:val="19"/>
          <w:szCs w:val="19"/>
          <w:color w:val="auto"/>
        </w:rPr>
      </w:pPr>
    </w:p>
    <w:p>
      <w:pPr>
        <w:ind w:left="700" w:right="60"/>
        <w:spacing w:after="0" w:line="260" w:lineRule="auto"/>
        <w:rPr>
          <w:rFonts w:ascii="Arial" w:cs="Arial" w:eastAsia="Arial" w:hAnsi="Arial"/>
          <w:sz w:val="19"/>
          <w:szCs w:val="19"/>
          <w:color w:val="auto"/>
        </w:rPr>
      </w:pPr>
      <w:r>
        <w:rPr>
          <w:rFonts w:ascii="Arial" w:cs="Arial" w:eastAsia="Arial" w:hAnsi="Arial"/>
          <w:sz w:val="19"/>
          <w:szCs w:val="19"/>
          <w:color w:val="auto"/>
        </w:rPr>
        <w:t>The Wunderbox is also designed to enable a wide array of future-ready, bi-directional power delivery features, such as vehicle-to-grid (“V2G”) applications for situations such as managing home power outages. In November 2023, we launched RangeXchange, an innovative new feature enabling the Lucid Air to directly charge another EV. This capability is enabled by our bi-directional charging technology built into every Air via an OTA software update, as well as the RangeXchange adapter. This holistic systems approach to the integration of hardware and software is what allows us to provide these value-add updates and truly sets us apart in the automotive industry.</w:t>
      </w:r>
    </w:p>
    <w:p>
      <w:pPr>
        <w:spacing w:after="0" w:line="188" w:lineRule="exact"/>
        <w:rPr>
          <w:rFonts w:ascii="Arial" w:cs="Arial" w:eastAsia="Arial" w:hAnsi="Arial"/>
          <w:sz w:val="19"/>
          <w:szCs w:val="19"/>
          <w:color w:val="auto"/>
        </w:rPr>
      </w:pPr>
    </w:p>
    <w:p>
      <w:pPr>
        <w:jc w:val="both"/>
        <w:ind w:left="700" w:right="560" w:hanging="347"/>
        <w:spacing w:after="0" w:line="320" w:lineRule="auto"/>
        <w:tabs>
          <w:tab w:leader="none" w:pos="70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System. </w:t>
      </w:r>
      <w:r>
        <w:rPr>
          <w:rFonts w:ascii="Arial" w:cs="Arial" w:eastAsia="Arial" w:hAnsi="Arial"/>
          <w:sz w:val="17"/>
          <w:szCs w:val="17"/>
          <w:color w:val="auto"/>
        </w:rPr>
        <w:t>The Lucid Air and the Lucid Gravity are true software-defined vehicles. With software-enabled future-ready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hardware, Lucid vehicles can evolve over time to best meet customer needs long after they take delivery. With highly advanced processing capabilities, the system leverages data analytics and OTA updates to improve and refresh the vehicle over time.</w:t>
      </w:r>
    </w:p>
    <w:p>
      <w:pPr>
        <w:sectPr>
          <w:pgSz w:w="11880" w:h="15480" w:orient="portrait"/>
          <w:cols w:equalWidth="0" w:num="1">
            <w:col w:w="11060"/>
          </w:cols>
          <w:pgMar w:left="400" w:top="763" w:right="420"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1060"/>
          </w:cols>
          <w:pgMar w:left="400" w:top="763" w:right="420" w:bottom="0" w:gutter="0" w:footer="0" w:header="0"/>
          <w:type w:val="continuous"/>
        </w:sectPr>
      </w:pPr>
    </w:p>
    <w:bookmarkStart w:id="132" w:name="page133"/>
    <w:bookmarkEnd w:id="132"/>
    <w:p>
      <w:pPr>
        <w:ind w:left="347" w:right="140"/>
        <w:spacing w:after="0" w:line="289" w:lineRule="auto"/>
        <w:rPr>
          <w:sz w:val="20"/>
          <w:szCs w:val="20"/>
          <w:color w:val="auto"/>
        </w:rPr>
      </w:pPr>
      <w:r>
        <w:rPr>
          <w:rFonts w:ascii="Arial" w:cs="Arial" w:eastAsia="Arial" w:hAnsi="Arial"/>
          <w:sz w:val="19"/>
          <w:szCs w:val="19"/>
          <w:color w:val="auto"/>
        </w:rPr>
        <w:t>We have deployed more than 100 OTA software updates for improvements and bug fixes since customer deliveries began in October 2021.</w:t>
      </w:r>
    </w:p>
    <w:p>
      <w:pPr>
        <w:spacing w:after="0" w:line="165" w:lineRule="exact"/>
        <w:rPr>
          <w:sz w:val="20"/>
          <w:szCs w:val="20"/>
          <w:color w:val="auto"/>
        </w:rPr>
      </w:pPr>
    </w:p>
    <w:p>
      <w:pPr>
        <w:ind w:left="347" w:right="260"/>
        <w:spacing w:after="0" w:line="305" w:lineRule="auto"/>
        <w:rPr>
          <w:sz w:val="20"/>
          <w:szCs w:val="20"/>
          <w:color w:val="auto"/>
        </w:rPr>
      </w:pPr>
      <w:r>
        <w:rPr>
          <w:rFonts w:ascii="Arial" w:cs="Arial" w:eastAsia="Arial" w:hAnsi="Arial"/>
          <w:sz w:val="17"/>
          <w:szCs w:val="17"/>
          <w:color w:val="auto"/>
        </w:rPr>
        <w:t>In October 2022, we introduced Lucid UX 2.0, our most extensive software update to that point, with hundreds of updates and new features for every Lucid Air on the road. These included new capabilities for the DreamDrive advanced driver assistance systems, enhanced system performance, and new on-screen layouts to make Lucid UX more ergonomically friendly. These software updates are developed, coded, validated, and deployed by Lucid’s in-house hardware and software engineering teams.</w:t>
      </w:r>
    </w:p>
    <w:p>
      <w:pPr>
        <w:spacing w:after="0" w:line="159" w:lineRule="exact"/>
        <w:rPr>
          <w:sz w:val="20"/>
          <w:szCs w:val="20"/>
          <w:color w:val="auto"/>
        </w:rPr>
      </w:pPr>
    </w:p>
    <w:p>
      <w:pPr>
        <w:ind w:left="347" w:right="200"/>
        <w:spacing w:after="0" w:line="262" w:lineRule="auto"/>
        <w:rPr>
          <w:sz w:val="20"/>
          <w:szCs w:val="20"/>
          <w:color w:val="auto"/>
        </w:rPr>
      </w:pPr>
      <w:r>
        <w:rPr>
          <w:rFonts w:ascii="Arial" w:cs="Arial" w:eastAsia="Arial" w:hAnsi="Arial"/>
          <w:sz w:val="19"/>
          <w:szCs w:val="19"/>
          <w:color w:val="auto"/>
        </w:rPr>
        <w:t>In March 2023, we introduced wireless Apple CarPlay integration. Scheduled Charging, introduced in February 2023, allows customers to plug in a Lucid Air to a charger and begin charging at a predetermined time. In addition to these enhancements, we introduced several new features including Creature Comfort Mode for pets left in an otherwise unoccupied vehicle, Max A/C, Multitasking Widget, and Easy Entry, and made improvements to existing features including Highway Assist, SiriusXM, and Range Estimation.</w:t>
      </w:r>
    </w:p>
    <w:p>
      <w:pPr>
        <w:spacing w:after="0" w:line="191" w:lineRule="exact"/>
        <w:rPr>
          <w:sz w:val="20"/>
          <w:szCs w:val="20"/>
          <w:color w:val="auto"/>
        </w:rPr>
      </w:pPr>
    </w:p>
    <w:p>
      <w:pPr>
        <w:ind w:left="347" w:right="540"/>
        <w:spacing w:after="0" w:line="289" w:lineRule="auto"/>
        <w:rPr>
          <w:sz w:val="20"/>
          <w:szCs w:val="20"/>
          <w:color w:val="auto"/>
        </w:rPr>
      </w:pPr>
      <w:r>
        <w:rPr>
          <w:rFonts w:ascii="Arial" w:cs="Arial" w:eastAsia="Arial" w:hAnsi="Arial"/>
          <w:sz w:val="19"/>
          <w:szCs w:val="19"/>
          <w:color w:val="auto"/>
        </w:rPr>
        <w:t>In September, 2024, we added support for a new “Hey Lucid” vehicle voice assistant and made significant enhancements to our DreamDrive automated driving features as described below.</w:t>
      </w:r>
    </w:p>
    <w:p>
      <w:pPr>
        <w:spacing w:after="0" w:line="165" w:lineRule="exact"/>
        <w:rPr>
          <w:sz w:val="20"/>
          <w:szCs w:val="20"/>
          <w:color w:val="auto"/>
        </w:rPr>
      </w:pPr>
    </w:p>
    <w:p>
      <w:pPr>
        <w:jc w:val="both"/>
        <w:ind w:left="347" w:right="320"/>
        <w:spacing w:after="0" w:line="284" w:lineRule="auto"/>
        <w:rPr>
          <w:sz w:val="20"/>
          <w:szCs w:val="20"/>
          <w:color w:val="auto"/>
        </w:rPr>
      </w:pPr>
      <w:r>
        <w:rPr>
          <w:rFonts w:ascii="Arial" w:cs="Arial" w:eastAsia="Arial" w:hAnsi="Arial"/>
          <w:sz w:val="18"/>
          <w:szCs w:val="18"/>
          <w:color w:val="auto"/>
        </w:rPr>
        <w:t>In November 2024, we released an OTA update for Lucid Air that significantly enhanced the audio experience in vehicles with the Surreal Sound Pro option and improved low volume level sound quality in all vehicles. This OTA update also improved the in-car navigation system, now displaying traffic lights and stop signs in regions supporting this feature. Additionally, as described below, this update included significant enhancements to our DreamDrive automated driving features.</w:t>
      </w:r>
    </w:p>
    <w:p>
      <w:pPr>
        <w:spacing w:after="0" w:line="168" w:lineRule="exact"/>
        <w:rPr>
          <w:sz w:val="20"/>
          <w:szCs w:val="20"/>
          <w:color w:val="auto"/>
        </w:rPr>
      </w:pPr>
    </w:p>
    <w:p>
      <w:pPr>
        <w:ind w:left="347" w:hanging="347"/>
        <w:spacing w:after="0" w:line="276" w:lineRule="auto"/>
        <w:tabs>
          <w:tab w:leader="none" w:pos="347"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Controls Software. </w:t>
      </w:r>
      <w:r>
        <w:rPr>
          <w:rFonts w:ascii="Arial" w:cs="Arial" w:eastAsia="Arial" w:hAnsi="Arial"/>
          <w:sz w:val="18"/>
          <w:szCs w:val="18"/>
          <w:color w:val="auto"/>
        </w:rPr>
        <w:t>The core technology in the Lucid Air and the Lucid Gravity is fully conceived in-house. This includes a state-of-the-art computing platform, using our Ethernet Ring architecture, as well as intelligent fuse boxes and future proofed advance lighting systems, which is able to be upgraded with software to enable additional and improved features related to performance, range, and user experience. In 2023, with the release of the Lucid Sapphire, an In-House Traction Control and Torque Vectoring system was designed, implemented, and calibrated on various surfaces, delivering the performance attributes which gained broad acclaim. In 2024, with the Lucid Air rear-wheel drive, Regen Traction Control was developed to improve the performance of the vehicles in regen mode. In 2024, we also introduced a no-regen mode as an additional option for Lucid Air customers.</w:t>
      </w:r>
    </w:p>
    <w:p>
      <w:pPr>
        <w:spacing w:after="0" w:line="182" w:lineRule="exact"/>
        <w:rPr>
          <w:rFonts w:ascii="Arial" w:cs="Arial" w:eastAsia="Arial" w:hAnsi="Arial"/>
          <w:sz w:val="18"/>
          <w:szCs w:val="18"/>
          <w:color w:val="auto"/>
        </w:rPr>
      </w:pPr>
    </w:p>
    <w:p>
      <w:pPr>
        <w:jc w:val="both"/>
        <w:ind w:left="347" w:right="320"/>
        <w:spacing w:after="0" w:line="271" w:lineRule="auto"/>
        <w:rPr>
          <w:rFonts w:ascii="Arial" w:cs="Arial" w:eastAsia="Arial" w:hAnsi="Arial"/>
          <w:sz w:val="18"/>
          <w:szCs w:val="18"/>
          <w:color w:val="auto"/>
        </w:rPr>
      </w:pPr>
      <w:r>
        <w:rPr>
          <w:rFonts w:ascii="Arial" w:cs="Arial" w:eastAsia="Arial" w:hAnsi="Arial"/>
          <w:sz w:val="19"/>
          <w:szCs w:val="19"/>
          <w:color w:val="auto"/>
        </w:rPr>
        <w:t>Our charging software was developed fully in-house from 2020; and in 2024, we released improvements to the software that led to 110V charging becoming 10% more efficient. At the same time, we also introduced new control algorithms on the rear drive units which improved our efficiency and range.</w:t>
      </w:r>
    </w:p>
    <w:p>
      <w:pPr>
        <w:spacing w:after="0" w:line="177" w:lineRule="exact"/>
        <w:rPr>
          <w:rFonts w:ascii="Arial" w:cs="Arial" w:eastAsia="Arial" w:hAnsi="Arial"/>
          <w:sz w:val="18"/>
          <w:szCs w:val="18"/>
          <w:color w:val="auto"/>
        </w:rPr>
      </w:pPr>
    </w:p>
    <w:p>
      <w:pPr>
        <w:ind w:left="347" w:right="200" w:hanging="347"/>
        <w:spacing w:after="0" w:line="301" w:lineRule="auto"/>
        <w:tabs>
          <w:tab w:leader="none" w:pos="347"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Lucid DreamDrive. </w:t>
      </w:r>
      <w:r>
        <w:rPr>
          <w:rFonts w:ascii="Arial" w:cs="Arial" w:eastAsia="Arial" w:hAnsi="Arial"/>
          <w:sz w:val="17"/>
          <w:szCs w:val="17"/>
          <w:color w:val="auto"/>
        </w:rPr>
        <w:t>The Lucid Air is equipped with an extensive sensor suite, high on-board computing power, back-up systems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Driver Assistance Systems (“ADAS”) and, over time, increased levels of automation. With up to 32 ADAS sensors onboard, the Lucid Air features one of the most comprehensive sensor suites among currently available production vehicles. The Lucid Air includes certain features with Level 2 ADAS functionality and is capable of software upgrades via OTA updates. Further, by collecting and analyzing fleet data, we continue to enhance our ADAS features and improve the Lucid experience.</w:t>
      </w:r>
    </w:p>
    <w:p>
      <w:pPr>
        <w:spacing w:after="0" w:line="162" w:lineRule="exact"/>
        <w:rPr>
          <w:rFonts w:ascii="Arial" w:cs="Arial" w:eastAsia="Arial" w:hAnsi="Arial"/>
          <w:sz w:val="17"/>
          <w:szCs w:val="17"/>
          <w:color w:val="auto"/>
        </w:rPr>
      </w:pPr>
    </w:p>
    <w:p>
      <w:pPr>
        <w:ind w:left="347" w:right="220"/>
        <w:spacing w:after="0" w:line="280" w:lineRule="auto"/>
        <w:rPr>
          <w:rFonts w:ascii="Arial" w:cs="Arial" w:eastAsia="Arial" w:hAnsi="Arial"/>
          <w:sz w:val="17"/>
          <w:szCs w:val="17"/>
          <w:color w:val="auto"/>
        </w:rPr>
      </w:pPr>
      <w:r>
        <w:rPr>
          <w:rFonts w:ascii="Arial" w:cs="Arial" w:eastAsia="Arial" w:hAnsi="Arial"/>
          <w:sz w:val="18"/>
          <w:szCs w:val="18"/>
          <w:color w:val="auto"/>
        </w:rPr>
        <w:t>In September 2024, an OTA update introduced major enhancements to DreamDrive Pro’s Level 2 Highway Assist feature, significantly improving lane centering performance and adding Active Curve Speed control to slow the vehicle in curves for a more comfortable experience. A new Lane Change Assist feature was also added to Highway Assist, allowing vehicles to change lanes automatically after initiation by driver. In addition, this release extended stop-and-go support for heavy traffic driver assistance, and added a 3-D visualization of surrounding vehicles and pedestrians in the instrument cluster display.</w:t>
      </w:r>
    </w:p>
    <w:p>
      <w:pPr>
        <w:spacing w:after="0" w:line="175" w:lineRule="exact"/>
        <w:rPr>
          <w:rFonts w:ascii="Arial" w:cs="Arial" w:eastAsia="Arial" w:hAnsi="Arial"/>
          <w:sz w:val="17"/>
          <w:szCs w:val="17"/>
          <w:color w:val="auto"/>
        </w:rPr>
      </w:pPr>
    </w:p>
    <w:p>
      <w:pPr>
        <w:ind w:left="347" w:right="440"/>
        <w:spacing w:after="0" w:line="289" w:lineRule="auto"/>
        <w:rPr>
          <w:rFonts w:ascii="Arial" w:cs="Arial" w:eastAsia="Arial" w:hAnsi="Arial"/>
          <w:sz w:val="17"/>
          <w:szCs w:val="17"/>
          <w:color w:val="auto"/>
        </w:rPr>
      </w:pPr>
      <w:r>
        <w:rPr>
          <w:rFonts w:ascii="Arial" w:cs="Arial" w:eastAsia="Arial" w:hAnsi="Arial"/>
          <w:sz w:val="19"/>
          <w:szCs w:val="19"/>
          <w:color w:val="auto"/>
        </w:rPr>
        <w:t>In November 2024, we added the Curb Rash Alert, which automatically detect curbs at low vehicle speeds and warn the driver of potential wheel scraping. Lucid is the first-to-market with this feature and has filed a patent application.</w:t>
      </w:r>
    </w:p>
    <w:p>
      <w:pPr>
        <w:spacing w:after="0" w:line="160" w:lineRule="exact"/>
        <w:rPr>
          <w:rFonts w:ascii="Arial" w:cs="Arial" w:eastAsia="Arial" w:hAnsi="Arial"/>
          <w:sz w:val="17"/>
          <w:szCs w:val="17"/>
          <w:color w:val="auto"/>
        </w:rPr>
      </w:pPr>
    </w:p>
    <w:p>
      <w:pPr>
        <w:ind w:left="347" w:right="40" w:hanging="347"/>
        <w:spacing w:after="0" w:line="276" w:lineRule="auto"/>
        <w:tabs>
          <w:tab w:leader="none" w:pos="347"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Lucid’s Micro Lens Array (“MLA”) Lighting. </w:t>
      </w:r>
      <w:r>
        <w:rPr>
          <w:rFonts w:ascii="Arial" w:cs="Arial" w:eastAsia="Arial" w:hAnsi="Arial"/>
          <w:sz w:val="18"/>
          <w:szCs w:val="18"/>
          <w:color w:val="auto"/>
        </w:rPr>
        <w:t>A revolution in optical technology, our MLA was created in-house and allows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accurate control over the intensity distribution of the headlamp than conventional technologies. In a very compact form factor, the technology delivers exceptional contrast, high peak intensity, and high color uniformity. This technology enables a long-illuminated distance in low-beam mode with good visibility on both sides of the road and low glare for oncoming traffic. The MLA also allows angular distribution adaptation without mechanical movement of the light module only by changing the electrical current to the LED. For example, it can change the beam pattern from a more range focused brighter narrow beam on a highway to a broader mid-distance focused beam in cities or improve illumination of the roadside in curves or intersections.</w:t>
      </w:r>
    </w:p>
    <w:p>
      <w:pPr>
        <w:sectPr>
          <w:pgSz w:w="11880" w:h="15480" w:orient="portrait"/>
          <w:cols w:equalWidth="0" w:num="1">
            <w:col w:w="10707"/>
          </w:cols>
          <w:pgMar w:left="753"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3"/>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707"/>
          </w:cols>
          <w:pgMar w:left="753" w:top="763" w:right="420"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19"/>
          <w:szCs w:val="19"/>
          <w:b w:val="1"/>
          <w:bCs w:val="1"/>
          <w:color w:val="auto"/>
        </w:rPr>
        <w:t>Manufacturing</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We built North America’s first greenfield, purpose-built EV manufacturing facilities, in Casa Grande, Arizona. Lucid’s manufacturing activities are carried out at our vehicle manufacturing plant, AMP-1. An emphasis on vertical integration of manufacturing capabilities provides us the opportunity to control our technology roadmap, ensure a high degree of quality control, and improve product margins relative to an outsourced manufacturing arrangement. This vertical integration has allowed us to use decades of industry experience to achieve greater capital efficiencies, greater operational efficiencies, and consistent production quality.</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We began the production of the Lucid Air at AMP-1 in September 2021. The manufacturing expansion of phase 2 at AMP-1 kicked off in mid-2021, adding approximately 3 million square feet of manufacturing space to our facility. In September 2023, we began producing vehicles at the AMP-1 phase 2 expanded facility, using innovative production processes and state-of-the-art equipment.</w:t>
      </w:r>
    </w:p>
    <w:p>
      <w:pPr>
        <w:spacing w:after="0" w:line="18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In 2024, we completed the phase 2 expansion project for all key manufacturing activities at AMP-1, including paint shop, stamping, a new body shop for the Lucid Gravity, and a majority of powertrain shop. Our AMP-1 phase 2 facility currently manufactures the Lucid Air and the Lucid Gravity. These expansion activities resulted in 90,000 units per year of installed capacity. In the fourth quarter of 2024, we started to phase out operations at Lucid Powertrain Manufacturing-1 (“LPM-1”) plant from dedicated powertrain manufacturing to remanufacturing. By May 2025, we expect that LPM-1 will focus on remanufacturing while AMP-1 phase 2 will house all dedicated powertrain operations.</w:t>
      </w:r>
    </w:p>
    <w:p>
      <w:pPr>
        <w:spacing w:after="0" w:line="162" w:lineRule="exact"/>
        <w:rPr>
          <w:sz w:val="20"/>
          <w:szCs w:val="20"/>
          <w:color w:val="auto"/>
        </w:rPr>
      </w:pPr>
    </w:p>
    <w:p>
      <w:pPr>
        <w:ind w:right="260"/>
        <w:spacing w:after="0" w:line="265" w:lineRule="auto"/>
        <w:rPr>
          <w:sz w:val="20"/>
          <w:szCs w:val="20"/>
          <w:color w:val="auto"/>
        </w:rPr>
      </w:pPr>
      <w:r>
        <w:rPr>
          <w:rFonts w:ascii="Arial" w:cs="Arial" w:eastAsia="Arial" w:hAnsi="Arial"/>
          <w:sz w:val="19"/>
          <w:szCs w:val="19"/>
          <w:color w:val="auto"/>
        </w:rPr>
        <w:t>In September 2023, we opened AMP-2, which was Saudi Arabia’s first-ever car manufacturing facility and our first manufacturing facility outside the United States, where we commenced SKD assembly operations. The facility’s initial operation is re-assembly of SKD Lucid Air vehicle “kits” that are pre-manufactured at AMP-1. It has installed annual capacity of 5,000 vehicles with the intent to scale up operations to meet demand in the Middle East.</w:t>
      </w:r>
    </w:p>
    <w:p>
      <w:pPr>
        <w:spacing w:after="0" w:line="188" w:lineRule="exact"/>
        <w:rPr>
          <w:sz w:val="20"/>
          <w:szCs w:val="20"/>
          <w:color w:val="auto"/>
        </w:rPr>
      </w:pPr>
    </w:p>
    <w:p>
      <w:pPr>
        <w:jc w:val="both"/>
        <w:ind w:right="120"/>
        <w:spacing w:after="0" w:line="271" w:lineRule="auto"/>
        <w:rPr>
          <w:sz w:val="20"/>
          <w:szCs w:val="20"/>
          <w:color w:val="auto"/>
        </w:rPr>
      </w:pPr>
      <w:r>
        <w:rPr>
          <w:rFonts w:ascii="Arial" w:cs="Arial" w:eastAsia="Arial" w:hAnsi="Arial"/>
          <w:sz w:val="19"/>
          <w:szCs w:val="19"/>
          <w:color w:val="auto"/>
        </w:rPr>
        <w:t>In 2024, we started the expansion of our AMP-2 facility to enable CBU unit production with target installed annual capacity of 150,000. Once completed, AMP-2 is expected to have all the key manufacturing activities including stamping, body in white, painting, general assembly, and eventually powertrain production.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Supply Chain</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Our supplier partners remain key in delivering our plan. Our vehicle contains thousands of parts and materials from suppliers around the globe. Lucid’s sourcing plans utilize a comprehensive qualification process to assess technical capability, quality, cost, footprint, etc. Challenges in supply chain remain, so collaborative relationships are essential. Lucid works closely with suppliers in the upfront development process and in supporting production needs and requirements. We have a multi-year sourcing agreement for lithium-ion batteries, a key component of our battery system, with Panasonic Energy Co., Ltd. and certain of its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Go-To-Market Strategy</w:t>
      </w:r>
    </w:p>
    <w:p>
      <w:pPr>
        <w:spacing w:after="0" w:line="24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Our typical customer journey begins through our advanced digital platform. We use several channels to educate customers regarding our brand identity, explain the creation of our technology, highlight the people behind our design and technology, and provide an easy gateway towards ordering and ownership. The goal is to cultivate brand loyalty and affinity with our customers. Our direct-to-consumer model allows customers the option of building vehicles to order or selecting from available cars via our digital platform. On the website, customers can experience our online vehicle configurator, which provides an opportunity to explore trims, colors, and features to determine the perfect Lucid for their needs. From there, we provide the customer with the option to either schedule a test drive, place an order online, contact our sales department, or visit one of our retail stores or gallery locations, which we refer to as “Studios.” Our direct-to-consumer sales model, combined with a digitally enhanced luxury experience through our website and a refined in-store experience, creates opportunities to tailor to each customer’s purchase and ownership preferences and provide Lucid with a level of control and refinement essential to building loyalty and ambassadorship among our intenders and customers. Through our omni-channel approach, Lucid intenders have the option to visit a Studio in person, make their inquiries entirely online, talk to an inside sales representative, or enjoy a combination of the three experiences with seamless handoffs.</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In developing our Studios, we have built a network of retail spaces to enable customers to experience the brand and our products in locations that underscore our design aesthetic and allow the customers to experience our full product breadth through different sensory tools. Like the Lucid Air and the Lucid Gravity, the interiors of Lucid Studios showcase color and material themes that represent specific locations within California as well as our focus on innovation with immersive technology experiences. We intend our Studios to provide a pressure-free environment for our customers to comfortably experience the brand and our products. Lucid Studios draw inspiration from the beauty and innovation of our home state of California.</w:t>
      </w:r>
    </w:p>
    <w:p>
      <w:pPr>
        <w:spacing w:after="0" w:line="194" w:lineRule="exact"/>
        <w:rPr>
          <w:sz w:val="20"/>
          <w:szCs w:val="20"/>
          <w:color w:val="auto"/>
        </w:rPr>
      </w:pPr>
    </w:p>
    <w:p>
      <w:pPr>
        <w:ind w:right="400"/>
        <w:spacing w:after="0" w:line="305" w:lineRule="auto"/>
        <w:rPr>
          <w:sz w:val="20"/>
          <w:szCs w:val="20"/>
          <w:color w:val="auto"/>
        </w:rPr>
      </w:pPr>
      <w:r>
        <w:rPr>
          <w:rFonts w:ascii="Arial" w:cs="Arial" w:eastAsia="Arial" w:hAnsi="Arial"/>
          <w:sz w:val="17"/>
          <w:szCs w:val="17"/>
          <w:color w:val="auto"/>
        </w:rPr>
        <w:t>Retail locations serve both as our sales channels and marketing tools in high-foot-traffic locations within urban areas. As of December 31, 2024, we had 57 Studios and service center locations opened, including locations in North America, Europe, and Middle East markets. We expect to increase coverage throughout these regions in 2025. Expanding our presence in existing and new geographies will increase our customer convenience, share of total addressable market, and overall brand awareness and consideration.</w:t>
      </w:r>
    </w:p>
    <w:p>
      <w:pPr>
        <w:sectPr>
          <w:pgSz w:w="11880" w:h="15480" w:orient="portrait"/>
          <w:cols w:equalWidth="0" w:num="1">
            <w:col w:w="11060"/>
          </w:cols>
          <w:pgMar w:left="400" w:top="756" w:right="420"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1060"/>
          </w:cols>
          <w:pgMar w:left="400" w:top="756" w:right="420" w:bottom="0" w:gutter="0" w:footer="0" w:header="0"/>
          <w:type w:val="continuous"/>
        </w:sectPr>
      </w:pPr>
    </w:p>
    <w:bookmarkStart w:id="134" w:name="page135"/>
    <w:bookmarkEnd w:id="134"/>
    <w:p>
      <w:pPr>
        <w:jc w:val="both"/>
        <w:ind w:right="340"/>
        <w:spacing w:after="0" w:line="293" w:lineRule="auto"/>
        <w:rPr>
          <w:sz w:val="20"/>
          <w:szCs w:val="20"/>
          <w:color w:val="auto"/>
        </w:rPr>
      </w:pPr>
      <w:r>
        <w:rPr>
          <w:rFonts w:ascii="Arial" w:cs="Arial" w:eastAsia="Arial" w:hAnsi="Arial"/>
          <w:sz w:val="18"/>
          <w:szCs w:val="18"/>
          <w:color w:val="auto"/>
        </w:rPr>
        <w:t>With a focus on convenience, our service operations include vehicle and customer support through our network of brick-and-mortar service centers, and at customers’ physical locations through our mobile service offerings. Customers are also served through certified partners for roadside assistance and collision repairs. We designed the Lucid Air to enable OTA updates and remote diagnostics.</w:t>
      </w:r>
    </w:p>
    <w:p>
      <w:pPr>
        <w:spacing w:after="0" w:line="164"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We leverage third-party charging networks in our market regions, rather than investing heavily in proprietary fast-charging infrastructure or high-power networks. Our Lucid App provides customers seamless Plug and Charge (“PnC”) access at partnering networks in North America and Europe, ensuring convenient charging options.</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On Jan 31, 2025, we gained access to Tesla’s supercharging network in addition to the vast Combined Charging System infrastructure, which is expected to significantly enhance convenience and reduce concerns related to range anxiety. The Lucid Gravity vehicles can use the Tesla Supercharger network with native the North American Charging Standard (“NACS”) charge port in the first quarter of 2025, while we expect the Lucid Air vehicles will be granted access to the network, via an adapter, in the second quarter of 2025.</w:t>
      </w:r>
    </w:p>
    <w:p>
      <w:pPr>
        <w:spacing w:after="0" w:line="173"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For at home charging, the Lucid Connected Home Charging Station can be installed to provide convenient, simple, and seamless charging at home, or the Lucid mobile charging cable can plug into a variety of household outlets. The Lucid Air now supports V2V charging and we expect to support further bi-directional capabilities with the Lucid Air and Lucid Connected Home Charging Station.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2025, we plan to launch the mobile charging cable in the KSA market, enhancing on-the-go charging as public infrastructure develops.</w:t>
      </w:r>
    </w:p>
    <w:p>
      <w:pPr>
        <w:spacing w:after="0" w:line="25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have an agreement with the Government of Saudi Arabia, as represented by the Ministry of Finance, under which the Government of Saudi Arabia and its entities and corporate subsidiaries and other beneficiaries undertook to purchase up to 100,000 vehicles, with a minimum purchase quantity of 50,000 vehicles and an option to purchase up to an additional 50,000 vehicles over a ten-year period. We believe that our customer traction is strong and will continue to grow as we expand our footprint in Saudi Arabia.</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Regulations and Credits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Regulations</w:t>
      </w:r>
    </w:p>
    <w:p>
      <w:pPr>
        <w:spacing w:after="0" w:line="250"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Environmental standards applicable to us are established by United States laws and regulations and those of other jurisdictions in which we operate, standards adopted by regulatory agencies and the permits and licenses we are required to obtain. Each of these sources is subject to periodic modifications.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Many countries and U.S. states have announced a requirement for the sale of zero-emission vehicles only within prescribed timeframes, one as early as 2025, and we as an EV manufacturer are already able to comply with these requirements across our entire product portfolio as we expand. Our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Emissions Credits</w:t>
      </w:r>
    </w:p>
    <w:p>
      <w:pPr>
        <w:spacing w:after="0" w:line="25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We expect that the manufacture, sale, and/or registration of Zero Emission Vehicles (“ZEVs”) in various regions will earn certain regulatory credits that we can sell to other manufacturers. Under several regulatory schemes to control emissions from automobiles Lucid’s sales of ZEVs generate credits that can be sold to other manufacturers that do not comply with regulatory standards. At the U.S. federal level, credits may include Corporate Average Fuel Economy (“CAFE”) credits under U.S. Department of Transportation standards, greenhouse gas (“GHG”) and other emission limitations credits from EPA programs. Similar national-level programs exist in other markets, including the European Union, Switzerland, Canada, and Saudi Arabia. It may also include credits in up to 17 U.S. jurisdictions referred to collectively as the “ZEV States” that require compliance with ZEV program mandates (California, Colorado, Connecticut, Delaware, Maine, Maryland, Massachusetts, Minnesota, Nevada, New Jersey, New Mexico, New York, Oregon, Rhode Island, Vermont, Washington, and the District of Columbia). Low-Emission Vehicle (“LEV”) credits may also be generated and sold in California and most of the ZEV States plus Pennsylvania.</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1060"/>
          </w:cols>
          <w:pgMar w:left="400" w:top="763" w:right="420" w:bottom="0" w:gutter="0" w:footer="0" w:header="0"/>
          <w:type w:val="continuous"/>
        </w:sectPr>
      </w:pPr>
    </w:p>
    <w:bookmarkStart w:id="135" w:name="page136"/>
    <w:bookmarkEnd w:id="135"/>
    <w:p>
      <w:pPr>
        <w:spacing w:after="0" w:line="284" w:lineRule="auto"/>
        <w:rPr>
          <w:sz w:val="20"/>
          <w:szCs w:val="20"/>
          <w:color w:val="auto"/>
        </w:rPr>
      </w:pPr>
      <w:r>
        <w:rPr>
          <w:rFonts w:ascii="Arial" w:cs="Arial" w:eastAsia="Arial" w:hAnsi="Arial"/>
          <w:sz w:val="18"/>
          <w:szCs w:val="18"/>
          <w:color w:val="auto"/>
        </w:rPr>
        <w:t>ZEV credits are calculated under applicable regulation and are paid in relation to ZEVs manufactured and registered, including BEVs. ZEV programs generally assign ZEV credits to each vehicle manufacturer. Vehicle manufacturers are required to maintain ZEV credits equal to a set percentage of non-EV sold and registered in California and ZEV States. Each vehicle sold and registered in the state earns a number of credits based on the drivetrain type and the all-electric range of the vehicle under the Urban Dynamometer Driving Schedule Test Cycle.</w:t>
      </w:r>
    </w:p>
    <w:p>
      <w:pPr>
        <w:spacing w:after="0" w:line="173"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For reference, the ZEV credit requirement in California was 17% in 2023 and will rise to 22% in 2025. Under current regulations which are valid through the end of Model Year 2025, if a vehicle manufacturer does not sell enough EVs to meet its quota, it can choose to buy credits from other manufacturers who do, or it would be required to pay a $5,000 fine for each credit it is short. We expect this requirement to provide an opportunity to generate revenue from the sale of ZEV credits.</w:t>
      </w:r>
    </w:p>
    <w:p>
      <w:pPr>
        <w:spacing w:after="0" w:line="188" w:lineRule="exact"/>
        <w:rPr>
          <w:sz w:val="20"/>
          <w:szCs w:val="20"/>
          <w:color w:val="auto"/>
        </w:rPr>
      </w:pPr>
    </w:p>
    <w:p>
      <w:pPr>
        <w:ind w:right="200"/>
        <w:spacing w:after="0" w:line="317" w:lineRule="auto"/>
        <w:rPr>
          <w:sz w:val="20"/>
          <w:szCs w:val="20"/>
          <w:color w:val="auto"/>
        </w:rPr>
      </w:pPr>
      <w:r>
        <w:rPr>
          <w:rFonts w:ascii="Arial" w:cs="Arial" w:eastAsia="Arial" w:hAnsi="Arial"/>
          <w:sz w:val="17"/>
          <w:szCs w:val="17"/>
          <w:color w:val="auto"/>
        </w:rPr>
        <w:t>While we expect these environmental regulations to provide a tailwind to our growth, it is possible for certain regulations, to result in margin pressures. For example, regulations that effectively impose EV production quotas on auto manufacturers may lead to an oversupply of EV, which in turn could promote price decreases. Changes to these incentives and regulations could affect our revenues and gross margins.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Credits and Benefits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We may benefit from additional opportunities under government regulations and legislation, such as the following:</w:t>
      </w:r>
    </w:p>
    <w:p>
      <w:pPr>
        <w:spacing w:after="0" w:line="277" w:lineRule="exact"/>
        <w:rPr>
          <w:sz w:val="20"/>
          <w:szCs w:val="20"/>
          <w:color w:val="auto"/>
        </w:rPr>
      </w:pPr>
    </w:p>
    <w:p>
      <w:pPr>
        <w:ind w:left="700" w:right="180" w:hanging="347"/>
        <w:spacing w:after="0" w:line="297" w:lineRule="auto"/>
        <w:tabs>
          <w:tab w:leader="none" w:pos="700" w:val="left"/>
        </w:tabs>
        <w:numPr>
          <w:ilvl w:val="0"/>
          <w:numId w:val="129"/>
        </w:numPr>
        <w:rPr>
          <w:rFonts w:ascii="Arial" w:cs="Arial" w:eastAsia="Arial" w:hAnsi="Arial"/>
          <w:sz w:val="23"/>
          <w:szCs w:val="23"/>
          <w:b w:val="1"/>
          <w:bCs w:val="1"/>
          <w:color w:val="auto"/>
        </w:rPr>
      </w:pPr>
      <w:r>
        <w:rPr>
          <w:rFonts w:ascii="Arial" w:cs="Arial" w:eastAsia="Arial" w:hAnsi="Arial"/>
          <w:sz w:val="19"/>
          <w:szCs w:val="19"/>
          <w:color w:val="auto"/>
        </w:rPr>
        <w:t>Customer tax credits and other benefits arising from government regulation may spur interest in our products and business. In the United States, our EVs qualify for the $7,500 federal tax credit under IRS Section 45W when sold for commercial uses, including those leased to customers, and future vehicles may be eligible for the 30D clean vehicle tax credit. Our vehicles may also be eligible for purchase incentives in other jurisdictions, such as Norway, and certain U.S. states such as California that offer high-occupancy lane driving privileges and other benefits.</w:t>
      </w:r>
    </w:p>
    <w:p>
      <w:pPr>
        <w:spacing w:after="0" w:line="205" w:lineRule="exact"/>
        <w:rPr>
          <w:rFonts w:ascii="Arial" w:cs="Arial" w:eastAsia="Arial" w:hAnsi="Arial"/>
          <w:sz w:val="23"/>
          <w:szCs w:val="23"/>
          <w:b w:val="1"/>
          <w:bCs w:val="1"/>
          <w:color w:val="auto"/>
        </w:rPr>
      </w:pPr>
    </w:p>
    <w:p>
      <w:pPr>
        <w:ind w:left="700" w:right="40" w:hanging="347"/>
        <w:spacing w:after="0" w:line="314" w:lineRule="auto"/>
        <w:tabs>
          <w:tab w:leader="none" w:pos="700" w:val="left"/>
        </w:tabs>
        <w:numPr>
          <w:ilvl w:val="0"/>
          <w:numId w:val="129"/>
        </w:numPr>
        <w:rPr>
          <w:rFonts w:ascii="Arial" w:cs="Arial" w:eastAsia="Arial" w:hAnsi="Arial"/>
          <w:sz w:val="22"/>
          <w:szCs w:val="22"/>
          <w:b w:val="1"/>
          <w:bCs w:val="1"/>
          <w:color w:val="auto"/>
        </w:rPr>
      </w:pPr>
      <w:r>
        <w:rPr>
          <w:rFonts w:ascii="Arial" w:cs="Arial" w:eastAsia="Arial" w:hAnsi="Arial"/>
          <w:sz w:val="18"/>
          <w:szCs w:val="18"/>
          <w:color w:val="auto"/>
        </w:rPr>
        <w:t>We are eligible for various tax credits, abatements and other benefits, including: the federal 45X Advanced Energy Production Credit; the federal 30C Alternative Fuel Infrastructure tax credit for alternative fuel infrastructure; the Qualified Facilities tax credit in Arizona; a California sales and use tax exclusion under the California Alternative Energy and Advanced Transportation Financing Authority; and other hiring and job training grants and income tax credits in Arizona, California, and Michigan.</w:t>
      </w:r>
    </w:p>
    <w:p>
      <w:pPr>
        <w:spacing w:after="0" w:line="193" w:lineRule="exact"/>
        <w:rPr>
          <w:rFonts w:ascii="Arial" w:cs="Arial" w:eastAsia="Arial" w:hAnsi="Arial"/>
          <w:sz w:val="22"/>
          <w:szCs w:val="22"/>
          <w:b w:val="1"/>
          <w:bCs w:val="1"/>
          <w:color w:val="auto"/>
        </w:rPr>
      </w:pPr>
    </w:p>
    <w:p>
      <w:pPr>
        <w:ind w:left="700" w:right="100" w:hanging="347"/>
        <w:spacing w:after="0" w:line="289" w:lineRule="auto"/>
        <w:tabs>
          <w:tab w:leader="none" w:pos="700" w:val="left"/>
        </w:tabs>
        <w:numPr>
          <w:ilvl w:val="0"/>
          <w:numId w:val="129"/>
        </w:numPr>
        <w:rPr>
          <w:rFonts w:ascii="Arial" w:cs="Arial" w:eastAsia="Arial" w:hAnsi="Arial"/>
          <w:sz w:val="23"/>
          <w:szCs w:val="23"/>
          <w:b w:val="1"/>
          <w:bCs w:val="1"/>
          <w:color w:val="auto"/>
        </w:rPr>
      </w:pPr>
      <w:r>
        <w:rPr>
          <w:rFonts w:ascii="Arial" w:cs="Arial" w:eastAsia="Arial" w:hAnsi="Arial"/>
          <w:sz w:val="19"/>
          <w:szCs w:val="19"/>
          <w:color w:val="auto"/>
        </w:rPr>
        <w:t>We may also be eligible for a loan pursuant to the Advanced Technology Vehicles Manufacturing Loan Program administered by the U.S. Department of Energy.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EPA Emissions and Certificate of Conformity</w:t>
      </w:r>
    </w:p>
    <w:p>
      <w:pPr>
        <w:spacing w:after="0" w:line="250"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16 states plus the District of Columbia that have adopted California’s stricter emissions LEV standards, including New York, Massachusetts, Vermont, Maine, Pennsylvania, Connecticut, Rhode Island, Washington, Oregon, New Jersey, Maryland, Delaware, Colorado, Minnesota, Nevada and New Mexico.</w:t>
      </w:r>
    </w:p>
    <w:p>
      <w:pPr>
        <w:spacing w:after="0" w:line="184" w:lineRule="exact"/>
        <w:rPr>
          <w:sz w:val="20"/>
          <w:szCs w:val="20"/>
          <w:color w:val="auto"/>
        </w:rPr>
      </w:pPr>
    </w:p>
    <w:p>
      <w:pPr>
        <w:ind w:right="300"/>
        <w:spacing w:after="0" w:line="318" w:lineRule="auto"/>
        <w:rPr>
          <w:sz w:val="20"/>
          <w:szCs w:val="20"/>
          <w:color w:val="auto"/>
        </w:rPr>
      </w:pPr>
      <w:r>
        <w:rPr>
          <w:rFonts w:ascii="Arial" w:cs="Arial" w:eastAsia="Arial" w:hAnsi="Arial"/>
          <w:sz w:val="18"/>
          <w:szCs w:val="18"/>
          <w:color w:val="auto"/>
        </w:rPr>
        <w:t>Although the Lucid Air has zero emissions, we are required to seek an EPA Certificate of Conformity and, for vehicles sold in California or any of the other 17 U.S. jurisdictions that have adopted the stricter California emission standards, a CARB Executive Order.</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Vehicle Safety and Testing</w:t>
      </w:r>
    </w:p>
    <w:p>
      <w:pPr>
        <w:spacing w:after="0" w:line="250"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Our vehicles are subject to, and are required to comply with, numerous regulatory requirements established by the National Highway Traffic Safety Administration (“NHTSA”), including applicable U.S. Federal Motor Vehicle Safety Standards (“FMVSS”). The Lucid Air fully complies with all applicable FMVSS without any exemptions, and we expect our future vehicles to either fully comply or comply with limited exemptions related to new technologies. Additionally, there are regulatory changes being considered for several FMVSS, and while we anticipate compliance, there is no assurance that we will comply with such changes under the final versions as enacted.</w:t>
      </w:r>
    </w:p>
    <w:p>
      <w:pPr>
        <w:sectPr>
          <w:pgSz w:w="11880" w:h="15480" w:orient="portrait"/>
          <w:cols w:equalWidth="0" w:num="1">
            <w:col w:w="11040"/>
          </w:cols>
          <w:pgMar w:left="400" w:top="763"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1040"/>
          </w:cols>
          <w:pgMar w:left="400" w:top="763" w:right="440" w:bottom="0" w:gutter="0" w:footer="0" w:header="0"/>
          <w:type w:val="continuous"/>
        </w:sectPr>
      </w:pPr>
    </w:p>
    <w:bookmarkStart w:id="136" w:name="page137"/>
    <w:bookmarkEnd w:id="136"/>
    <w:p>
      <w:pPr>
        <w:ind w:right="20"/>
        <w:spacing w:after="0" w:line="277" w:lineRule="auto"/>
        <w:rPr>
          <w:sz w:val="20"/>
          <w:szCs w:val="20"/>
          <w:color w:val="auto"/>
        </w:rPr>
      </w:pPr>
      <w:r>
        <w:rPr>
          <w:rFonts w:ascii="Arial" w:cs="Arial" w:eastAsia="Arial" w:hAnsi="Arial"/>
          <w:sz w:val="18"/>
          <w:szCs w:val="18"/>
          <w:color w:val="auto"/>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are also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spacing w:after="0" w:line="180" w:lineRule="exact"/>
        <w:rPr>
          <w:sz w:val="20"/>
          <w:szCs w:val="20"/>
          <w:color w:val="auto"/>
        </w:rPr>
      </w:pPr>
    </w:p>
    <w:p>
      <w:pPr>
        <w:jc w:val="both"/>
        <w:ind w:right="660"/>
        <w:spacing w:after="0" w:line="317" w:lineRule="auto"/>
        <w:rPr>
          <w:sz w:val="20"/>
          <w:szCs w:val="20"/>
          <w:color w:val="auto"/>
        </w:rPr>
      </w:pPr>
      <w:r>
        <w:rPr>
          <w:rFonts w:ascii="Arial" w:cs="Arial" w:eastAsia="Arial" w:hAnsi="Arial"/>
          <w:sz w:val="17"/>
          <w:szCs w:val="17"/>
          <w:color w:val="auto"/>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We intend to continue expanding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(“E.U.”) has established approval and oversight rules requiring that a national authority certify compliance with heightened safety rules, emissions limits and production requirements before vehicles can be sold in each E.U. member state.</w:t>
      </w:r>
    </w:p>
    <w:p>
      <w:pPr>
        <w:spacing w:after="0" w:line="75"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In addition to the various territorial legal requirements we are obligated to meet, the Lucid Air has earned five-stars, the highest possible overall safety rating, from the two main voluntary vehicle safety performance assessment programs, the NHTSA New Car Assessment Program (“NCAP”) and Euro NCAP.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spacing w:after="0" w:line="68" w:lineRule="exact"/>
        <w:rPr>
          <w:sz w:val="20"/>
          <w:szCs w:val="20"/>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Mobile Progressive Deformable Barrier;</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Full Width Rigid Barrier;</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Mobile Side Impact Barrier;</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Side Pole;</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Far Side Impact;</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Whiplash;</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Vulnerable Road Users (Pedestrians and Cyclists);</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Safety Assist; and</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0"/>
        </w:numPr>
        <w:rPr>
          <w:rFonts w:ascii="Arial" w:cs="Arial" w:eastAsia="Arial" w:hAnsi="Arial"/>
          <w:sz w:val="23"/>
          <w:szCs w:val="23"/>
          <w:b w:val="1"/>
          <w:bCs w:val="1"/>
          <w:color w:val="auto"/>
        </w:rPr>
      </w:pPr>
      <w:r>
        <w:rPr>
          <w:rFonts w:ascii="Arial" w:cs="Arial" w:eastAsia="Arial" w:hAnsi="Arial"/>
          <w:sz w:val="19"/>
          <w:szCs w:val="19"/>
          <w:color w:val="auto"/>
        </w:rPr>
        <w:t>Rescue and Extrication.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ADAS Regulations</w:t>
      </w:r>
    </w:p>
    <w:p>
      <w:pPr>
        <w:spacing w:after="0" w:line="250"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We have equipped our vehicles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While there are currently no U.S. federal regulations specifically pertaining to autonomous vehicles or autonomy equipment, NHTSA has published recommended guidelines on autonomous vehicles and retains the authority to investigate and/or act on the safety of any vehicle, equipment or features operating on public roads. Certain U.S. states also have legal restrictions on the operation, registration or licensure of autonomous vehicles, and many other states are considering similar restrictions. This regulatory patchwork increases the legal complexity with respect to autonomous vehicles in the United States.</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markets that follow the regulations of the United Nations Economic Commission for Europe, some requirements restrict the design of advanced driver assistance or autonomous features, which can compromise or prevent their use entirely. Other applicable laws, both current and proposed, may hinder the path and timeline to introducing such features in the markets where they apply. Jurisdictions, including China, have implemented autonomous vehicle regulation while others continue to consider new regulation. Any implemented regulations may differ materially from those in the United States and Europe, which may further increase the legal complexity of advanced driver assistance and autonomous features and limit or prevent certain features.</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1080"/>
          </w:cols>
          <w:pgMar w:left="400" w:top="763" w:right="400"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19"/>
          <w:szCs w:val="19"/>
          <w:b w:val="1"/>
          <w:bCs w:val="1"/>
          <w:i w:val="1"/>
          <w:iCs w:val="1"/>
          <w:color w:val="auto"/>
        </w:rPr>
        <w:t>Automobile Manufacturer and Dealer Regulation</w:t>
      </w:r>
    </w:p>
    <w:p>
      <w:pPr>
        <w:spacing w:after="0" w:line="250"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and litigation when necessary, that enables our business model.</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Battery Safety and Testing Regulations</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design our battery packs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and state laws.</w:t>
      </w:r>
    </w:p>
    <w:p>
      <w:pPr>
        <w:spacing w:after="0" w:line="19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We also design our battery packs to comply with the United Nations Economic Commission for Europe (“UNECE”) R100 regulation necessary for type approval in the European Union (“EU”) as well as the CE requirements necessary to import or sell EVs in the EU.</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Our battery packs are tested for compliance with applicable requirements of the UNECE Manual of Tests and Criteria demonstrating our ability to ship battery packs by any method. These tests include:</w:t>
      </w:r>
    </w:p>
    <w:p>
      <w:pPr>
        <w:spacing w:after="0" w:line="71" w:lineRule="exact"/>
        <w:rPr>
          <w:sz w:val="20"/>
          <w:szCs w:val="20"/>
          <w:color w:val="auto"/>
        </w:rPr>
      </w:pPr>
    </w:p>
    <w:p>
      <w:pPr>
        <w:ind w:left="700" w:hanging="347"/>
        <w:spacing w:after="0"/>
        <w:tabs>
          <w:tab w:leader="none" w:pos="700" w:val="left"/>
        </w:tabs>
        <w:numPr>
          <w:ilvl w:val="0"/>
          <w:numId w:val="131"/>
        </w:numPr>
        <w:rPr>
          <w:rFonts w:ascii="Arial" w:cs="Arial" w:eastAsia="Arial" w:hAnsi="Arial"/>
          <w:sz w:val="23"/>
          <w:szCs w:val="23"/>
          <w:b w:val="1"/>
          <w:bCs w:val="1"/>
          <w:color w:val="auto"/>
        </w:rPr>
      </w:pPr>
      <w:r>
        <w:rPr>
          <w:rFonts w:ascii="Arial" w:cs="Arial" w:eastAsia="Arial" w:hAnsi="Arial"/>
          <w:sz w:val="19"/>
          <w:szCs w:val="19"/>
          <w:color w:val="auto"/>
        </w:rPr>
        <w:t>Altitude simulation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simulating air transport;</w:t>
      </w:r>
    </w:p>
    <w:p>
      <w:pPr>
        <w:spacing w:after="0" w:line="119" w:lineRule="exact"/>
        <w:rPr>
          <w:rFonts w:ascii="Arial" w:cs="Arial" w:eastAsia="Arial" w:hAnsi="Arial"/>
          <w:sz w:val="23"/>
          <w:szCs w:val="23"/>
          <w:b w:val="1"/>
          <w:bCs w:val="1"/>
          <w:color w:val="auto"/>
        </w:rPr>
      </w:pPr>
    </w:p>
    <w:p>
      <w:pPr>
        <w:ind w:left="700" w:hanging="347"/>
        <w:spacing w:after="0"/>
        <w:tabs>
          <w:tab w:leader="none" w:pos="700" w:val="left"/>
        </w:tabs>
        <w:numPr>
          <w:ilvl w:val="0"/>
          <w:numId w:val="131"/>
        </w:numPr>
        <w:rPr>
          <w:rFonts w:ascii="Arial" w:cs="Arial" w:eastAsia="Arial" w:hAnsi="Arial"/>
          <w:sz w:val="23"/>
          <w:szCs w:val="23"/>
          <w:color w:val="auto"/>
        </w:rPr>
      </w:pPr>
      <w:r>
        <w:rPr>
          <w:rFonts w:ascii="Arial" w:cs="Arial" w:eastAsia="Arial" w:hAnsi="Arial"/>
          <w:sz w:val="19"/>
          <w:szCs w:val="19"/>
          <w:color w:val="auto"/>
        </w:rPr>
        <w:t>Thermal cycling</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assessing cell and battery seal integrity, as well as cell and battery thermal stability;</w:t>
      </w:r>
    </w:p>
    <w:p>
      <w:pPr>
        <w:spacing w:after="0" w:line="135" w:lineRule="exact"/>
        <w:rPr>
          <w:rFonts w:ascii="Arial" w:cs="Arial" w:eastAsia="Arial" w:hAnsi="Arial"/>
          <w:sz w:val="23"/>
          <w:szCs w:val="23"/>
          <w:color w:val="auto"/>
        </w:rPr>
      </w:pPr>
    </w:p>
    <w:p>
      <w:pPr>
        <w:ind w:left="700" w:hanging="347"/>
        <w:spacing w:after="0"/>
        <w:tabs>
          <w:tab w:leader="none" w:pos="700" w:val="left"/>
        </w:tabs>
        <w:numPr>
          <w:ilvl w:val="0"/>
          <w:numId w:val="131"/>
        </w:numPr>
        <w:rPr>
          <w:rFonts w:ascii="Arial" w:cs="Arial" w:eastAsia="Arial" w:hAnsi="Arial"/>
          <w:sz w:val="23"/>
          <w:szCs w:val="23"/>
          <w:b w:val="1"/>
          <w:bCs w:val="1"/>
          <w:color w:val="auto"/>
        </w:rPr>
      </w:pPr>
      <w:r>
        <w:rPr>
          <w:rFonts w:ascii="Arial" w:cs="Arial" w:eastAsia="Arial" w:hAnsi="Arial"/>
          <w:sz w:val="19"/>
          <w:szCs w:val="19"/>
          <w:color w:val="auto"/>
        </w:rPr>
        <w:t>Vibration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simulating vibration during transport;</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1"/>
        </w:numPr>
        <w:rPr>
          <w:rFonts w:ascii="Arial" w:cs="Arial" w:eastAsia="Arial" w:hAnsi="Arial"/>
          <w:sz w:val="23"/>
          <w:szCs w:val="23"/>
          <w:b w:val="1"/>
          <w:bCs w:val="1"/>
          <w:color w:val="auto"/>
        </w:rPr>
      </w:pPr>
      <w:r>
        <w:rPr>
          <w:rFonts w:ascii="Arial" w:cs="Arial" w:eastAsia="Arial" w:hAnsi="Arial"/>
          <w:sz w:val="19"/>
          <w:szCs w:val="19"/>
          <w:color w:val="auto"/>
        </w:rPr>
        <w:t>Shock</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simulating possible impacts during transport; and</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1"/>
        </w:numPr>
        <w:rPr>
          <w:rFonts w:ascii="Arial" w:cs="Arial" w:eastAsia="Arial" w:hAnsi="Arial"/>
          <w:sz w:val="23"/>
          <w:szCs w:val="23"/>
          <w:b w:val="1"/>
          <w:bCs w:val="1"/>
          <w:color w:val="auto"/>
        </w:rPr>
      </w:pPr>
      <w:r>
        <w:rPr>
          <w:rFonts w:ascii="Arial" w:cs="Arial" w:eastAsia="Arial" w:hAnsi="Arial"/>
          <w:sz w:val="19"/>
          <w:szCs w:val="19"/>
          <w:color w:val="auto"/>
        </w:rPr>
        <w:t>External short circuit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simulating an external short circuit.</w:t>
      </w:r>
    </w:p>
    <w:p>
      <w:pPr>
        <w:spacing w:after="0" w:line="222" w:lineRule="exact"/>
        <w:rPr>
          <w:sz w:val="20"/>
          <w:szCs w:val="20"/>
          <w:color w:val="auto"/>
        </w:rPr>
      </w:pPr>
    </w:p>
    <w:p>
      <w:pPr>
        <w:ind w:right="540"/>
        <w:spacing w:after="0" w:line="272" w:lineRule="auto"/>
        <w:rPr>
          <w:sz w:val="20"/>
          <w:szCs w:val="20"/>
          <w:color w:val="auto"/>
        </w:rPr>
      </w:pPr>
      <w:r>
        <w:rPr>
          <w:rFonts w:ascii="Arial" w:cs="Arial" w:eastAsia="Arial" w:hAnsi="Arial"/>
          <w:sz w:val="19"/>
          <w:szCs w:val="19"/>
          <w:color w:val="auto"/>
        </w:rPr>
        <w:t>We equip our battery systems with a set of passive and active safety features to help ensure the battery always operates within the design envelope and fails safe in case of abnormal conditions.</w:t>
      </w:r>
    </w:p>
    <w:p>
      <w:pPr>
        <w:spacing w:after="0" w:line="166" w:lineRule="exact"/>
        <w:rPr>
          <w:sz w:val="20"/>
          <w:szCs w:val="20"/>
          <w:color w:val="auto"/>
        </w:rPr>
      </w:pPr>
    </w:p>
    <w:p>
      <w:pPr>
        <w:ind w:right="360"/>
        <w:spacing w:after="0" w:line="272" w:lineRule="auto"/>
        <w:rPr>
          <w:sz w:val="20"/>
          <w:szCs w:val="20"/>
          <w:color w:val="auto"/>
        </w:rPr>
      </w:pPr>
      <w:r>
        <w:rPr>
          <w:rFonts w:ascii="Arial" w:cs="Arial" w:eastAsia="Arial" w:hAnsi="Arial"/>
          <w:sz w:val="19"/>
          <w:szCs w:val="19"/>
          <w:color w:val="auto"/>
        </w:rPr>
        <w:t>We test our battery packs for compliance with applicable requirements of the UNECE R100 regulation demonstrating battery safety. These tests include:</w:t>
      </w:r>
    </w:p>
    <w:p>
      <w:pPr>
        <w:spacing w:after="0" w:line="72" w:lineRule="exact"/>
        <w:rPr>
          <w:sz w:val="20"/>
          <w:szCs w:val="20"/>
          <w:color w:val="auto"/>
        </w:rPr>
      </w:pPr>
    </w:p>
    <w:p>
      <w:pPr>
        <w:ind w:left="700" w:hanging="347"/>
        <w:spacing w:after="0"/>
        <w:tabs>
          <w:tab w:leader="none" w:pos="700" w:val="left"/>
        </w:tabs>
        <w:numPr>
          <w:ilvl w:val="0"/>
          <w:numId w:val="132"/>
        </w:numPr>
        <w:rPr>
          <w:rFonts w:ascii="Arial" w:cs="Arial" w:eastAsia="Arial" w:hAnsi="Arial"/>
          <w:sz w:val="23"/>
          <w:szCs w:val="23"/>
          <w:b w:val="1"/>
          <w:bCs w:val="1"/>
          <w:color w:val="auto"/>
        </w:rPr>
      </w:pPr>
      <w:r>
        <w:rPr>
          <w:rFonts w:ascii="Arial" w:cs="Arial" w:eastAsia="Arial" w:hAnsi="Arial"/>
          <w:sz w:val="19"/>
          <w:szCs w:val="19"/>
          <w:color w:val="auto"/>
        </w:rPr>
        <w:t>Vibration — simulating vibration during driving;</w:t>
      </w:r>
    </w:p>
    <w:p>
      <w:pPr>
        <w:spacing w:after="0" w:line="119" w:lineRule="exact"/>
        <w:rPr>
          <w:rFonts w:ascii="Arial" w:cs="Arial" w:eastAsia="Arial" w:hAnsi="Arial"/>
          <w:sz w:val="23"/>
          <w:szCs w:val="23"/>
          <w:b w:val="1"/>
          <w:bCs w:val="1"/>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Thermal cycle — assessing pack thermal stability in elevated temperatures;</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Fire resistance — assessing the ability of the pack to sustain exposure to large flames without explosion;</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External short circuit — assessing the ability of the pack to fail safe when exposed to external short circuit;</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Overcharge protection — assessing the ability of the pack to fail safe when it is attempted to overcharge;</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Overdischarge protection — assessing the ability of the pack to fail safe when it is attempted to overdischarge;</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Overtemperature protection — assessing the ability of the pack to fail safe when it overheats;</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3"/>
          <w:szCs w:val="23"/>
          <w:color w:val="auto"/>
        </w:rPr>
      </w:pPr>
      <w:r>
        <w:rPr>
          <w:rFonts w:ascii="Arial" w:cs="Arial" w:eastAsia="Arial" w:hAnsi="Arial"/>
          <w:sz w:val="19"/>
          <w:szCs w:val="19"/>
          <w:color w:val="auto"/>
        </w:rPr>
        <w:t>Overcurrent protection — assessing the ability of the pack to fail safe when it is exposed to overcurrent conditions;</w:t>
      </w:r>
    </w:p>
    <w:p>
      <w:pPr>
        <w:spacing w:after="0" w:line="138" w:lineRule="exact"/>
        <w:rPr>
          <w:rFonts w:ascii="Arial" w:cs="Arial" w:eastAsia="Arial" w:hAnsi="Arial"/>
          <w:sz w:val="23"/>
          <w:szCs w:val="23"/>
          <w:color w:val="auto"/>
        </w:rPr>
      </w:pPr>
    </w:p>
    <w:p>
      <w:pPr>
        <w:ind w:left="700" w:hanging="347"/>
        <w:spacing w:after="0"/>
        <w:tabs>
          <w:tab w:leader="none" w:pos="700" w:val="left"/>
        </w:tabs>
        <w:numPr>
          <w:ilvl w:val="0"/>
          <w:numId w:val="132"/>
        </w:numPr>
        <w:rPr>
          <w:rFonts w:ascii="Arial" w:cs="Arial" w:eastAsia="Arial" w:hAnsi="Arial"/>
          <w:sz w:val="22"/>
          <w:szCs w:val="22"/>
          <w:color w:val="auto"/>
        </w:rPr>
      </w:pPr>
      <w:r>
        <w:rPr>
          <w:rFonts w:ascii="Arial" w:cs="Arial" w:eastAsia="Arial" w:hAnsi="Arial"/>
          <w:sz w:val="18"/>
          <w:szCs w:val="18"/>
          <w:color w:val="auto"/>
        </w:rPr>
        <w:t>Thermal event warning — assessing the ability of the pack to detect a thermal event and generate a warning to the driver; and</w:t>
      </w:r>
    </w:p>
    <w:p>
      <w:pPr>
        <w:sectPr>
          <w:pgSz w:w="11880" w:h="15480" w:orient="portrait"/>
          <w:cols w:equalWidth="0" w:num="1">
            <w:col w:w="11060"/>
          </w:cols>
          <w:pgMar w:left="400" w:top="755" w:right="420" w:bottom="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1060"/>
          </w:cols>
          <w:pgMar w:left="400" w:top="755" w:right="420" w:bottom="0" w:gutter="0" w:footer="0" w:header="0"/>
          <w:type w:val="continuous"/>
        </w:sectPr>
      </w:pPr>
    </w:p>
    <w:bookmarkStart w:id="138" w:name="page139"/>
    <w:bookmarkEnd w:id="138"/>
    <w:p>
      <w:pPr>
        <w:ind w:left="700" w:hanging="347"/>
        <w:spacing w:after="0"/>
        <w:tabs>
          <w:tab w:leader="none" w:pos="700" w:val="left"/>
        </w:tabs>
        <w:numPr>
          <w:ilvl w:val="0"/>
          <w:numId w:val="133"/>
        </w:numPr>
        <w:rPr>
          <w:rFonts w:ascii="Arial" w:cs="Arial" w:eastAsia="Arial" w:hAnsi="Arial"/>
          <w:sz w:val="23"/>
          <w:szCs w:val="23"/>
          <w:color w:val="auto"/>
        </w:rPr>
      </w:pPr>
      <w:r>
        <w:rPr>
          <w:rFonts w:ascii="Arial" w:cs="Arial" w:eastAsia="Arial" w:hAnsi="Arial"/>
          <w:sz w:val="19"/>
          <w:szCs w:val="19"/>
          <w:color w:val="auto"/>
        </w:rPr>
        <w:t>Thermal propagation — assessing the ability of the pack to tolerate a single cell thermal event safely.</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Data Privacy and Cybersecurity Regulation</w:t>
      </w:r>
    </w:p>
    <w:p>
      <w:pPr>
        <w:spacing w:after="0" w:line="250"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We are subject to, or otherwise affected by, a variety of increasingly stringent federal, state, local and international laws and regulations relating to data privacy and cybersecurity, including, among other laws and regulations, contractual obligations, and industry standards that impose certain obligations and restrictions with respect to the processing of personal information of our employees, customers, and other third-party individuals. The EU’s General Data Protection Regulation (“GDPR”), Cyber Resiliency Act, Data Act and AI Act, as well as other global regulations such as the United Kingdom General Data Protection Regulation (i.e., a version of the GDPR as implemented into the law of the United Kingdom), Saudi Arabia’s Personal Data Protection Law (“PDPL”), the rules and regulations promulgated under the authority of the Federal Trade Commission of the United States, the Gramm Leach Bliley Act, the California Consumer Privacy Act of 2018 (as amended by the California Privacy Rights Act of 2020), certain other comprehensive state data privacy and cybersecurity laws and regulations, and various state data breach notification laws.</w:t>
      </w:r>
    </w:p>
    <w:p>
      <w:pPr>
        <w:spacing w:after="0" w:line="18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We are also impacted by regulations obligating us to share vehicle repair-related information with third parties, including repair shops and repair tool hardware developers, under what are commonly called “right-to-repair” laws. In addition, the UNECE has introduced regulations governing connected vehicle cybersecurity in the EU which are mandatory for all new vehicle types from July 2022 and all new vehicles produced from July 2024, and we are required to comply with the vehicle certification process and maintenance of a Cybersecurity Management System. See “Risk Factors — Risks Related to Cybersecurity and Data Privacy” for more information regarding applicable cybersecurity and data privacy laws and regulations and risks related to cybersecurity and data privacy and “Item 1C — Cybersecurity” for more information regarding our cybersecurity risk management program.</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49" w:lineRule="exact"/>
        <w:rPr>
          <w:sz w:val="20"/>
          <w:szCs w:val="20"/>
          <w:color w:val="auto"/>
        </w:rPr>
      </w:pPr>
    </w:p>
    <w:p>
      <w:pPr>
        <w:jc w:val="both"/>
        <w:ind w:right="140"/>
        <w:spacing w:after="0" w:line="271" w:lineRule="auto"/>
        <w:rPr>
          <w:sz w:val="20"/>
          <w:szCs w:val="20"/>
          <w:color w:val="auto"/>
        </w:rPr>
      </w:pPr>
      <w:r>
        <w:rPr>
          <w:rFonts w:ascii="Arial" w:cs="Arial" w:eastAsia="Arial" w:hAnsi="Arial"/>
          <w:sz w:val="19"/>
          <w:szCs w:val="19"/>
          <w:color w:val="auto"/>
        </w:rPr>
        <w:t>We face competition from both traditional automotive OEMs and newer companies focused on electric and other alternative fuel vehicles. We expect this competition to increase, particularly as the transportation sector continues to shift towards low-emission, zero-emission, or carbon neutral solutions.</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Lucid Air, the Lucid Gravity,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EVs available today, and other current and prospective automobile manufacturers are also developing EVs. In addition, numerous manufacturers offer hybrid vehicles, including plug-in versions, with which our vehicles also compete.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believe the primary competitive factors on which we will compete include, but are not limited to:</w:t>
      </w:r>
    </w:p>
    <w:p>
      <w:pPr>
        <w:spacing w:after="0" w:line="149" w:lineRule="exact"/>
        <w:rPr>
          <w:sz w:val="20"/>
          <w:szCs w:val="20"/>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product quality, reliability and safety;</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range, efficiency and charging speeds;</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product performance;</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technological innovation, including with respect to ADAS features;</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access to charging options;</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design, styling, and luxury;</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service options and customer experience;</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management team experience at bringing EV and other disruptive technologies to market;</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manufacturing efficiency;</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brand recognition and prestige; and</w:t>
      </w:r>
    </w:p>
    <w:p>
      <w:pPr>
        <w:spacing w:after="0" w:line="127" w:lineRule="exact"/>
        <w:rPr>
          <w:rFonts w:ascii="Arial" w:cs="Arial" w:eastAsia="Arial" w:hAnsi="Arial"/>
          <w:sz w:val="23"/>
          <w:szCs w:val="23"/>
          <w:b w:val="1"/>
          <w:bCs w:val="1"/>
          <w:color w:val="auto"/>
        </w:rPr>
      </w:pPr>
    </w:p>
    <w:p>
      <w:pPr>
        <w:ind w:left="700" w:hanging="347"/>
        <w:spacing w:after="0"/>
        <w:tabs>
          <w:tab w:leader="none" w:pos="700" w:val="left"/>
        </w:tabs>
        <w:numPr>
          <w:ilvl w:val="0"/>
          <w:numId w:val="134"/>
        </w:numPr>
        <w:rPr>
          <w:rFonts w:ascii="Arial" w:cs="Arial" w:eastAsia="Arial" w:hAnsi="Arial"/>
          <w:sz w:val="23"/>
          <w:szCs w:val="23"/>
          <w:b w:val="1"/>
          <w:bCs w:val="1"/>
          <w:color w:val="auto"/>
        </w:rPr>
      </w:pPr>
      <w:r>
        <w:rPr>
          <w:rFonts w:ascii="Arial" w:cs="Arial" w:eastAsia="Arial" w:hAnsi="Arial"/>
          <w:sz w:val="19"/>
          <w:szCs w:val="19"/>
          <w:color w:val="auto"/>
        </w:rPr>
        <w:t>product price.</w:t>
      </w:r>
    </w:p>
    <w:p>
      <w:pPr>
        <w:sectPr>
          <w:pgSz w:w="11880" w:h="15480" w:orient="portrait"/>
          <w:cols w:equalWidth="0" w:num="1">
            <w:col w:w="11080"/>
          </w:cols>
          <w:pgMar w:left="400" w:top="777"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1080"/>
          </w:cols>
          <w:pgMar w:left="400" w:top="777" w:right="400" w:bottom="0" w:gutter="0" w:footer="0" w:header="0"/>
          <w:type w:val="continuous"/>
        </w:sectPr>
      </w:pPr>
    </w:p>
    <w:bookmarkStart w:id="139" w:name="page140"/>
    <w:bookmarkEnd w:id="139"/>
    <w:p>
      <w:pPr>
        <w:ind w:right="40"/>
        <w:spacing w:after="0" w:line="291" w:lineRule="auto"/>
        <w:rPr>
          <w:sz w:val="20"/>
          <w:szCs w:val="20"/>
          <w:color w:val="auto"/>
        </w:rPr>
      </w:pPr>
      <w:r>
        <w:rPr>
          <w:rFonts w:ascii="Arial" w:cs="Arial" w:eastAsia="Arial" w:hAnsi="Arial"/>
          <w:sz w:val="17"/>
          <w:szCs w:val="17"/>
          <w:color w:val="auto"/>
        </w:rPr>
        <w:t>We believe that we compete favorably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or joint venture agreements in the EV and luxury automotive markets may result in even more resources being concentrated in our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Intellectual property is important to our business. Our commercial success depends in part on our ability to obtain, maintain, enforce, defend,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copyrights,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intellectual property, proprietary technology, inventions and improvements, please see the section entitled “Risk Factors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Risks Related to Our Business and Operations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Risks Related to Intellectual Property.”</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As of December 31, 2024, we owned approximately 207 issued U.S. patents, 147 pending U.S. patent applications, 140 issued foreign patents, 161 pending foreign patent applications and 71 pending Patent Cooperation Treaty patent applications.</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As of December 31, 2024, we also owned approximately 16 registered U.S. trademarks and 19 pending U.S. trademark applications, as well as 461 registered foreign trademarks and 79 pending foreign trademark applications in approximately 33 countries worldwide in addition to the European Union.</w:t>
      </w:r>
    </w:p>
    <w:p>
      <w:pPr>
        <w:spacing w:after="0" w:line="182"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color w:val="auto"/>
        </w:rPr>
        <w:t>As of December 31, 2024, we also owned approximately 56 issued U.S. design patents and 38 pending U.S. design patent applications, as well as 260 issued foreign design patents/industrial designs and 25 pending foreign design patent/industrial design applications.</w:t>
      </w:r>
    </w:p>
    <w:p>
      <w:pPr>
        <w:spacing w:after="0" w:line="143"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76" w:lineRule="exact"/>
        <w:rPr>
          <w:sz w:val="20"/>
          <w:szCs w:val="20"/>
          <w:color w:val="auto"/>
        </w:rPr>
      </w:pPr>
    </w:p>
    <w:p>
      <w:pPr>
        <w:ind w:right="220"/>
        <w:spacing w:after="0" w:line="289" w:lineRule="auto"/>
        <w:rPr>
          <w:sz w:val="20"/>
          <w:szCs w:val="20"/>
          <w:color w:val="auto"/>
        </w:rPr>
      </w:pPr>
      <w:r>
        <w:rPr>
          <w:rFonts w:ascii="Arial" w:cs="Arial" w:eastAsia="Arial" w:hAnsi="Arial"/>
          <w:sz w:val="19"/>
          <w:szCs w:val="19"/>
          <w:color w:val="auto"/>
        </w:rPr>
        <w:t>In addition to the intellectual property that we own, we also procure key technologies under our supply chain agreements, and we license key technologies under our license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See “—</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Our Vehicles</w:t>
      </w:r>
      <w:r>
        <w:rPr>
          <w:rFonts w:ascii="Arial" w:cs="Arial" w:eastAsia="Arial" w:hAnsi="Arial"/>
          <w:sz w:val="19"/>
          <w:szCs w:val="19"/>
          <w:color w:val="auto"/>
        </w:rPr>
        <w:t>” and “—</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above for more information.</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1060"/>
          </w:cols>
          <w:pgMar w:left="400" w:top="763" w:right="420" w:bottom="0" w:gutter="0" w:footer="0" w:header="0"/>
          <w:type w:val="continuous"/>
        </w:sectPr>
      </w:pPr>
    </w:p>
    <w:bookmarkStart w:id="140" w:name="page141"/>
    <w:bookmarkEnd w:id="140"/>
    <w:p>
      <w:pPr>
        <w:spacing w:after="0" w:line="289"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77"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Furthermore, we rely upon trade secrets,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contractors, consultants, and any potential commercial partners and collaborators and invention assignment agreements with our employees. We also have implemented or intend to implement confidentiality agreements or invention assignment agreements with our selected contractors, consultants, and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or technology. In addition, our trade secrets may otherwise become known or be independently discovered by our competitors. To the extent that our commercial partners, collaborators, employees, contractors, and consultants use intellectual property owned by others in their work for us, disputes may arise as to the rights in related or resulting know-how and inventions.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Risks Related to Our Business and Operations —</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Risks Related to Intellectual Property</w:t>
      </w:r>
      <w:r>
        <w:rPr>
          <w:rFonts w:ascii="Arial" w:cs="Arial" w:eastAsia="Arial" w:hAnsi="Arial"/>
          <w:sz w:val="17"/>
          <w:szCs w:val="17"/>
          <w:color w:val="auto"/>
        </w:rPr>
        <w:t>” for more information regarding these and other risks related to our intellectual property portfolio and their potential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 RESOURCES</w:t>
      </w:r>
    </w:p>
    <w:p>
      <w:pPr>
        <w:spacing w:after="0" w:line="24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At Lucid, we strongly believe in the power of our talented employees and partners to create, build, and support the world’s most advanced EVs available in the market. We seek to attract and retain employees whose respective professional and personal backgrounds can help craft an unparalleled suite of state-of-the-art, technologically advanced, California-inspired vehicles for consumers worldwide.</w:t>
      </w:r>
    </w:p>
    <w:p>
      <w:pPr>
        <w:spacing w:after="0" w:line="164"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Towards these goals, as of December 31, 2024, we employed approximately 6,800 full-time employees globally. Our employees are primarily based at our headquarters in Newark, California, at our regional headquarters in Riyadh, Saudi Arabia, at our satellite location in Southfield, Michigan, at our EV manufacturing facilities in Casa Grande, Arizona, and King Abdullah Economic City (“KAEC”), Saudi Arabia, and at our retail stores and service centers throughout the United States and Canada, Europe, Saudi Arabia, and United Arab Emirates.</w:t>
      </w:r>
    </w:p>
    <w:p>
      <w:pPr>
        <w:spacing w:after="0" w:line="159"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We believe that our mission-first passion to advance the state-of-the-art of EV technology for the benefit of all would not be possible without a broad array of experiences and professional and personal backgrounds across our team.</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Culture</w:t>
      </w:r>
    </w:p>
    <w:p>
      <w:pPr>
        <w:spacing w:after="0" w:line="250" w:lineRule="exact"/>
        <w:rPr>
          <w:sz w:val="20"/>
          <w:szCs w:val="20"/>
          <w:color w:val="auto"/>
        </w:rPr>
      </w:pPr>
    </w:p>
    <w:p>
      <w:pPr>
        <w:jc w:val="both"/>
        <w:ind w:right="420"/>
        <w:spacing w:after="0" w:line="271" w:lineRule="auto"/>
        <w:rPr>
          <w:sz w:val="20"/>
          <w:szCs w:val="20"/>
          <w:color w:val="auto"/>
        </w:rPr>
      </w:pPr>
      <w:r>
        <w:rPr>
          <w:rFonts w:ascii="Arial" w:cs="Arial" w:eastAsia="Arial" w:hAnsi="Arial"/>
          <w:sz w:val="19"/>
          <w:szCs w:val="19"/>
          <w:color w:val="auto"/>
        </w:rPr>
        <w:t>When design is led by inspiration, invention by insight, and engineering by experience, we believe that anything is possible. Our relentless focus on innovation, luxury, and sustainability moves us toward a future where you no longer must choose between doing great things and doing the right thing.</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1080"/>
          </w:cols>
          <w:pgMar w:left="400" w:top="763" w:right="400" w:bottom="0" w:gutter="0" w:footer="0" w:header="0"/>
          <w:type w:val="continuous"/>
        </w:sectPr>
      </w:pPr>
    </w:p>
    <w:bookmarkStart w:id="141" w:name="page142"/>
    <w:bookmarkEnd w:id="141"/>
    <w:p>
      <w:pPr>
        <w:ind w:right="80"/>
        <w:spacing w:after="0" w:line="265" w:lineRule="auto"/>
        <w:rPr>
          <w:sz w:val="20"/>
          <w:szCs w:val="20"/>
          <w:color w:val="auto"/>
        </w:rPr>
      </w:pPr>
      <w:r>
        <w:rPr>
          <w:rFonts w:ascii="Arial" w:cs="Arial" w:eastAsia="Arial" w:hAnsi="Arial"/>
          <w:sz w:val="19"/>
          <w:szCs w:val="19"/>
          <w:color w:val="auto"/>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a broad range of perspectives that each of our employees bring with them, that in turn fuel our shared successes.</w:t>
      </w:r>
    </w:p>
    <w:p>
      <w:pPr>
        <w:spacing w:after="0" w:line="188"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color w:val="auto"/>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spacing w:after="0" w:line="173"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This year we added “customer focus” to our core values to ensure that everything we do is in service to our internal and external customers and stakeholders. We are bringing our core values to life by engaging members of the workforce in helping us define the expected behaviors for each of our core values. These values are woven into our performance management systems and help us identify talent. In addition to Customer Focus, our values include:</w:t>
      </w:r>
    </w:p>
    <w:p>
      <w:pPr>
        <w:spacing w:after="0" w:line="94" w:lineRule="exact"/>
        <w:rPr>
          <w:sz w:val="20"/>
          <w:szCs w:val="20"/>
          <w:color w:val="auto"/>
        </w:rPr>
      </w:pPr>
    </w:p>
    <w:p>
      <w:pPr>
        <w:ind w:left="700" w:hanging="347"/>
        <w:spacing w:after="0"/>
        <w:tabs>
          <w:tab w:leader="none" w:pos="700" w:val="left"/>
        </w:tabs>
        <w:numPr>
          <w:ilvl w:val="0"/>
          <w:numId w:val="135"/>
        </w:numPr>
        <w:rPr>
          <w:rFonts w:ascii="Arial" w:cs="Arial" w:eastAsia="Arial" w:hAnsi="Arial"/>
          <w:sz w:val="23"/>
          <w:szCs w:val="23"/>
          <w:b w:val="1"/>
          <w:bCs w:val="1"/>
          <w:color w:val="auto"/>
        </w:rPr>
      </w:pPr>
      <w:r>
        <w:rPr>
          <w:rFonts w:ascii="Arial" w:cs="Arial" w:eastAsia="Arial" w:hAnsi="Arial"/>
          <w:sz w:val="19"/>
          <w:szCs w:val="19"/>
          <w:color w:val="auto"/>
        </w:rPr>
        <w:t>Integrity in Action;</w:t>
      </w:r>
    </w:p>
    <w:p>
      <w:pPr>
        <w:spacing w:after="0" w:line="119" w:lineRule="exact"/>
        <w:rPr>
          <w:rFonts w:ascii="Arial" w:cs="Arial" w:eastAsia="Arial" w:hAnsi="Arial"/>
          <w:sz w:val="23"/>
          <w:szCs w:val="23"/>
          <w:b w:val="1"/>
          <w:bCs w:val="1"/>
          <w:color w:val="auto"/>
        </w:rPr>
      </w:pPr>
    </w:p>
    <w:p>
      <w:pPr>
        <w:ind w:left="700" w:hanging="347"/>
        <w:spacing w:after="0"/>
        <w:tabs>
          <w:tab w:leader="none" w:pos="700" w:val="left"/>
        </w:tabs>
        <w:numPr>
          <w:ilvl w:val="0"/>
          <w:numId w:val="135"/>
        </w:numPr>
        <w:rPr>
          <w:rFonts w:ascii="Arial" w:cs="Arial" w:eastAsia="Arial" w:hAnsi="Arial"/>
          <w:sz w:val="23"/>
          <w:szCs w:val="23"/>
          <w:color w:val="auto"/>
        </w:rPr>
      </w:pPr>
      <w:r>
        <w:rPr>
          <w:rFonts w:ascii="Arial" w:cs="Arial" w:eastAsia="Arial" w:hAnsi="Arial"/>
          <w:sz w:val="19"/>
          <w:szCs w:val="19"/>
          <w:color w:val="auto"/>
        </w:rPr>
        <w:t>Breakthrough Innovation;</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5"/>
        </w:numPr>
        <w:rPr>
          <w:rFonts w:ascii="Arial" w:cs="Arial" w:eastAsia="Arial" w:hAnsi="Arial"/>
          <w:sz w:val="23"/>
          <w:szCs w:val="23"/>
          <w:color w:val="auto"/>
        </w:rPr>
      </w:pPr>
      <w:r>
        <w:rPr>
          <w:rFonts w:ascii="Arial" w:cs="Arial" w:eastAsia="Arial" w:hAnsi="Arial"/>
          <w:sz w:val="19"/>
          <w:szCs w:val="19"/>
          <w:color w:val="auto"/>
        </w:rPr>
        <w:t>One Team;</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5"/>
        </w:numPr>
        <w:rPr>
          <w:rFonts w:ascii="Arial" w:cs="Arial" w:eastAsia="Arial" w:hAnsi="Arial"/>
          <w:sz w:val="23"/>
          <w:szCs w:val="23"/>
          <w:color w:val="auto"/>
        </w:rPr>
      </w:pPr>
      <w:r>
        <w:rPr>
          <w:rFonts w:ascii="Arial" w:cs="Arial" w:eastAsia="Arial" w:hAnsi="Arial"/>
          <w:sz w:val="19"/>
          <w:szCs w:val="19"/>
          <w:color w:val="auto"/>
        </w:rPr>
        <w:t>Passion for Excellence;</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5"/>
        </w:numPr>
        <w:rPr>
          <w:rFonts w:ascii="Arial" w:cs="Arial" w:eastAsia="Arial" w:hAnsi="Arial"/>
          <w:sz w:val="23"/>
          <w:szCs w:val="23"/>
          <w:color w:val="auto"/>
        </w:rPr>
      </w:pPr>
      <w:r>
        <w:rPr>
          <w:rFonts w:ascii="Arial" w:cs="Arial" w:eastAsia="Arial" w:hAnsi="Arial"/>
          <w:sz w:val="19"/>
          <w:szCs w:val="19"/>
          <w:color w:val="auto"/>
        </w:rPr>
        <w:t>Act With Urgency; and</w:t>
      </w:r>
    </w:p>
    <w:p>
      <w:pPr>
        <w:spacing w:after="0" w:line="127" w:lineRule="exact"/>
        <w:rPr>
          <w:rFonts w:ascii="Arial" w:cs="Arial" w:eastAsia="Arial" w:hAnsi="Arial"/>
          <w:sz w:val="23"/>
          <w:szCs w:val="23"/>
          <w:color w:val="auto"/>
        </w:rPr>
      </w:pPr>
    </w:p>
    <w:p>
      <w:pPr>
        <w:ind w:left="700" w:hanging="347"/>
        <w:spacing w:after="0"/>
        <w:tabs>
          <w:tab w:leader="none" w:pos="700" w:val="left"/>
        </w:tabs>
        <w:numPr>
          <w:ilvl w:val="0"/>
          <w:numId w:val="135"/>
        </w:numPr>
        <w:rPr>
          <w:rFonts w:ascii="Arial" w:cs="Arial" w:eastAsia="Arial" w:hAnsi="Arial"/>
          <w:sz w:val="23"/>
          <w:szCs w:val="23"/>
          <w:color w:val="auto"/>
        </w:rPr>
      </w:pPr>
      <w:r>
        <w:rPr>
          <w:rFonts w:ascii="Arial" w:cs="Arial" w:eastAsia="Arial" w:hAnsi="Arial"/>
          <w:sz w:val="19"/>
          <w:szCs w:val="19"/>
          <w:color w:val="auto"/>
        </w:rPr>
        <w:t>Ownership Mindset.</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Safety</w:t>
      </w:r>
    </w:p>
    <w:p>
      <w:pPr>
        <w:spacing w:after="0" w:line="2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instill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To demonstrate this, in 2024, we maintained ISO 45001 and ISO 14001 certifications for AMP-1 and achieved ISO 45001 and ISO 14001 certifications for AMP-2, which validates our system of continuous improvement to reduce occupational risk and improve worker safety. In 2024, the AMP-2 manufacturing site celebrated over 2 million man-hours of construction without a lost time injury.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Workforce and Commitment to Inclusion</w:t>
      </w:r>
    </w:p>
    <w:p>
      <w:pPr>
        <w:spacing w:after="0" w:line="250"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At Lucid, inclusion is an essential part of who we are. We value the broad range of perspectives and experiences of our employees who reflect the communities we serve. Our differences spark innovation and drive us forward, which is why we are committed to fostering an inclusive culture that empowers us to bring our best selves to work and achieve our mission to build a better future together.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Our people centric and data-driven workforce strategy focuses on three pillars:</w:t>
      </w:r>
    </w:p>
    <w:p>
      <w:pPr>
        <w:spacing w:after="0" w:line="127" w:lineRule="exact"/>
        <w:rPr>
          <w:sz w:val="20"/>
          <w:szCs w:val="20"/>
          <w:color w:val="auto"/>
        </w:rPr>
      </w:pPr>
    </w:p>
    <w:p>
      <w:pPr>
        <w:ind w:left="700" w:hanging="347"/>
        <w:spacing w:after="0"/>
        <w:tabs>
          <w:tab w:leader="none" w:pos="7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Growing our workforce by attracting, hiring, and promoting talent from all backgrounds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Fostering an inclusive culture by promoting policies, practices, and programs that support and engage all employees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Being key contributors to the community by engaging with and investing in local communities where we operate</w:t>
      </w:r>
    </w:p>
    <w:p>
      <w:pPr>
        <w:spacing w:after="0" w:line="243" w:lineRule="exact"/>
        <w:rPr>
          <w:sz w:val="20"/>
          <w:szCs w:val="20"/>
          <w:color w:val="auto"/>
        </w:rPr>
      </w:pPr>
    </w:p>
    <w:p>
      <w:pPr>
        <w:ind w:right="200"/>
        <w:spacing w:after="0" w:line="289" w:lineRule="auto"/>
        <w:rPr>
          <w:sz w:val="20"/>
          <w:szCs w:val="20"/>
          <w:color w:val="auto"/>
        </w:rPr>
      </w:pPr>
      <w:r>
        <w:rPr>
          <w:rFonts w:ascii="Arial" w:cs="Arial" w:eastAsia="Arial" w:hAnsi="Arial"/>
          <w:sz w:val="19"/>
          <w:szCs w:val="19"/>
          <w:color w:val="auto"/>
        </w:rPr>
        <w:t>Of note, Lucid sponsors nine employee resource groups to support and empower our employees. Membership in employee resource groups is open to all Lucid employees.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and Benefits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competitive compensation to attract and retain the best people in the world, and we help 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2024, we strengthened our support for employees and their families through the introduction of new health and wellness benefits. We are pleased to support employees and families through a comprehensive suite of insurance and retirement offerings, most of which can be individually selected by each employee to best fit their needs.</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1080"/>
          </w:cols>
          <w:pgMar w:left="400" w:top="763" w:right="40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19"/>
          <w:szCs w:val="19"/>
          <w:b w:val="1"/>
          <w:bCs w:val="1"/>
          <w:color w:val="auto"/>
        </w:rPr>
        <w:t>ENVIRONMENTAL IMPACT</w:t>
      </w:r>
    </w:p>
    <w:p>
      <w:pPr>
        <w:spacing w:after="0" w:line="249"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As a technology and EV company focused on efficiently using our planet’s precious resources, we are proud that sustainability has been at the core of our business since day one. We are committed to improving environmental and social impacts across our value chain and helping ensure a robust governance structure to support our efforts. We believe in the importance of accountability and transparency, and we published our first sustainability report in 2024 that contains the details of our program.</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Highlights of our sustainable impact include:</w:t>
      </w:r>
    </w:p>
    <w:p>
      <w:pPr>
        <w:spacing w:after="0" w:line="238"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b w:val="1"/>
          <w:bCs w:val="1"/>
          <w:i w:val="1"/>
          <w:iCs w:val="1"/>
          <w:color w:val="auto"/>
        </w:rPr>
        <w:t xml:space="preserve">Product: </w:t>
      </w:r>
      <w:r>
        <w:rPr>
          <w:rFonts w:ascii="Arial" w:cs="Arial" w:eastAsia="Arial" w:hAnsi="Arial"/>
          <w:sz w:val="18"/>
          <w:szCs w:val="18"/>
          <w:color w:val="auto"/>
        </w:rPr>
        <w:t>Efficiency is a key measure of the in-house technology embedded in our products, contributing to our goal of a best-in-class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for our customers while benefiting the environment. The Lucid Air continues to be the longest-range fully electric vehicle (the Lucid Air Grand Touring has an EPA-estimated range of 512 miles per charge with 19-inch wheels) and the most efficient vehicle (the Lucid Air Pure with 5.0 miles of range per kilowatt-hour), and the Lucid Air has one of the lowest coefficients of drag of any vehicle on the market (0.197 coefficient of drag with 19-inch wheels). These achievements are based on a relentless focus on efficiency through the EV powertrain, battery pack and system, and an aerodynamic design. This focus on efficiency also enables our vehicles to travel further per kilowatt-hour. Each extra mile that we extract per kilowatt-hour of energy means less energy required and fewer carbon emissions from the electrical grid. This same efficient technology and approach enables the possibility of vehicles with smaller, lower-cost battery packs that retain competitive range, —which would benefit the environment by requiring fewer battery cells per vehicle.</w:t>
      </w:r>
    </w:p>
    <w:p>
      <w:pPr>
        <w:spacing w:after="0" w:line="17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b w:val="1"/>
          <w:bCs w:val="1"/>
          <w:i w:val="1"/>
          <w:iCs w:val="1"/>
          <w:color w:val="auto"/>
        </w:rPr>
        <w:t xml:space="preserve">Environmental, Social, and Governance (“ESG”) Strategy: </w:t>
      </w:r>
      <w:r>
        <w:rPr>
          <w:rFonts w:ascii="Arial" w:cs="Arial" w:eastAsia="Arial" w:hAnsi="Arial"/>
          <w:sz w:val="19"/>
          <w:szCs w:val="19"/>
          <w:color w:val="auto"/>
        </w:rPr>
        <w:t>Our dedicated ESG team continues to drive our efforts to implement thoughtful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ESG strategies and programs. We base our priorities on a high-level ESG materiality assessment to identify key topics for our strategy. This effort includes insight from investors, ratings and rankings, Company leadership interviews, research on peers and consumer trends, and a media review. Our ESG Steering Committee, established in 2021, is comprised of senior executive leaders who meet on a regular basis to drive our strategy on ESG topics.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GOVERNANCE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recognize that sound governance practices are critical to ethical business practices and our overall success as an organization and business.</w:t>
      </w:r>
    </w:p>
    <w:p>
      <w:pPr>
        <w:spacing w:after="0" w:line="295" w:lineRule="exact"/>
        <w:rPr>
          <w:sz w:val="20"/>
          <w:szCs w:val="20"/>
          <w:color w:val="auto"/>
        </w:rPr>
      </w:pPr>
    </w:p>
    <w:p>
      <w:pPr>
        <w:jc w:val="both"/>
        <w:ind w:left="700" w:hanging="347"/>
        <w:spacing w:after="0" w:line="296" w:lineRule="auto"/>
        <w:tabs>
          <w:tab w:leader="none" w:pos="700" w:val="left"/>
        </w:tabs>
        <w:numPr>
          <w:ilvl w:val="0"/>
          <w:numId w:val="137"/>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Corporate Governance: </w:t>
      </w:r>
      <w:r>
        <w:rPr>
          <w:rFonts w:ascii="Arial" w:cs="Arial" w:eastAsia="Arial" w:hAnsi="Arial"/>
          <w:sz w:val="19"/>
          <w:szCs w:val="19"/>
          <w:color w:val="auto"/>
        </w:rPr>
        <w:t>Our corporate governance best practices include: a majority independent Board under SEC and Nasdaq rules;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well-qualified Board with broad range of skills, backgrounds, and experiences, which includes 4 female directors and 5 members of under-represented communities; an independent chairman of the Board; and no classified board structure (all directors must be elected every year).</w:t>
      </w:r>
    </w:p>
    <w:p>
      <w:pPr>
        <w:spacing w:after="0" w:line="202" w:lineRule="exact"/>
        <w:rPr>
          <w:rFonts w:ascii="Arial" w:cs="Arial" w:eastAsia="Arial" w:hAnsi="Arial"/>
          <w:sz w:val="23"/>
          <w:szCs w:val="23"/>
          <w:b w:val="1"/>
          <w:bCs w:val="1"/>
          <w:color w:val="auto"/>
        </w:rPr>
      </w:pPr>
    </w:p>
    <w:p>
      <w:pPr>
        <w:jc w:val="both"/>
        <w:ind w:left="700" w:hanging="347"/>
        <w:spacing w:after="0" w:line="293" w:lineRule="auto"/>
        <w:tabs>
          <w:tab w:leader="none" w:pos="700" w:val="left"/>
        </w:tabs>
        <w:numPr>
          <w:ilvl w:val="0"/>
          <w:numId w:val="137"/>
        </w:numPr>
        <w:rPr>
          <w:rFonts w:ascii="Arial" w:cs="Arial" w:eastAsia="Arial" w:hAnsi="Arial"/>
          <w:sz w:val="23"/>
          <w:szCs w:val="23"/>
          <w:b w:val="1"/>
          <w:bCs w:val="1"/>
          <w:color w:val="auto"/>
        </w:rPr>
      </w:pPr>
      <w:r>
        <w:rPr>
          <w:rFonts w:ascii="Arial" w:cs="Arial" w:eastAsia="Arial" w:hAnsi="Arial"/>
          <w:sz w:val="19"/>
          <w:szCs w:val="19"/>
          <w:b w:val="1"/>
          <w:bCs w:val="1"/>
          <w:i w:val="1"/>
          <w:iCs w:val="1"/>
          <w:color w:val="auto"/>
        </w:rPr>
        <w:t xml:space="preserve">Business Ethics: </w:t>
      </w:r>
      <w:r>
        <w:rPr>
          <w:rFonts w:ascii="Arial" w:cs="Arial" w:eastAsia="Arial" w:hAnsi="Arial"/>
          <w:sz w:val="19"/>
          <w:szCs w:val="19"/>
          <w:color w:val="auto"/>
        </w:rPr>
        <w:t>We have a publicly available Code of Business Conduct and Ethics and a framework to receive and investigate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reports of policy violations. The Code of Business Conduct and Ethics is available on our Investor Relations website at https:// ir.lucidmotors.com under the subheading “Governance.”</w:t>
      </w:r>
    </w:p>
    <w:p>
      <w:pPr>
        <w:spacing w:after="0" w:line="204" w:lineRule="exact"/>
        <w:rPr>
          <w:rFonts w:ascii="Arial" w:cs="Arial" w:eastAsia="Arial" w:hAnsi="Arial"/>
          <w:sz w:val="23"/>
          <w:szCs w:val="23"/>
          <w:b w:val="1"/>
          <w:bCs w:val="1"/>
          <w:color w:val="auto"/>
        </w:rPr>
      </w:pPr>
    </w:p>
    <w:p>
      <w:pPr>
        <w:ind w:left="700" w:right="120" w:hanging="347"/>
        <w:spacing w:after="0" w:line="317" w:lineRule="auto"/>
        <w:tabs>
          <w:tab w:leader="none" w:pos="700" w:val="left"/>
        </w:tabs>
        <w:numPr>
          <w:ilvl w:val="0"/>
          <w:numId w:val="137"/>
        </w:numPr>
        <w:rPr>
          <w:rFonts w:ascii="Arial" w:cs="Arial" w:eastAsia="Arial" w:hAnsi="Arial"/>
          <w:sz w:val="22"/>
          <w:szCs w:val="22"/>
          <w:b w:val="1"/>
          <w:bCs w:val="1"/>
          <w:color w:val="auto"/>
        </w:rPr>
      </w:pPr>
      <w:r>
        <w:rPr>
          <w:rFonts w:ascii="Arial" w:cs="Arial" w:eastAsia="Arial" w:hAnsi="Arial"/>
          <w:sz w:val="18"/>
          <w:szCs w:val="18"/>
          <w:b w:val="1"/>
          <w:bCs w:val="1"/>
          <w:i w:val="1"/>
          <w:iCs w:val="1"/>
          <w:color w:val="auto"/>
        </w:rPr>
        <w:t xml:space="preserve">Compliance: </w:t>
      </w:r>
      <w:r>
        <w:rPr>
          <w:rFonts w:ascii="Arial" w:cs="Arial" w:eastAsia="Arial" w:hAnsi="Arial"/>
          <w:sz w:val="18"/>
          <w:szCs w:val="18"/>
          <w:color w:val="auto"/>
        </w:rPr>
        <w:t>We continue to enhance our compliance program centered around a clear statement of principles and an expectation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legal compliance and high ethical standards. We intend to achieve these goals through ongoing training of our contractors and employees, due diligence of our suppliers,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4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We are required to file annual, quarterly and current reports, proxy statements and other information with the SEC. We also maintain an Investor Relations website at https://ir.lucidmotors.com.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Our website, the SEC’s website and the information contained therein or linked thereto are not a part of this Annual Report.</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1080"/>
          </w:cols>
          <w:pgMar w:left="400" w:top="756" w:right="400"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19"/>
          <w:szCs w:val="19"/>
          <w:b w:val="1"/>
          <w:bCs w:val="1"/>
          <w:color w:val="auto"/>
        </w:rPr>
        <w:t>Item 1A. Risk Factors.</w:t>
      </w:r>
    </w:p>
    <w:p>
      <w:pPr>
        <w:spacing w:after="0" w:line="246" w:lineRule="exact"/>
        <w:rPr>
          <w:sz w:val="20"/>
          <w:szCs w:val="20"/>
          <w:color w:val="auto"/>
        </w:rPr>
      </w:pPr>
    </w:p>
    <w:p>
      <w:pPr>
        <w:ind w:right="60" w:firstLine="346"/>
        <w:spacing w:after="0" w:line="319" w:lineRule="auto"/>
        <w:rPr>
          <w:sz w:val="20"/>
          <w:szCs w:val="20"/>
          <w:color w:val="auto"/>
        </w:rPr>
      </w:pPr>
      <w:r>
        <w:rPr>
          <w:rFonts w:ascii="Arial" w:cs="Arial" w:eastAsia="Arial" w:hAnsi="Arial"/>
          <w:sz w:val="16"/>
          <w:szCs w:val="16"/>
          <w:b w:val="1"/>
          <w:bCs w:val="1"/>
          <w:i w:val="1"/>
          <w:iCs w:val="1"/>
          <w:color w:val="auto"/>
        </w:rPr>
        <w:t>A description of the risks and uncertainties associated with our business is set forth below. Investors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 Summary</w:t>
      </w:r>
    </w:p>
    <w:p>
      <w:pPr>
        <w:spacing w:after="0" w:line="208" w:lineRule="exact"/>
        <w:rPr>
          <w:sz w:val="20"/>
          <w:szCs w:val="20"/>
          <w:color w:val="auto"/>
        </w:rPr>
      </w:pPr>
    </w:p>
    <w:p>
      <w:pPr>
        <w:ind w:right="20" w:firstLine="346"/>
        <w:spacing w:after="0" w:line="281" w:lineRule="auto"/>
        <w:rPr>
          <w:sz w:val="20"/>
          <w:szCs w:val="20"/>
          <w:color w:val="auto"/>
        </w:rPr>
      </w:pPr>
      <w:r>
        <w:rPr>
          <w:rFonts w:ascii="Arial" w:cs="Arial" w:eastAsia="Arial" w:hAnsi="Arial"/>
          <w:sz w:val="18"/>
          <w:szCs w:val="18"/>
          <w:b w:val="1"/>
          <w:bCs w:val="1"/>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59" w:lineRule="exact"/>
        <w:rPr>
          <w:sz w:val="20"/>
          <w:szCs w:val="20"/>
          <w:color w:val="auto"/>
        </w:rPr>
      </w:pPr>
    </w:p>
    <w:p>
      <w:pPr>
        <w:ind w:left="700" w:right="14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Our limited operating history makes evaluating our business and future prospects difficult and may increase the risk of stockholders’ investment.</w:t>
      </w:r>
    </w:p>
    <w:p>
      <w:pPr>
        <w:spacing w:after="0" w:line="50" w:lineRule="exact"/>
        <w:rPr>
          <w:rFonts w:ascii="Arial" w:cs="Arial" w:eastAsia="Arial" w:hAnsi="Arial"/>
          <w:sz w:val="19"/>
          <w:szCs w:val="19"/>
          <w:color w:val="auto"/>
        </w:rPr>
      </w:pPr>
    </w:p>
    <w:p>
      <w:pPr>
        <w:ind w:left="700" w:right="56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have incurred net losses each year since our inception and expect to incur increasing expenses and substantial losses for the foreseeable future.</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may be unable to adequately control the substantial costs associated with our operations.</w:t>
      </w:r>
    </w:p>
    <w:p>
      <w:pPr>
        <w:spacing w:after="0" w:line="127" w:lineRule="exact"/>
        <w:rPr>
          <w:rFonts w:ascii="Arial" w:cs="Arial" w:eastAsia="Arial" w:hAnsi="Arial"/>
          <w:sz w:val="19"/>
          <w:szCs w:val="19"/>
          <w:color w:val="auto"/>
        </w:rPr>
      </w:pPr>
    </w:p>
    <w:p>
      <w:pPr>
        <w:ind w:left="700" w:right="10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Failure to attract customers, failure to complete the purchase process with customers, and customer cancellation of orders may have a material adverse impact on our business, prospects, results of operations and financial condition.</w:t>
      </w:r>
    </w:p>
    <w:p>
      <w:pPr>
        <w:spacing w:after="0" w:line="50" w:lineRule="exact"/>
        <w:rPr>
          <w:rFonts w:ascii="Arial" w:cs="Arial" w:eastAsia="Arial" w:hAnsi="Arial"/>
          <w:sz w:val="19"/>
          <w:szCs w:val="19"/>
          <w:color w:val="auto"/>
        </w:rPr>
      </w:pPr>
    </w:p>
    <w:p>
      <w:pPr>
        <w:ind w:left="700" w:right="24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50" w:lineRule="exact"/>
        <w:rPr>
          <w:rFonts w:ascii="Arial" w:cs="Arial" w:eastAsia="Arial" w:hAnsi="Arial"/>
          <w:sz w:val="19"/>
          <w:szCs w:val="19"/>
          <w:color w:val="auto"/>
        </w:rPr>
      </w:pPr>
    </w:p>
    <w:p>
      <w:pPr>
        <w:ind w:left="700" w:right="26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currently depend primarily on revenue generated from a limited number of models and anticipate continuing to be significantly dependent on a limited number of models in the foreseeable future.</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Our business and prospects depend significantly on our brand.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do not have a third-party retail product distribution and full-service network.</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face challenges providing charging solutions for our vehicles, both domestically and internationally.</w:t>
      </w:r>
    </w:p>
    <w:p>
      <w:pPr>
        <w:spacing w:after="0" w:line="127" w:lineRule="exact"/>
        <w:rPr>
          <w:rFonts w:ascii="Arial" w:cs="Arial" w:eastAsia="Arial" w:hAnsi="Arial"/>
          <w:sz w:val="19"/>
          <w:szCs w:val="19"/>
          <w:color w:val="auto"/>
        </w:rPr>
      </w:pPr>
    </w:p>
    <w:p>
      <w:pPr>
        <w:ind w:left="700" w:right="64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we fail to manage our future growth effectively, we may not be able to develop, manufacture, distribute, market and sell our vehicles successfully.</w:t>
      </w:r>
    </w:p>
    <w:p>
      <w:pPr>
        <w:spacing w:after="0" w:line="50" w:lineRule="exact"/>
        <w:rPr>
          <w:rFonts w:ascii="Arial" w:cs="Arial" w:eastAsia="Arial" w:hAnsi="Arial"/>
          <w:sz w:val="19"/>
          <w:szCs w:val="19"/>
          <w:color w:val="auto"/>
        </w:rPr>
      </w:pPr>
    </w:p>
    <w:p>
      <w:pPr>
        <w:ind w:left="700" w:right="34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face risks associated with international operations, including unfavorable regulatory, political, tax and labor conditions, which could harm our business.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automotive industry has significant barriers to entry that we must overcome in order to manufacture and sell EVs at scale.</w:t>
      </w:r>
    </w:p>
    <w:p>
      <w:pPr>
        <w:spacing w:after="0" w:line="138" w:lineRule="exact"/>
        <w:rPr>
          <w:rFonts w:ascii="Arial" w:cs="Arial" w:eastAsia="Arial" w:hAnsi="Arial"/>
          <w:sz w:val="18"/>
          <w:szCs w:val="18"/>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automotive market is highly competitive, and we may not be successful in competing in this industry.</w:t>
      </w:r>
    </w:p>
    <w:p>
      <w:pPr>
        <w:spacing w:after="0" w:line="127" w:lineRule="exact"/>
        <w:rPr>
          <w:rFonts w:ascii="Arial" w:cs="Arial" w:eastAsia="Arial" w:hAnsi="Arial"/>
          <w:sz w:val="19"/>
          <w:szCs w:val="19"/>
          <w:color w:val="auto"/>
        </w:rPr>
      </w:pPr>
    </w:p>
    <w:p>
      <w:pPr>
        <w:ind w:left="700" w:right="420" w:hanging="347"/>
        <w:spacing w:after="0" w:line="351" w:lineRule="auto"/>
        <w:tabs>
          <w:tab w:leader="none" w:pos="7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We have experienced and may in the future experience significant delays in the design, manufacture, launch and financing of our vehicles, including the Lucid Air, the Lucid Gravity and our Midsize platform, which could harm our business and prospects.</w:t>
      </w:r>
    </w:p>
    <w:p>
      <w:pPr>
        <w:spacing w:after="0" w:line="4" w:lineRule="exact"/>
        <w:rPr>
          <w:rFonts w:ascii="Arial" w:cs="Arial" w:eastAsia="Arial" w:hAnsi="Arial"/>
          <w:sz w:val="17"/>
          <w:szCs w:val="17"/>
          <w:color w:val="auto"/>
        </w:rPr>
      </w:pPr>
    </w:p>
    <w:p>
      <w:pPr>
        <w:ind w:left="700" w:hanging="347"/>
        <w:spacing w:after="0" w:line="271"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66" w:lineRule="exact"/>
        <w:rPr>
          <w:rFonts w:ascii="Arial" w:cs="Arial" w:eastAsia="Arial" w:hAnsi="Arial"/>
          <w:sz w:val="19"/>
          <w:szCs w:val="19"/>
          <w:color w:val="auto"/>
        </w:rPr>
      </w:pPr>
    </w:p>
    <w:p>
      <w:pPr>
        <w:ind w:left="700" w:hanging="347"/>
        <w:spacing w:after="0" w:line="262"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75"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Changes in costs, changes of supply or shortage of materials, in particular for lithium-ion battery cells, could harm our business.</w:t>
      </w:r>
    </w:p>
    <w:p>
      <w:pPr>
        <w:spacing w:after="0" w:line="138" w:lineRule="exact"/>
        <w:rPr>
          <w:rFonts w:ascii="Arial" w:cs="Arial" w:eastAsia="Arial" w:hAnsi="Arial"/>
          <w:sz w:val="18"/>
          <w:szCs w:val="18"/>
          <w:color w:val="auto"/>
        </w:rPr>
      </w:pPr>
    </w:p>
    <w:p>
      <w:pPr>
        <w:ind w:left="700" w:right="20" w:hanging="347"/>
        <w:spacing w:after="0" w:line="289" w:lineRule="auto"/>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we fail to successfully construct or tool our manufacturing facilities or if our manufacturing facilities become inoperable, we will be unable to produce our vehicles and our business will be harmed.</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have limited experience in high volume manufacture of our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our vehicles fail to perform as expected, our ability to develop, market and sell or lease our products could be harmed.</w:t>
      </w:r>
    </w:p>
    <w:p>
      <w:pPr>
        <w:sectPr>
          <w:pgSz w:w="11880" w:h="15480" w:orient="portrait"/>
          <w:cols w:equalWidth="0" w:num="1">
            <w:col w:w="11040"/>
          </w:cols>
          <w:pgMar w:left="400" w:top="756" w:right="440" w:bottom="0" w:gutter="0" w:footer="0" w:header="0"/>
        </w:sectPr>
      </w:pP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1040"/>
          </w:cols>
          <w:pgMar w:left="400" w:top="756" w:right="440" w:bottom="0" w:gutter="0" w:footer="0" w:header="0"/>
          <w:type w:val="continuous"/>
        </w:sectPr>
      </w:pPr>
    </w:p>
    <w:bookmarkStart w:id="144" w:name="page145"/>
    <w:bookmarkEnd w:id="144"/>
    <w:p>
      <w:pPr>
        <w:ind w:left="347" w:right="40" w:hanging="347"/>
        <w:spacing w:after="0" w:line="351" w:lineRule="auto"/>
        <w:tabs>
          <w:tab w:leader="none" w:pos="34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4" w:lineRule="exact"/>
        <w:rPr>
          <w:rFonts w:ascii="Arial" w:cs="Arial" w:eastAsia="Arial" w:hAnsi="Arial"/>
          <w:sz w:val="17"/>
          <w:szCs w:val="17"/>
          <w:color w:val="auto"/>
        </w:rPr>
      </w:pPr>
    </w:p>
    <w:p>
      <w:pPr>
        <w:ind w:left="347" w:right="200" w:hanging="347"/>
        <w:spacing w:after="0" w:line="351" w:lineRule="auto"/>
        <w:tabs>
          <w:tab w:leader="none" w:pos="34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4" w:lineRule="exact"/>
        <w:rPr>
          <w:rFonts w:ascii="Arial" w:cs="Arial" w:eastAsia="Arial" w:hAnsi="Arial"/>
          <w:sz w:val="17"/>
          <w:szCs w:val="17"/>
          <w:color w:val="auto"/>
        </w:rPr>
      </w:pPr>
    </w:p>
    <w:p>
      <w:pPr>
        <w:ind w:left="347" w:right="12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6" w:lineRule="exact"/>
        <w:rPr>
          <w:rFonts w:ascii="Arial" w:cs="Arial" w:eastAsia="Arial" w:hAnsi="Arial"/>
          <w:sz w:val="19"/>
          <w:szCs w:val="19"/>
          <w:color w:val="auto"/>
        </w:rPr>
      </w:pPr>
    </w:p>
    <w:p>
      <w:pPr>
        <w:jc w:val="both"/>
        <w:ind w:left="347" w:right="16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66" w:lineRule="exact"/>
        <w:rPr>
          <w:rFonts w:ascii="Arial" w:cs="Arial" w:eastAsia="Arial" w:hAnsi="Arial"/>
          <w:sz w:val="19"/>
          <w:szCs w:val="19"/>
          <w:color w:val="auto"/>
        </w:rPr>
      </w:pPr>
    </w:p>
    <w:p>
      <w:pPr>
        <w:jc w:val="both"/>
        <w:ind w:left="347"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66" w:lineRule="exact"/>
        <w:rPr>
          <w:rFonts w:ascii="Arial" w:cs="Arial" w:eastAsia="Arial" w:hAnsi="Arial"/>
          <w:sz w:val="19"/>
          <w:szCs w:val="19"/>
          <w:color w:val="auto"/>
        </w:rPr>
      </w:pPr>
    </w:p>
    <w:p>
      <w:pPr>
        <w:ind w:left="347" w:right="480" w:hanging="347"/>
        <w:spacing w:after="0" w:line="289"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loss of key employees or an inability to attract, retain and motivate qualified personnel may impair our ability to expand our business.</w:t>
      </w:r>
    </w:p>
    <w:p>
      <w:pPr>
        <w:spacing w:after="0" w:line="50" w:lineRule="exact"/>
        <w:rPr>
          <w:rFonts w:ascii="Arial" w:cs="Arial" w:eastAsia="Arial" w:hAnsi="Arial"/>
          <w:sz w:val="19"/>
          <w:szCs w:val="19"/>
          <w:color w:val="auto"/>
        </w:rPr>
      </w:pPr>
    </w:p>
    <w:p>
      <w:pPr>
        <w:ind w:left="347" w:right="16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66" w:lineRule="exact"/>
        <w:rPr>
          <w:rFonts w:ascii="Arial" w:cs="Arial" w:eastAsia="Arial" w:hAnsi="Arial"/>
          <w:sz w:val="19"/>
          <w:szCs w:val="19"/>
          <w:color w:val="auto"/>
        </w:rPr>
      </w:pPr>
    </w:p>
    <w:p>
      <w:pPr>
        <w:ind w:left="347" w:right="240" w:hanging="347"/>
        <w:spacing w:after="0" w:line="289"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may face regulatory limitations on our ability to sell vehicles directly, which could materially and adversely affect our ability to sell our vehicles.</w:t>
      </w:r>
    </w:p>
    <w:p>
      <w:pPr>
        <w:spacing w:after="0" w:line="50" w:lineRule="exact"/>
        <w:rPr>
          <w:rFonts w:ascii="Arial" w:cs="Arial" w:eastAsia="Arial" w:hAnsi="Arial"/>
          <w:sz w:val="19"/>
          <w:szCs w:val="19"/>
          <w:color w:val="auto"/>
        </w:rPr>
      </w:pPr>
    </w:p>
    <w:p>
      <w:pPr>
        <w:jc w:val="both"/>
        <w:ind w:left="347" w:right="120" w:hanging="347"/>
        <w:spacing w:after="0" w:line="293" w:lineRule="auto"/>
        <w:tabs>
          <w:tab w:leader="none" w:pos="3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48" w:lineRule="exact"/>
        <w:rPr>
          <w:rFonts w:ascii="Arial" w:cs="Arial" w:eastAsia="Arial" w:hAnsi="Arial"/>
          <w:sz w:val="18"/>
          <w:szCs w:val="18"/>
          <w:color w:val="auto"/>
        </w:rPr>
      </w:pPr>
    </w:p>
    <w:p>
      <w:pPr>
        <w:ind w:left="347" w:right="440" w:hanging="347"/>
        <w:spacing w:after="0" w:line="289"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will require additional capital to support business growth, and this capital might not be available on commercially reasonable terms, or at all.</w:t>
      </w:r>
    </w:p>
    <w:p>
      <w:pPr>
        <w:spacing w:after="0" w:line="50" w:lineRule="exact"/>
        <w:rPr>
          <w:rFonts w:ascii="Arial" w:cs="Arial" w:eastAsia="Arial" w:hAnsi="Arial"/>
          <w:sz w:val="19"/>
          <w:szCs w:val="19"/>
          <w:color w:val="auto"/>
        </w:rPr>
      </w:pPr>
    </w:p>
    <w:p>
      <w:pPr>
        <w:ind w:left="347" w:hanging="347"/>
        <w:spacing w:after="0"/>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may not be able to realize the anticipated benefits of our agreement with Aston Martin.</w:t>
      </w:r>
    </w:p>
    <w:p>
      <w:pPr>
        <w:spacing w:after="0" w:line="127" w:lineRule="exact"/>
        <w:rPr>
          <w:rFonts w:ascii="Arial" w:cs="Arial" w:eastAsia="Arial" w:hAnsi="Arial"/>
          <w:sz w:val="19"/>
          <w:szCs w:val="19"/>
          <w:color w:val="auto"/>
        </w:rPr>
      </w:pPr>
    </w:p>
    <w:p>
      <w:pPr>
        <w:jc w:val="both"/>
        <w:ind w:left="347" w:right="34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6" w:lineRule="exact"/>
        <w:rPr>
          <w:rFonts w:ascii="Arial" w:cs="Arial" w:eastAsia="Arial" w:hAnsi="Arial"/>
          <w:sz w:val="19"/>
          <w:szCs w:val="19"/>
          <w:color w:val="auto"/>
        </w:rPr>
      </w:pPr>
    </w:p>
    <w:p>
      <w:pPr>
        <w:ind w:left="347" w:right="38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spacing w:after="0" w:line="66" w:lineRule="exact"/>
        <w:rPr>
          <w:rFonts w:ascii="Arial" w:cs="Arial" w:eastAsia="Arial" w:hAnsi="Arial"/>
          <w:sz w:val="19"/>
          <w:szCs w:val="19"/>
          <w:color w:val="auto"/>
        </w:rPr>
      </w:pPr>
    </w:p>
    <w:p>
      <w:pPr>
        <w:ind w:left="347" w:right="120" w:hanging="347"/>
        <w:spacing w:after="0" w:line="271"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66" w:lineRule="exact"/>
        <w:rPr>
          <w:rFonts w:ascii="Arial" w:cs="Arial" w:eastAsia="Arial" w:hAnsi="Arial"/>
          <w:sz w:val="19"/>
          <w:szCs w:val="19"/>
          <w:color w:val="auto"/>
        </w:rPr>
      </w:pPr>
    </w:p>
    <w:p>
      <w:pPr>
        <w:ind w:left="347" w:right="100" w:hanging="347"/>
        <w:spacing w:after="0" w:line="289"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PIF and Ayar beneficially own a significant equity interest in us and have significant influence over us, which could decrease the relative ownership interest and voting power other holders of our common stock have over us.</w:t>
      </w:r>
    </w:p>
    <w:p>
      <w:pPr>
        <w:spacing w:after="0" w:line="50" w:lineRule="exact"/>
        <w:rPr>
          <w:rFonts w:ascii="Arial" w:cs="Arial" w:eastAsia="Arial" w:hAnsi="Arial"/>
          <w:sz w:val="19"/>
          <w:szCs w:val="19"/>
          <w:color w:val="auto"/>
        </w:rPr>
      </w:pPr>
    </w:p>
    <w:p>
      <w:pPr>
        <w:ind w:left="347" w:hanging="347"/>
        <w:spacing w:after="0" w:line="262"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spacing w:after="0" w:line="75" w:lineRule="exact"/>
        <w:rPr>
          <w:rFonts w:ascii="Arial" w:cs="Arial" w:eastAsia="Arial" w:hAnsi="Arial"/>
          <w:sz w:val="19"/>
          <w:szCs w:val="19"/>
          <w:color w:val="auto"/>
        </w:rPr>
      </w:pPr>
    </w:p>
    <w:p>
      <w:pPr>
        <w:ind w:left="347" w:right="40" w:hanging="347"/>
        <w:spacing w:after="0" w:line="289" w:lineRule="auto"/>
        <w:tabs>
          <w:tab w:leader="none" w:pos="3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Our Redeemable Convertible Preferred Stock has rights, preferences and privileges that are not held by, and are senior to the rights of, our common stockholders.</w:t>
      </w:r>
    </w:p>
    <w:p>
      <w:pPr>
        <w:sectPr>
          <w:pgSz w:w="11880" w:h="15480" w:orient="portrait"/>
          <w:cols w:equalWidth="0" w:num="1">
            <w:col w:w="10707"/>
          </w:cols>
          <w:pgMar w:left="753"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3"/>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707"/>
          </w:cols>
          <w:pgMar w:left="753" w:top="763" w:right="420"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19"/>
          <w:szCs w:val="19"/>
          <w:b w:val="1"/>
          <w:bCs w:val="1"/>
          <w:color w:val="auto"/>
        </w:rPr>
        <w:t>Risks Related to Our Business and Operations</w:t>
      </w:r>
    </w:p>
    <w:p>
      <w:pPr>
        <w:spacing w:after="0" w:line="241" w:lineRule="exact"/>
        <w:rPr>
          <w:sz w:val="20"/>
          <w:szCs w:val="20"/>
          <w:color w:val="auto"/>
        </w:rPr>
      </w:pPr>
    </w:p>
    <w:p>
      <w:pPr>
        <w:ind w:right="560"/>
        <w:spacing w:after="0" w:line="294" w:lineRule="auto"/>
        <w:rPr>
          <w:sz w:val="20"/>
          <w:szCs w:val="20"/>
          <w:color w:val="auto"/>
        </w:rPr>
      </w:pPr>
      <w:r>
        <w:rPr>
          <w:rFonts w:ascii="Arial" w:cs="Arial" w:eastAsia="Arial" w:hAnsi="Arial"/>
          <w:sz w:val="19"/>
          <w:szCs w:val="19"/>
          <w:b w:val="1"/>
          <w:bCs w:val="1"/>
          <w:i w:val="1"/>
          <w:iCs w:val="1"/>
          <w:color w:val="auto"/>
        </w:rPr>
        <w:t>Our limited operating history makes evaluating our business and future prospects difficult and may increase the risk of stockholders’ investment.</w:t>
      </w:r>
    </w:p>
    <w:p>
      <w:pPr>
        <w:spacing w:after="0" w:line="164" w:lineRule="exact"/>
        <w:rPr>
          <w:sz w:val="20"/>
          <w:szCs w:val="20"/>
          <w:color w:val="auto"/>
        </w:rPr>
      </w:pPr>
    </w:p>
    <w:p>
      <w:pPr>
        <w:ind w:right="60" w:firstLine="346"/>
        <w:spacing w:after="0" w:line="265" w:lineRule="auto"/>
        <w:rPr>
          <w:sz w:val="20"/>
          <w:szCs w:val="20"/>
          <w:color w:val="auto"/>
        </w:rPr>
      </w:pPr>
      <w:r>
        <w:rPr>
          <w:rFonts w:ascii="Arial" w:cs="Arial" w:eastAsia="Arial" w:hAnsi="Arial"/>
          <w:sz w:val="19"/>
          <w:szCs w:val="19"/>
          <w:color w:val="auto"/>
        </w:rPr>
        <w:t>We are an early-stage company with a limited operating history, operating in a rapidly evolving and highly regulated market. Furthermore, we have only released two commercially available vehicles, and we have limited experience manufacturing or selling a commercial product at scale. We have yet to generate significant revenue from the sale of electric vehicles, and as a result of the capital-intensive nature of our business, we expect to continue to incur substantial operating losses for the foreseeable future.</w:t>
      </w:r>
    </w:p>
    <w:p>
      <w:pPr>
        <w:spacing w:after="0" w:line="188" w:lineRule="exact"/>
        <w:rPr>
          <w:sz w:val="20"/>
          <w:szCs w:val="20"/>
          <w:color w:val="auto"/>
        </w:rPr>
      </w:pPr>
    </w:p>
    <w:p>
      <w:pPr>
        <w:ind w:firstLine="346"/>
        <w:spacing w:after="0" w:line="289" w:lineRule="auto"/>
        <w:rPr>
          <w:sz w:val="20"/>
          <w:szCs w:val="20"/>
          <w:color w:val="auto"/>
        </w:rPr>
      </w:pPr>
      <w:r>
        <w:rPr>
          <w:rFonts w:ascii="Arial" w:cs="Arial" w:eastAsia="Arial" w:hAnsi="Arial"/>
          <w:sz w:val="19"/>
          <w:szCs w:val="19"/>
          <w:color w:val="auto"/>
        </w:rPr>
        <w:t>We have encountered and expect to continue to encounter risks and uncertainties frequently experienced by early-stage companies in rapidly changing markets, including risks relating to our ability to, among other things:</w:t>
      </w:r>
    </w:p>
    <w:p>
      <w:pPr>
        <w:spacing w:after="0" w:line="50" w:lineRule="exact"/>
        <w:rPr>
          <w:sz w:val="20"/>
          <w:szCs w:val="20"/>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hire, integrate and retain professional and technical talent, including key members of management;</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continue to make significant investments in research, development, manufacturing, marketing and sales;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variants and models of electric vehicles, such as our Midsize platform;</w:t>
      </w:r>
    </w:p>
    <w:p>
      <w:pPr>
        <w:spacing w:after="0" w:line="138" w:lineRule="exact"/>
        <w:rPr>
          <w:rFonts w:ascii="Arial" w:cs="Arial" w:eastAsia="Arial" w:hAnsi="Arial"/>
          <w:sz w:val="18"/>
          <w:szCs w:val="18"/>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build a well-recognized and respected brand;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establish, implement, refine and scale our commercial manufacturing capabilities and distribution infrastructure;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establish and maintain satisfactory arrangements with third-party suppliers;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establish and expand a customer base;</w:t>
      </w:r>
    </w:p>
    <w:p>
      <w:pPr>
        <w:spacing w:after="0" w:line="127" w:lineRule="exact"/>
        <w:rPr>
          <w:rFonts w:ascii="Arial" w:cs="Arial" w:eastAsia="Arial" w:hAnsi="Arial"/>
          <w:sz w:val="19"/>
          <w:szCs w:val="19"/>
          <w:color w:val="auto"/>
        </w:rPr>
      </w:pPr>
    </w:p>
    <w:p>
      <w:pPr>
        <w:ind w:left="700" w:right="540" w:hanging="347"/>
        <w:spacing w:after="0" w:line="289" w:lineRule="auto"/>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anticipate and adapt to changing market conditions, including consumer demand for certain vehicle types, models or trim levels, technological developments and changes in competitive landscape;</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navigate an evolving and complex regulatory environment;</w:t>
      </w:r>
    </w:p>
    <w:p>
      <w:pPr>
        <w:spacing w:after="0" w:line="127" w:lineRule="exact"/>
        <w:rPr>
          <w:rFonts w:ascii="Arial" w:cs="Arial" w:eastAsia="Arial" w:hAnsi="Arial"/>
          <w:sz w:val="19"/>
          <w:szCs w:val="19"/>
          <w:color w:val="auto"/>
        </w:rPr>
      </w:pPr>
    </w:p>
    <w:p>
      <w:pPr>
        <w:ind w:left="700" w:right="200" w:hanging="347"/>
        <w:spacing w:after="0" w:line="289" w:lineRule="auto"/>
        <w:tabs>
          <w:tab w:leader="none" w:pos="7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successfully obtain, maintain, protect, defend and enforce our intellectual property and defend against claims of intellectual property infringement, misappropriation or other violation.</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9"/>
          <w:szCs w:val="19"/>
          <w:b w:val="1"/>
          <w:bCs w:val="1"/>
          <w:i w:val="1"/>
          <w:iCs w:val="1"/>
          <w:color w:val="auto"/>
        </w:rPr>
        <w:t>We have incurred net losses each year since our inception and expect to incur increasing expenses and substantial losses for the foreseeable future.</w:t>
      </w:r>
    </w:p>
    <w:p>
      <w:pPr>
        <w:spacing w:after="0" w:line="164" w:lineRule="exact"/>
        <w:rPr>
          <w:sz w:val="20"/>
          <w:szCs w:val="20"/>
          <w:color w:val="auto"/>
        </w:rPr>
      </w:pPr>
    </w:p>
    <w:p>
      <w:pPr>
        <w:ind w:right="60" w:firstLine="346"/>
        <w:spacing w:after="0" w:line="271" w:lineRule="auto"/>
        <w:rPr>
          <w:sz w:val="20"/>
          <w:szCs w:val="20"/>
          <w:color w:val="auto"/>
        </w:rPr>
      </w:pPr>
      <w:r>
        <w:rPr>
          <w:rFonts w:ascii="Arial" w:cs="Arial" w:eastAsia="Arial" w:hAnsi="Arial"/>
          <w:sz w:val="19"/>
          <w:szCs w:val="19"/>
          <w:color w:val="auto"/>
        </w:rPr>
        <w:t>We have incurred net losses each year since our inception, including net loss of $2.7 billion for the year ended December 31, 2024. As of December 31, 2024, our accumulated deficit was $12.9 billion. We expect to continue to incur substantial losses and increasing expenses in the foreseeable future as we:</w:t>
      </w:r>
    </w:p>
    <w:p>
      <w:pPr>
        <w:spacing w:after="0" w:line="67" w:lineRule="exact"/>
        <w:rPr>
          <w:sz w:val="20"/>
          <w:szCs w:val="20"/>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continue to design, develop and manufacture our vehicles;</w:t>
      </w:r>
    </w:p>
    <w:p>
      <w:pPr>
        <w:spacing w:after="0" w:line="127" w:lineRule="exact"/>
        <w:rPr>
          <w:rFonts w:ascii="Arial" w:cs="Arial" w:eastAsia="Arial" w:hAnsi="Arial"/>
          <w:sz w:val="19"/>
          <w:szCs w:val="19"/>
          <w:color w:val="auto"/>
        </w:rPr>
      </w:pPr>
    </w:p>
    <w:p>
      <w:pPr>
        <w:ind w:left="700" w:right="360" w:hanging="347"/>
        <w:spacing w:after="0" w:line="289" w:lineRule="auto"/>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equip and expand our research, service, battery, powertrain, and manufacturing facilities to produce our vehicles in Arizona and in international locations such as Saudi Arabia;</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build up inventories of parts and components for our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manufacture and store an available inventory of our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develop and deploy geographically dispersed vehicle charging partnerships;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expand our design, research, development, maintenance and repair capabilities and facilities;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increase our sales, service and marketing activities and develop our distribution infrastructure; 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expand our general and administrative functions to support our growing operations and status as a public company.</w:t>
      </w:r>
    </w:p>
    <w:p>
      <w:pPr>
        <w:spacing w:after="0" w:line="243" w:lineRule="exact"/>
        <w:rPr>
          <w:sz w:val="20"/>
          <w:szCs w:val="20"/>
          <w:color w:val="auto"/>
        </w:rPr>
      </w:pPr>
    </w:p>
    <w:p>
      <w:pPr>
        <w:ind w:right="80" w:firstLine="346"/>
        <w:spacing w:after="0" w:line="271" w:lineRule="auto"/>
        <w:rPr>
          <w:sz w:val="20"/>
          <w:szCs w:val="20"/>
          <w:color w:val="auto"/>
        </w:rPr>
      </w:pPr>
      <w:r>
        <w:rPr>
          <w:rFonts w:ascii="Arial" w:cs="Arial" w:eastAsia="Arial" w:hAnsi="Arial"/>
          <w:sz w:val="19"/>
          <w:szCs w:val="19"/>
          <w:color w:val="auto"/>
        </w:rPr>
        <w:t>If our product development or commercialization of future vehicles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1080"/>
          </w:cols>
          <w:pgMar w:left="400" w:top="756" w:right="400" w:bottom="0" w:gutter="0" w:footer="0" w:header="0"/>
          <w:type w:val="continuous"/>
        </w:sectPr>
      </w:pPr>
    </w:p>
    <w:bookmarkStart w:id="146" w:name="page147"/>
    <w:bookmarkEnd w:id="146"/>
    <w:p>
      <w:pPr>
        <w:spacing w:after="0"/>
        <w:rPr>
          <w:sz w:val="20"/>
          <w:szCs w:val="20"/>
          <w:color w:val="auto"/>
        </w:rPr>
      </w:pPr>
      <w:r>
        <w:rPr>
          <w:rFonts w:ascii="Arial" w:cs="Arial" w:eastAsia="Arial" w:hAnsi="Arial"/>
          <w:sz w:val="19"/>
          <w:szCs w:val="19"/>
          <w:b w:val="1"/>
          <w:bCs w:val="1"/>
          <w:i w:val="1"/>
          <w:iCs w:val="1"/>
          <w:color w:val="auto"/>
        </w:rPr>
        <w:t>We may be unable to adequately control the substantial costs associated with our operations.</w:t>
      </w:r>
    </w:p>
    <w:p>
      <w:pPr>
        <w:spacing w:after="0" w:line="250" w:lineRule="exact"/>
        <w:rPr>
          <w:sz w:val="20"/>
          <w:szCs w:val="20"/>
          <w:color w:val="auto"/>
        </w:rPr>
      </w:pPr>
    </w:p>
    <w:p>
      <w:pPr>
        <w:ind w:right="40" w:firstLine="346"/>
        <w:spacing w:after="0" w:line="287" w:lineRule="auto"/>
        <w:rPr>
          <w:sz w:val="20"/>
          <w:szCs w:val="20"/>
          <w:color w:val="auto"/>
        </w:rPr>
      </w:pPr>
      <w:r>
        <w:rPr>
          <w:rFonts w:ascii="Arial" w:cs="Arial" w:eastAsia="Arial" w:hAnsi="Arial"/>
          <w:sz w:val="17"/>
          <w:szCs w:val="17"/>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82" w:lineRule="exact"/>
        <w:rPr>
          <w:sz w:val="20"/>
          <w:szCs w:val="20"/>
          <w:color w:val="auto"/>
        </w:rPr>
      </w:pPr>
    </w:p>
    <w:p>
      <w:pPr>
        <w:ind w:right="100" w:firstLine="346"/>
        <w:spacing w:after="0" w:line="265" w:lineRule="auto"/>
        <w:rPr>
          <w:sz w:val="20"/>
          <w:szCs w:val="20"/>
          <w:color w:val="auto"/>
        </w:rPr>
      </w:pPr>
      <w:r>
        <w:rPr>
          <w:rFonts w:ascii="Arial" w:cs="Arial" w:eastAsia="Arial" w:hAnsi="Arial"/>
          <w:sz w:val="19"/>
          <w:szCs w:val="19"/>
          <w:color w:val="auto"/>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80" w:lineRule="exact"/>
        <w:rPr>
          <w:sz w:val="20"/>
          <w:szCs w:val="20"/>
          <w:color w:val="auto"/>
        </w:rPr>
      </w:pPr>
    </w:p>
    <w:p>
      <w:pPr>
        <w:ind w:right="460"/>
        <w:spacing w:after="0" w:line="294" w:lineRule="auto"/>
        <w:rPr>
          <w:sz w:val="20"/>
          <w:szCs w:val="20"/>
          <w:color w:val="auto"/>
        </w:rPr>
      </w:pPr>
      <w:r>
        <w:rPr>
          <w:rFonts w:ascii="Arial" w:cs="Arial" w:eastAsia="Arial" w:hAnsi="Arial"/>
          <w:sz w:val="19"/>
          <w:szCs w:val="19"/>
          <w:b w:val="1"/>
          <w:bCs w:val="1"/>
          <w:i w:val="1"/>
          <w:iCs w:val="1"/>
          <w:color w:val="auto"/>
        </w:rPr>
        <w:t>Failure to attract customers, failure to complete the purchase process with customers, and customer cancellation of orders may have a material adverse impact on our business, prospects, results of operations and financial condition.</w:t>
      </w:r>
    </w:p>
    <w:p>
      <w:pPr>
        <w:spacing w:after="0" w:line="164" w:lineRule="exact"/>
        <w:rPr>
          <w:sz w:val="20"/>
          <w:szCs w:val="20"/>
          <w:color w:val="auto"/>
        </w:rPr>
      </w:pPr>
    </w:p>
    <w:p>
      <w:pPr>
        <w:ind w:right="100" w:firstLine="346"/>
        <w:spacing w:after="0" w:line="292" w:lineRule="auto"/>
        <w:rPr>
          <w:sz w:val="20"/>
          <w:szCs w:val="20"/>
          <w:color w:val="auto"/>
        </w:rPr>
      </w:pPr>
      <w:r>
        <w:rPr>
          <w:rFonts w:ascii="Arial" w:cs="Arial" w:eastAsia="Arial" w:hAnsi="Arial"/>
          <w:sz w:val="17"/>
          <w:szCs w:val="17"/>
          <w:color w:val="auto"/>
        </w:rPr>
        <w:t>Delays in customer deliveries, delays in the availability of options, 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w:t>
      </w:r>
    </w:p>
    <w:p>
      <w:pPr>
        <w:spacing w:after="0" w:line="164" w:lineRule="exact"/>
        <w:rPr>
          <w:sz w:val="20"/>
          <w:szCs w:val="20"/>
          <w:color w:val="auto"/>
        </w:rPr>
      </w:pPr>
    </w:p>
    <w:p>
      <w:pPr>
        <w:ind w:right="260"/>
        <w:spacing w:after="0" w:line="324" w:lineRule="auto"/>
        <w:rPr>
          <w:sz w:val="20"/>
          <w:szCs w:val="20"/>
          <w:color w:val="auto"/>
        </w:rPr>
      </w:pPr>
      <w:r>
        <w:rPr>
          <w:rFonts w:ascii="Arial" w:cs="Arial" w:eastAsia="Arial" w:hAnsi="Arial"/>
          <w:sz w:val="18"/>
          <w:szCs w:val="18"/>
          <w:b w:val="1"/>
          <w:bCs w:val="1"/>
          <w:i w:val="1"/>
          <w:iCs w:val="1"/>
          <w:color w:val="auto"/>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141" w:lineRule="exact"/>
        <w:rPr>
          <w:sz w:val="20"/>
          <w:szCs w:val="20"/>
          <w:color w:val="auto"/>
        </w:rPr>
      </w:pPr>
    </w:p>
    <w:p>
      <w:pPr>
        <w:ind w:right="60" w:firstLine="346"/>
        <w:spacing w:after="0" w:line="289" w:lineRule="auto"/>
        <w:rPr>
          <w:sz w:val="20"/>
          <w:szCs w:val="20"/>
          <w:color w:val="auto"/>
        </w:rPr>
      </w:pPr>
      <w:r>
        <w:rPr>
          <w:rFonts w:ascii="Arial" w:cs="Arial" w:eastAsia="Arial" w:hAnsi="Arial"/>
          <w:sz w:val="17"/>
          <w:szCs w:val="17"/>
          <w:color w:val="auto"/>
        </w:rPr>
        <w:t>A global economic recession or other downturn, whether due to inflation,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Due to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w:t>
      </w:r>
    </w:p>
    <w:p>
      <w:pPr>
        <w:spacing w:after="0" w:line="172" w:lineRule="exact"/>
        <w:rPr>
          <w:sz w:val="20"/>
          <w:szCs w:val="20"/>
          <w:color w:val="auto"/>
        </w:rPr>
      </w:pPr>
    </w:p>
    <w:p>
      <w:pPr>
        <w:ind w:firstLine="346"/>
        <w:spacing w:after="0" w:line="259" w:lineRule="auto"/>
        <w:rPr>
          <w:sz w:val="20"/>
          <w:szCs w:val="20"/>
          <w:color w:val="auto"/>
        </w:rPr>
      </w:pPr>
      <w:r>
        <w:rPr>
          <w:rFonts w:ascii="Arial" w:cs="Arial" w:eastAsia="Arial" w:hAnsi="Arial"/>
          <w:sz w:val="19"/>
          <w:szCs w:val="19"/>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Arial" w:cs="Arial" w:eastAsia="Arial" w:hAnsi="Arial"/>
          <w:sz w:val="19"/>
          <w:szCs w:val="19"/>
          <w:b w:val="1"/>
          <w:bCs w:val="1"/>
          <w:i w:val="1"/>
          <w:iCs w:val="1"/>
          <w:color w:val="auto"/>
        </w:rPr>
        <w:t>We will require additional capital to support business growth, and this capital might not be available on commercially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reasonable terms, or at all</w:t>
      </w:r>
      <w:r>
        <w:rPr>
          <w:rFonts w:ascii="Arial" w:cs="Arial" w:eastAsia="Arial" w:hAnsi="Arial"/>
          <w:sz w:val="19"/>
          <w:szCs w:val="19"/>
          <w:color w:val="auto"/>
        </w:rPr>
        <w:t>.”</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1080"/>
          </w:cols>
          <w:pgMar w:left="400" w:top="755" w:right="400" w:bottom="0" w:gutter="0" w:footer="0" w:header="0"/>
          <w:type w:val="continuous"/>
        </w:sectPr>
      </w:pPr>
    </w:p>
    <w:bookmarkStart w:id="147" w:name="page148"/>
    <w:bookmarkEnd w:id="147"/>
    <w:p>
      <w:pPr>
        <w:ind w:right="680"/>
        <w:spacing w:after="0" w:line="294" w:lineRule="auto"/>
        <w:rPr>
          <w:sz w:val="20"/>
          <w:szCs w:val="20"/>
          <w:color w:val="auto"/>
        </w:rPr>
      </w:pPr>
      <w:r>
        <w:rPr>
          <w:rFonts w:ascii="Arial" w:cs="Arial" w:eastAsia="Arial" w:hAnsi="Arial"/>
          <w:sz w:val="19"/>
          <w:szCs w:val="19"/>
          <w:b w:val="1"/>
          <w:bCs w:val="1"/>
          <w:i w:val="1"/>
          <w:iCs w:val="1"/>
          <w:color w:val="auto"/>
        </w:rPr>
        <w:t>We currently depend primarily on revenue generated from a limited number of models and anticipate continuing to be significantly dependent on a limited number of models in the foreseeable future.</w:t>
      </w:r>
    </w:p>
    <w:p>
      <w:pPr>
        <w:spacing w:after="0" w:line="164" w:lineRule="exact"/>
        <w:rPr>
          <w:sz w:val="20"/>
          <w:szCs w:val="20"/>
          <w:color w:val="auto"/>
        </w:rPr>
      </w:pPr>
    </w:p>
    <w:p>
      <w:pPr>
        <w:ind w:firstLine="346"/>
        <w:spacing w:after="0" w:line="275" w:lineRule="auto"/>
        <w:rPr>
          <w:sz w:val="20"/>
          <w:szCs w:val="20"/>
          <w:color w:val="auto"/>
        </w:rPr>
      </w:pPr>
      <w:r>
        <w:rPr>
          <w:rFonts w:ascii="Arial" w:cs="Arial" w:eastAsia="Arial" w:hAnsi="Arial"/>
          <w:sz w:val="18"/>
          <w:szCs w:val="18"/>
          <w:color w:val="auto"/>
        </w:rPr>
        <w:t>We currently depend primarily on revenue generated from the Lucid Air, and in the foreseeable future will be significantly dependent on a limited number of models. Although we have started production of the Lucid Gravity and have other vehicle models on our product roadmap,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6"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b w:val="1"/>
          <w:bCs w:val="1"/>
          <w:i w:val="1"/>
          <w:iCs w:val="1"/>
          <w:color w:val="auto"/>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spacing w:after="0" w:line="184" w:lineRule="exact"/>
        <w:rPr>
          <w:sz w:val="20"/>
          <w:szCs w:val="20"/>
          <w:color w:val="auto"/>
        </w:rPr>
      </w:pPr>
    </w:p>
    <w:p>
      <w:pPr>
        <w:ind w:firstLine="346"/>
        <w:spacing w:after="0" w:line="273" w:lineRule="auto"/>
        <w:rPr>
          <w:sz w:val="20"/>
          <w:szCs w:val="20"/>
          <w:color w:val="auto"/>
        </w:rPr>
      </w:pPr>
      <w:r>
        <w:rPr>
          <w:rFonts w:ascii="Arial" w:cs="Arial" w:eastAsia="Arial" w:hAnsi="Arial"/>
          <w:sz w:val="18"/>
          <w:szCs w:val="18"/>
          <w:color w:val="auto"/>
        </w:rPr>
        <w:t>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Item 1 “Business” and Note 16 “Related Party Transactions” to the consolidated financial statements included elsewhere in this Annual Report for more information.</w:t>
      </w:r>
    </w:p>
    <w:p>
      <w:pPr>
        <w:spacing w:after="0" w:line="186" w:lineRule="exact"/>
        <w:rPr>
          <w:sz w:val="20"/>
          <w:szCs w:val="20"/>
          <w:color w:val="auto"/>
        </w:rPr>
      </w:pPr>
    </w:p>
    <w:p>
      <w:pPr>
        <w:ind w:right="100" w:firstLine="346"/>
        <w:spacing w:after="0" w:line="259" w:lineRule="auto"/>
        <w:rPr>
          <w:sz w:val="20"/>
          <w:szCs w:val="20"/>
          <w:color w:val="auto"/>
        </w:rPr>
      </w:pPr>
      <w:r>
        <w:rPr>
          <w:rFonts w:ascii="Arial" w:cs="Arial" w:eastAsia="Arial" w:hAnsi="Arial"/>
          <w:sz w:val="19"/>
          <w:szCs w:val="19"/>
          <w:color w:val="auto"/>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business and prospects depend significantly on our brand.</w:t>
      </w:r>
    </w:p>
    <w:p>
      <w:pPr>
        <w:spacing w:after="0" w:line="250" w:lineRule="exact"/>
        <w:rPr>
          <w:sz w:val="20"/>
          <w:szCs w:val="20"/>
          <w:color w:val="auto"/>
        </w:rPr>
      </w:pPr>
    </w:p>
    <w:p>
      <w:pPr>
        <w:ind w:right="20" w:firstLine="346"/>
        <w:spacing w:after="0" w:line="294" w:lineRule="auto"/>
        <w:rPr>
          <w:sz w:val="20"/>
          <w:szCs w:val="20"/>
          <w:color w:val="auto"/>
        </w:rPr>
      </w:pPr>
      <w:r>
        <w:rPr>
          <w:rFonts w:ascii="Arial" w:cs="Arial" w:eastAsia="Arial" w:hAnsi="Arial"/>
          <w:sz w:val="17"/>
          <w:szCs w:val="17"/>
          <w:color w:val="auto"/>
        </w:rPr>
        <w:t>Our business and prospects will heavily depend on our ability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68" w:lineRule="exact"/>
        <w:rPr>
          <w:sz w:val="20"/>
          <w:szCs w:val="20"/>
          <w:color w:val="auto"/>
        </w:rPr>
      </w:pPr>
    </w:p>
    <w:p>
      <w:pPr>
        <w:ind w:right="20" w:firstLine="346"/>
        <w:spacing w:after="0" w:line="273" w:lineRule="auto"/>
        <w:rPr>
          <w:sz w:val="20"/>
          <w:szCs w:val="20"/>
          <w:color w:val="auto"/>
        </w:rPr>
      </w:pPr>
      <w:r>
        <w:rPr>
          <w:rFonts w:ascii="Arial" w:cs="Arial" w:eastAsia="Arial" w:hAnsi="Arial"/>
          <w:sz w:val="18"/>
          <w:szCs w:val="18"/>
          <w:color w:val="auto"/>
        </w:rPr>
        <w:t>In particular, any negative publicity, whether or not factual, can quickly proliferate on social media and harm consumer perception and confidence in our brand. The growing use of social media increases the speed with which information and opinions can be shared and, thus, accelerate the impact on a company’s reputation. If we fail to correct or mitigate misinformation or negative information, including information proliferated through social media or traditional media channels, about us, the products we offer, our customer experience, or any aspect of our brand, our business, sales and results of operations could adversely impact us.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1060"/>
          </w:cols>
          <w:pgMar w:left="400" w:top="755" w:right="420" w:bottom="0" w:gutter="0" w:footer="0" w:header="0"/>
          <w:type w:val="continuous"/>
        </w:sectPr>
      </w:pPr>
    </w:p>
    <w:bookmarkStart w:id="148" w:name="page149"/>
    <w:bookmarkEnd w:id="148"/>
    <w:p>
      <w:pPr>
        <w:spacing w:after="0" w:line="294" w:lineRule="auto"/>
        <w:rPr>
          <w:sz w:val="20"/>
          <w:szCs w:val="20"/>
          <w:color w:val="auto"/>
        </w:rPr>
      </w:pPr>
      <w:r>
        <w:rPr>
          <w:rFonts w:ascii="Arial" w:cs="Arial" w:eastAsia="Arial" w:hAnsi="Arial"/>
          <w:sz w:val="19"/>
          <w:szCs w:val="19"/>
          <w:b w:val="1"/>
          <w:bCs w:val="1"/>
          <w:i w:val="1"/>
          <w:iCs w:val="1"/>
          <w:color w:val="auto"/>
        </w:rPr>
        <w:t>Our sales will depend in part on our ability to establish and maintain confidence in our long-term business prospects among consumers, the investment community and others within our industry.</w:t>
      </w:r>
    </w:p>
    <w:p>
      <w:pPr>
        <w:spacing w:after="0" w:line="164" w:lineRule="exact"/>
        <w:rPr>
          <w:sz w:val="20"/>
          <w:szCs w:val="20"/>
          <w:color w:val="auto"/>
        </w:rPr>
      </w:pPr>
    </w:p>
    <w:p>
      <w:pPr>
        <w:ind w:right="80" w:firstLine="346"/>
        <w:spacing w:after="0" w:line="280" w:lineRule="auto"/>
        <w:rPr>
          <w:sz w:val="20"/>
          <w:szCs w:val="20"/>
          <w:color w:val="auto"/>
        </w:rPr>
      </w:pPr>
      <w:r>
        <w:rPr>
          <w:rFonts w:ascii="Arial" w:cs="Arial" w:eastAsia="Arial" w:hAnsi="Arial"/>
          <w:sz w:val="18"/>
          <w:szCs w:val="18"/>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spacing w:after="0" w:line="176" w:lineRule="exact"/>
        <w:rPr>
          <w:sz w:val="20"/>
          <w:szCs w:val="20"/>
          <w:color w:val="auto"/>
        </w:rPr>
      </w:pPr>
    </w:p>
    <w:p>
      <w:pPr>
        <w:ind w:firstLine="346"/>
        <w:spacing w:after="0" w:line="272" w:lineRule="auto"/>
        <w:rPr>
          <w:sz w:val="20"/>
          <w:szCs w:val="20"/>
          <w:color w:val="auto"/>
        </w:rPr>
      </w:pPr>
      <w:r>
        <w:rPr>
          <w:rFonts w:ascii="Arial" w:cs="Arial" w:eastAsia="Arial" w:hAnsi="Arial"/>
          <w:sz w:val="18"/>
          <w:szCs w:val="18"/>
          <w:color w:val="auto"/>
        </w:rPr>
        <w:t>Maintaining such confidence may be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Certain of these new entrants or other traditional automotive manufacturers now producing electric vehicles have become insolvent, and if additional manufacturers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do not have a third-party retail product distribution and full-service network.</w:t>
      </w:r>
    </w:p>
    <w:p>
      <w:pPr>
        <w:spacing w:after="0" w:line="250" w:lineRule="exact"/>
        <w:rPr>
          <w:sz w:val="20"/>
          <w:szCs w:val="20"/>
          <w:color w:val="auto"/>
        </w:rPr>
      </w:pPr>
    </w:p>
    <w:p>
      <w:pPr>
        <w:ind w:firstLine="346"/>
        <w:spacing w:after="0" w:line="272" w:lineRule="auto"/>
        <w:rPr>
          <w:sz w:val="20"/>
          <w:szCs w:val="20"/>
          <w:color w:val="auto"/>
        </w:rPr>
      </w:pPr>
      <w:r>
        <w:rPr>
          <w:rFonts w:ascii="Arial" w:cs="Arial" w:eastAsia="Arial" w:hAnsi="Arial"/>
          <w:sz w:val="18"/>
          <w:szCs w:val="18"/>
          <w:color w:val="auto"/>
        </w:rPr>
        <w:t>Third-party dealer networks are the traditional method of vehicle sales distribution and service.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generate meaningful product revenue will depend on consumer adoption of electric vehicles.</w:t>
      </w:r>
    </w:p>
    <w:p>
      <w:pPr>
        <w:spacing w:after="0" w:line="250" w:lineRule="exact"/>
        <w:rPr>
          <w:sz w:val="20"/>
          <w:szCs w:val="20"/>
          <w:color w:val="auto"/>
        </w:rPr>
      </w:pPr>
    </w:p>
    <w:p>
      <w:pPr>
        <w:ind w:right="220" w:firstLine="346"/>
        <w:spacing w:after="0" w:line="274" w:lineRule="auto"/>
        <w:rPr>
          <w:sz w:val="20"/>
          <w:szCs w:val="20"/>
          <w:color w:val="auto"/>
        </w:rPr>
      </w:pPr>
      <w:r>
        <w:rPr>
          <w:rFonts w:ascii="Arial" w:cs="Arial" w:eastAsia="Arial" w:hAnsi="Arial"/>
          <w:sz w:val="18"/>
          <w:szCs w:val="18"/>
          <w:color w:val="auto"/>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these factors may harm our business, prospects, financial condition and results of operations.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84" w:lineRule="exact"/>
        <w:rPr>
          <w:sz w:val="20"/>
          <w:szCs w:val="20"/>
          <w:color w:val="auto"/>
        </w:rPr>
      </w:pPr>
    </w:p>
    <w:p>
      <w:pPr>
        <w:ind w:right="60" w:firstLine="346"/>
        <w:spacing w:after="0" w:line="294"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including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Other factors that may influence the adoption of electric vehicles include:</w:t>
      </w:r>
    </w:p>
    <w:p>
      <w:pPr>
        <w:spacing w:after="0" w:line="127" w:lineRule="exact"/>
        <w:rPr>
          <w:sz w:val="20"/>
          <w:szCs w:val="20"/>
          <w:color w:val="auto"/>
        </w:rPr>
      </w:pPr>
    </w:p>
    <w:p>
      <w:pPr>
        <w:ind w:left="700" w:hanging="347"/>
        <w:spacing w:after="0"/>
        <w:tabs>
          <w:tab w:leader="none" w:pos="7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perceptions about electric vehicle quality, safety, design, performance and cost;</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perceptions about the limited range over which electric vehicles may be driven on a single battery charge;</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1060"/>
          </w:cols>
          <w:pgMar w:left="400" w:top="755" w:right="420" w:bottom="0" w:gutter="0" w:footer="0" w:header="0"/>
          <w:type w:val="continuous"/>
        </w:sectPr>
      </w:pPr>
    </w:p>
    <w:bookmarkStart w:id="149" w:name="page150"/>
    <w:bookmarkEnd w:id="149"/>
    <w:p>
      <w:pPr>
        <w:jc w:val="both"/>
        <w:ind w:left="700" w:right="160" w:hanging="347"/>
        <w:spacing w:after="0" w:line="271" w:lineRule="auto"/>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66"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concerns about electric grid capacity and reliability;</w:t>
      </w:r>
    </w:p>
    <w:p>
      <w:pPr>
        <w:spacing w:after="0" w:line="127" w:lineRule="exact"/>
        <w:rPr>
          <w:rFonts w:ascii="Arial" w:cs="Arial" w:eastAsia="Arial" w:hAnsi="Arial"/>
          <w:sz w:val="19"/>
          <w:szCs w:val="19"/>
          <w:color w:val="auto"/>
        </w:rPr>
      </w:pPr>
    </w:p>
    <w:p>
      <w:pPr>
        <w:ind w:left="700" w:right="380" w:hanging="347"/>
        <w:spacing w:after="0" w:line="318" w:lineRule="auto"/>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27" w:lineRule="exact"/>
        <w:rPr>
          <w:rFonts w:ascii="Arial" w:cs="Arial" w:eastAsia="Arial" w:hAnsi="Arial"/>
          <w:sz w:val="18"/>
          <w:szCs w:val="18"/>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availability of other alternative fuel vehicles, including plug-in hybrid electric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improvements in the fuel economy of the internal combustion engine;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quality and availability of service for electric vehicles, especially in international markets;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volatility in the cost of oil and gasoline;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government regulations and economic incentives promoting fuel efficiency and alternate forms of energy;</w:t>
      </w:r>
    </w:p>
    <w:p>
      <w:pPr>
        <w:spacing w:after="0" w:line="127" w:lineRule="exact"/>
        <w:rPr>
          <w:rFonts w:ascii="Arial" w:cs="Arial" w:eastAsia="Arial" w:hAnsi="Arial"/>
          <w:sz w:val="19"/>
          <w:szCs w:val="19"/>
          <w:color w:val="auto"/>
        </w:rPr>
      </w:pPr>
    </w:p>
    <w:p>
      <w:pPr>
        <w:ind w:left="700" w:right="40" w:hanging="347"/>
        <w:spacing w:after="0" w:line="289" w:lineRule="auto"/>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access to charging stations compatible with our vehicles and cost to charge an electric vehicle, especially in international markets, and related infrastructure costs and standardization;</w:t>
      </w:r>
    </w:p>
    <w:p>
      <w:pPr>
        <w:spacing w:after="0" w:line="50" w:lineRule="exact"/>
        <w:rPr>
          <w:rFonts w:ascii="Arial" w:cs="Arial" w:eastAsia="Arial" w:hAnsi="Arial"/>
          <w:sz w:val="19"/>
          <w:szCs w:val="19"/>
          <w:color w:val="auto"/>
        </w:rPr>
      </w:pPr>
    </w:p>
    <w:p>
      <w:pPr>
        <w:ind w:left="700" w:right="560" w:hanging="347"/>
        <w:spacing w:after="0" w:line="289" w:lineRule="auto"/>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availability of tax and other governmental incentives to purchase and operate electric vehicles or future regulation requiring increased use of nonpolluting vehicles; and</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macroeconomic factors.</w:t>
      </w:r>
    </w:p>
    <w:p>
      <w:pPr>
        <w:spacing w:after="0" w:line="243" w:lineRule="exact"/>
        <w:rPr>
          <w:sz w:val="20"/>
          <w:szCs w:val="20"/>
          <w:color w:val="auto"/>
        </w:rPr>
      </w:pPr>
    </w:p>
    <w:p>
      <w:pPr>
        <w:ind w:firstLine="346"/>
        <w:spacing w:after="0" w:line="271" w:lineRule="auto"/>
        <w:rPr>
          <w:sz w:val="20"/>
          <w:szCs w:val="20"/>
          <w:color w:val="auto"/>
        </w:rPr>
      </w:pPr>
      <w:r>
        <w:rPr>
          <w:rFonts w:ascii="Arial" w:cs="Arial" w:eastAsia="Arial" w:hAnsi="Arial"/>
          <w:sz w:val="19"/>
          <w:szCs w:val="19"/>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challenges providing charging solutions for our vehicles, both domestically and internationally.</w:t>
      </w:r>
    </w:p>
    <w:p>
      <w:pPr>
        <w:spacing w:after="0" w:line="250" w:lineRule="exact"/>
        <w:rPr>
          <w:sz w:val="20"/>
          <w:szCs w:val="20"/>
          <w:color w:val="auto"/>
        </w:rPr>
      </w:pPr>
    </w:p>
    <w:p>
      <w:pPr>
        <w:ind w:firstLine="346"/>
        <w:spacing w:after="0" w:line="271" w:lineRule="auto"/>
        <w:rPr>
          <w:sz w:val="20"/>
          <w:szCs w:val="20"/>
          <w:color w:val="auto"/>
        </w:rPr>
      </w:pPr>
      <w:r>
        <w:rPr>
          <w:rFonts w:ascii="Arial" w:cs="Arial" w:eastAsia="Arial" w:hAnsi="Arial"/>
          <w:sz w:val="18"/>
          <w:szCs w:val="18"/>
          <w:color w:val="auto"/>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electric vehicle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agreed to join Tesla’s Supercharger network, there may be delays in making changes to our vehicles or the network necessary for Lucid vehicles to charge at Tesla Superchargers, and there is no guarantee that our customers will not experience performance, access or other issues with this or other charging networks. In addition, although the prior U.S. presidential administration proposed a plan to deploy 500,000 additional public charging stations across the United States by 2030, the current administration has issued an executive order to pause the disbursement of funds appropriated through the Inflation Reduction Act of 2022 or the Infrastructure Investment and Jobs Act, including funds designated for electric vehicle charging stations through the National Electric Vehicle Infrastructure Formula Program and the Charging and Fueling Infrastructure Discretionary Grant Program. Consequently, the deployment of public charging stations may not occur at planned levels, which could limit the development of public charging infrastructure and increase the relative attractiveness to potential customers of a proprietary charging solution.</w:t>
      </w:r>
    </w:p>
    <w:p>
      <w:pPr>
        <w:spacing w:after="0" w:line="175" w:lineRule="exact"/>
        <w:rPr>
          <w:sz w:val="20"/>
          <w:szCs w:val="20"/>
          <w:color w:val="auto"/>
        </w:rPr>
      </w:pPr>
    </w:p>
    <w:p>
      <w:pPr>
        <w:ind w:right="420"/>
        <w:spacing w:after="0" w:line="294" w:lineRule="auto"/>
        <w:rPr>
          <w:sz w:val="20"/>
          <w:szCs w:val="20"/>
          <w:color w:val="auto"/>
        </w:rPr>
      </w:pPr>
      <w:r>
        <w:rPr>
          <w:rFonts w:ascii="Arial" w:cs="Arial" w:eastAsia="Arial" w:hAnsi="Arial"/>
          <w:sz w:val="19"/>
          <w:szCs w:val="19"/>
          <w:b w:val="1"/>
          <w:bCs w:val="1"/>
          <w:i w:val="1"/>
          <w:iCs w:val="1"/>
          <w:color w:val="auto"/>
        </w:rPr>
        <w:t>If we fail to manage our future growth effectively, we may not be able to develop, manufacture, distribute, market and sell our vehicles successfully.</w:t>
      </w:r>
    </w:p>
    <w:p>
      <w:pPr>
        <w:spacing w:after="0" w:line="164" w:lineRule="exact"/>
        <w:rPr>
          <w:sz w:val="20"/>
          <w:szCs w:val="20"/>
          <w:color w:val="auto"/>
        </w:rPr>
      </w:pPr>
    </w:p>
    <w:p>
      <w:pPr>
        <w:ind w:right="500" w:firstLine="346"/>
        <w:spacing w:after="0" w:line="318"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are expanding our operations significantly and our current and future expansion plans include:</w:t>
      </w:r>
    </w:p>
    <w:p>
      <w:pPr>
        <w:spacing w:after="0" w:line="28" w:lineRule="exact"/>
        <w:rPr>
          <w:sz w:val="20"/>
          <w:szCs w:val="20"/>
          <w:color w:val="auto"/>
        </w:rPr>
      </w:pPr>
    </w:p>
    <w:p>
      <w:pPr>
        <w:ind w:left="700" w:hanging="347"/>
        <w:spacing w:after="0"/>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expanding our management team;</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hiring and training new personnel;</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ramping up the production of our current vehicles and releasing new models in the future;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establishing or expanding design, manufacturing, distribution, sales and service facilities;</w:t>
      </w:r>
    </w:p>
    <w:p>
      <w:pPr>
        <w:spacing w:after="0" w:line="127" w:lineRule="exact"/>
        <w:rPr>
          <w:rFonts w:ascii="Arial" w:cs="Arial" w:eastAsia="Arial" w:hAnsi="Arial"/>
          <w:sz w:val="19"/>
          <w:szCs w:val="19"/>
          <w:color w:val="auto"/>
        </w:rPr>
      </w:pPr>
    </w:p>
    <w:p>
      <w:pPr>
        <w:ind w:left="700" w:right="160" w:hanging="347"/>
        <w:spacing w:after="0" w:line="289" w:lineRule="auto"/>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implementing and enhancing administrative and business infrastructure, governance, systems and processes, including in connection with our maturation as a public company; and</w:t>
      </w:r>
    </w:p>
    <w:p>
      <w:pPr>
        <w:spacing w:after="0" w:line="50" w:lineRule="exact"/>
        <w:rPr>
          <w:rFonts w:ascii="Arial" w:cs="Arial" w:eastAsia="Arial" w:hAnsi="Arial"/>
          <w:sz w:val="19"/>
          <w:szCs w:val="19"/>
          <w:color w:val="auto"/>
        </w:rPr>
      </w:pPr>
    </w:p>
    <w:p>
      <w:pPr>
        <w:ind w:left="700" w:right="160" w:hanging="347"/>
        <w:spacing w:after="0" w:line="289" w:lineRule="auto"/>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expanding into new markets and establishing sales, service, administrative, distribution, and/or manufacturing operations in many of those markets.</w:t>
      </w:r>
    </w:p>
    <w:p>
      <w:pPr>
        <w:sectPr>
          <w:pgSz w:w="11880" w:h="15480" w:orient="portrait"/>
          <w:cols w:equalWidth="0" w:num="1">
            <w:col w:w="11040"/>
          </w:cols>
          <w:pgMar w:left="400" w:top="763" w:right="440" w:bottom="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1040"/>
          </w:cols>
          <w:pgMar w:left="400" w:top="763" w:right="440" w:bottom="0" w:gutter="0" w:footer="0" w:header="0"/>
          <w:type w:val="continuous"/>
        </w:sectPr>
      </w:pPr>
    </w:p>
    <w:bookmarkStart w:id="150" w:name="page151"/>
    <w:bookmarkEnd w:id="150"/>
    <w:p>
      <w:pPr>
        <w:jc w:val="both"/>
        <w:ind w:right="260" w:firstLine="346"/>
        <w:spacing w:after="0" w:line="283" w:lineRule="auto"/>
        <w:rPr>
          <w:sz w:val="20"/>
          <w:szCs w:val="20"/>
          <w:color w:val="auto"/>
        </w:rPr>
      </w:pPr>
      <w:r>
        <w:rPr>
          <w:rFonts w:ascii="Arial" w:cs="Arial" w:eastAsia="Arial" w:hAnsi="Arial"/>
          <w:sz w:val="17"/>
          <w:szCs w:val="17"/>
          <w:color w:val="auto"/>
        </w:rPr>
        <w:t>We require qualified personnel, including design and manufacturing personnel and service technicians for our vehicles.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w:t>
      </w:r>
    </w:p>
    <w:p>
      <w:pPr>
        <w:spacing w:after="0" w:line="288" w:lineRule="auto"/>
        <w:rPr>
          <w:sz w:val="20"/>
          <w:szCs w:val="20"/>
          <w:color w:val="auto"/>
        </w:rPr>
      </w:pPr>
      <w:r>
        <w:rPr>
          <w:rFonts w:ascii="Arial" w:cs="Arial" w:eastAsia="Arial" w:hAnsi="Arial"/>
          <w:sz w:val="17"/>
          <w:szCs w:val="17"/>
          <w:color w:val="auto"/>
        </w:rPr>
        <w:t>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we announced a restructuring plan in the second quarter of 2024, which involved the reduction of our employee workforce and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prospects. In addition, our employee equity program is a key factor in our ability to attract and retain talent and continue to support the growth of the company. If 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spacing w:after="0" w:line="174" w:lineRule="exact"/>
        <w:rPr>
          <w:sz w:val="20"/>
          <w:szCs w:val="20"/>
          <w:color w:val="auto"/>
        </w:rPr>
      </w:pPr>
    </w:p>
    <w:p>
      <w:pPr>
        <w:ind w:right="40" w:firstLine="346"/>
        <w:spacing w:after="0" w:line="271" w:lineRule="auto"/>
        <w:rPr>
          <w:sz w:val="20"/>
          <w:szCs w:val="20"/>
          <w:color w:val="auto"/>
        </w:rPr>
      </w:pPr>
      <w:r>
        <w:rPr>
          <w:rFonts w:ascii="Arial" w:cs="Arial" w:eastAsia="Arial" w:hAnsi="Arial"/>
          <w:sz w:val="18"/>
          <w:szCs w:val="18"/>
          <w:color w:val="auto"/>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81" w:lineRule="exact"/>
        <w:rPr>
          <w:sz w:val="20"/>
          <w:szCs w:val="20"/>
          <w:color w:val="auto"/>
        </w:rPr>
      </w:pPr>
    </w:p>
    <w:p>
      <w:pPr>
        <w:ind w:right="260"/>
        <w:spacing w:after="0" w:line="294" w:lineRule="auto"/>
        <w:rPr>
          <w:sz w:val="20"/>
          <w:szCs w:val="20"/>
          <w:color w:val="auto"/>
        </w:rPr>
      </w:pPr>
      <w:r>
        <w:rPr>
          <w:rFonts w:ascii="Arial" w:cs="Arial" w:eastAsia="Arial" w:hAnsi="Arial"/>
          <w:sz w:val="19"/>
          <w:szCs w:val="19"/>
          <w:b w:val="1"/>
          <w:bCs w:val="1"/>
          <w:i w:val="1"/>
          <w:iCs w:val="1"/>
          <w:color w:val="auto"/>
        </w:rPr>
        <w:t>We face risks associated with international operations, including unfavorable regulatory, political, tax and labor conditions, which could harm our business.</w:t>
      </w:r>
    </w:p>
    <w:p>
      <w:pPr>
        <w:spacing w:after="0" w:line="164" w:lineRule="exact"/>
        <w:rPr>
          <w:sz w:val="20"/>
          <w:szCs w:val="20"/>
          <w:color w:val="auto"/>
        </w:rPr>
      </w:pPr>
    </w:p>
    <w:p>
      <w:pPr>
        <w:ind w:right="180" w:firstLine="346"/>
        <w:spacing w:after="0" w:line="292" w:lineRule="auto"/>
        <w:rPr>
          <w:sz w:val="20"/>
          <w:szCs w:val="20"/>
          <w:color w:val="auto"/>
        </w:rPr>
      </w:pPr>
      <w:r>
        <w:rPr>
          <w:rFonts w:ascii="Arial" w:cs="Arial" w:eastAsia="Arial" w:hAnsi="Arial"/>
          <w:sz w:val="17"/>
          <w:szCs w:val="17"/>
          <w:color w:val="auto"/>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57" w:lineRule="exact"/>
        <w:rPr>
          <w:sz w:val="20"/>
          <w:szCs w:val="20"/>
          <w:color w:val="auto"/>
        </w:rPr>
      </w:pPr>
    </w:p>
    <w:p>
      <w:pPr>
        <w:ind w:left="700" w:hanging="347"/>
        <w:spacing w:after="0"/>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conforming our vehicles to various international regulatory and homologation requirements where our vehicles are sold;</w:t>
      </w:r>
    </w:p>
    <w:p>
      <w:pPr>
        <w:spacing w:after="0" w:line="127" w:lineRule="exact"/>
        <w:rPr>
          <w:rFonts w:ascii="Arial" w:cs="Arial" w:eastAsia="Arial" w:hAnsi="Arial"/>
          <w:sz w:val="19"/>
          <w:szCs w:val="19"/>
          <w:color w:val="auto"/>
        </w:rPr>
      </w:pPr>
    </w:p>
    <w:p>
      <w:pPr>
        <w:ind w:left="700" w:right="200" w:hanging="347"/>
        <w:spacing w:after="0" w:line="289" w:lineRule="auto"/>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establishing localized supply chains and managing international supply chain and logistics costs, including the shipping and delivery of kits for the SKD facility;</w:t>
      </w:r>
    </w:p>
    <w:p>
      <w:pPr>
        <w:spacing w:after="0" w:line="50" w:lineRule="exact"/>
        <w:rPr>
          <w:rFonts w:ascii="Arial" w:cs="Arial" w:eastAsia="Arial" w:hAnsi="Arial"/>
          <w:sz w:val="19"/>
          <w:szCs w:val="19"/>
          <w:color w:val="auto"/>
        </w:rPr>
      </w:pPr>
    </w:p>
    <w:p>
      <w:pPr>
        <w:ind w:left="700" w:right="300" w:hanging="347"/>
        <w:spacing w:after="0" w:line="289" w:lineRule="auto"/>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establishing sufficient charging points for our customers in those jurisdictions, via partnerships or, if necessary, via development of our own charging networks or accessing those of third parties;</w:t>
      </w:r>
    </w:p>
    <w:p>
      <w:pPr>
        <w:spacing w:after="0" w:line="50" w:lineRule="exact"/>
        <w:rPr>
          <w:rFonts w:ascii="Arial" w:cs="Arial" w:eastAsia="Arial" w:hAnsi="Arial"/>
          <w:sz w:val="19"/>
          <w:szCs w:val="19"/>
          <w:color w:val="auto"/>
        </w:rPr>
      </w:pPr>
    </w:p>
    <w:p>
      <w:pPr>
        <w:ind w:left="700" w:right="40" w:hanging="347"/>
        <w:spacing w:after="0" w:line="289" w:lineRule="auto"/>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difficulties staffing and managing foreign operations, especially in jurisdictions where no EV ecosystem exists and qualified personnel must be hired and relocated;</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difficulties attracting customers in new jurisdictions;</w:t>
      </w:r>
    </w:p>
    <w:p>
      <w:pPr>
        <w:spacing w:after="0" w:line="127" w:lineRule="exact"/>
        <w:rPr>
          <w:rFonts w:ascii="Arial" w:cs="Arial" w:eastAsia="Arial" w:hAnsi="Arial"/>
          <w:sz w:val="19"/>
          <w:szCs w:val="19"/>
          <w:color w:val="auto"/>
        </w:rPr>
      </w:pPr>
    </w:p>
    <w:p>
      <w:pPr>
        <w:ind w:left="700" w:hanging="347"/>
        <w:spacing w:after="0" w:line="271" w:lineRule="auto"/>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66" w:lineRule="exact"/>
        <w:rPr>
          <w:rFonts w:ascii="Arial" w:cs="Arial" w:eastAsia="Arial" w:hAnsi="Arial"/>
          <w:sz w:val="19"/>
          <w:szCs w:val="19"/>
          <w:color w:val="auto"/>
        </w:rPr>
      </w:pPr>
    </w:p>
    <w:p>
      <w:pPr>
        <w:ind w:left="700" w:right="160" w:hanging="347"/>
        <w:spacing w:after="0" w:line="289" w:lineRule="auto"/>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difficulties controlling costs and potential loss of funding, including as a result of delays in the construction or ramp-up of operations at AMP-2;</w:t>
      </w:r>
    </w:p>
    <w:p>
      <w:pPr>
        <w:sectPr>
          <w:pgSz w:w="11880" w:h="15480" w:orient="portrait"/>
          <w:cols w:equalWidth="0" w:num="1">
            <w:col w:w="11080"/>
          </w:cols>
          <w:pgMar w:left="400" w:top="763" w:right="400" w:bottom="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1080"/>
          </w:cols>
          <w:pgMar w:left="400" w:top="763" w:right="400" w:bottom="0" w:gutter="0" w:footer="0" w:header="0"/>
          <w:type w:val="continuous"/>
        </w:sectPr>
      </w:pPr>
    </w:p>
    <w:bookmarkStart w:id="151" w:name="page152"/>
    <w:bookmarkEnd w:id="151"/>
    <w:p>
      <w:pPr>
        <w:ind w:left="700" w:hanging="347"/>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difficulties or delays caused by local jurisdictions in implementing infrastructure improvements for manufacturing facilities;</w:t>
      </w:r>
    </w:p>
    <w:p>
      <w:pPr>
        <w:spacing w:after="0" w:line="127" w:lineRule="exact"/>
        <w:rPr>
          <w:rFonts w:ascii="Arial" w:cs="Arial" w:eastAsia="Arial" w:hAnsi="Arial"/>
          <w:sz w:val="19"/>
          <w:szCs w:val="19"/>
          <w:color w:val="auto"/>
        </w:rPr>
      </w:pPr>
    </w:p>
    <w:p>
      <w:pPr>
        <w:ind w:left="700" w:hanging="347"/>
        <w:spacing w:after="0" w:line="351" w:lineRule="auto"/>
        <w:tabs>
          <w:tab w:leader="none" w:pos="7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4" w:lineRule="exact"/>
        <w:rPr>
          <w:rFonts w:ascii="Arial" w:cs="Arial" w:eastAsia="Arial" w:hAnsi="Arial"/>
          <w:sz w:val="17"/>
          <w:szCs w:val="17"/>
          <w:color w:val="auto"/>
        </w:rPr>
      </w:pPr>
    </w:p>
    <w:p>
      <w:pPr>
        <w:ind w:left="700" w:right="160" w:hanging="347"/>
        <w:spacing w:after="0" w:line="289" w:lineRule="auto"/>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inflation as well as fluctuations in foreign currency exchange rates and interest rates, including risks related to any forward currency contracts, interest rate swaps or other hedging activities we may undertake;</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currency fluctuations or localized inflationary pressure;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United States and foreign government trade restrictions, tariffs and price or exchange controls;</w:t>
      </w:r>
    </w:p>
    <w:p>
      <w:pPr>
        <w:spacing w:after="0" w:line="127" w:lineRule="exact"/>
        <w:rPr>
          <w:rFonts w:ascii="Arial" w:cs="Arial" w:eastAsia="Arial" w:hAnsi="Arial"/>
          <w:sz w:val="19"/>
          <w:szCs w:val="19"/>
          <w:color w:val="auto"/>
        </w:rPr>
      </w:pPr>
    </w:p>
    <w:p>
      <w:pPr>
        <w:ind w:left="700" w:right="60" w:hanging="347"/>
        <w:spacing w:after="0" w:line="351" w:lineRule="auto"/>
        <w:tabs>
          <w:tab w:leader="none" w:pos="7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threat of a trade war among the United States, Canada, Mexico, China, the European Union (“EU”) and other countries could impede the transition to electric vehicles, disrupt global supply chains, and delay the implementation of economic competitiveness policies;</w:t>
      </w:r>
    </w:p>
    <w:p>
      <w:pPr>
        <w:spacing w:after="0" w:line="4" w:lineRule="exact"/>
        <w:rPr>
          <w:rFonts w:ascii="Arial" w:cs="Arial" w:eastAsia="Arial" w:hAnsi="Arial"/>
          <w:sz w:val="17"/>
          <w:szCs w:val="17"/>
          <w:color w:val="auto"/>
        </w:rPr>
      </w:pPr>
    </w:p>
    <w:p>
      <w:pPr>
        <w:ind w:left="700" w:hanging="347"/>
        <w:spacing w:after="0" w:line="289" w:lineRule="auto"/>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foreign laws, regulations and restrictions, including in the areas of supply chain, labor, sales, service, environment, social, governance and health and safety, and related compliance costs;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increasingly restrictive and complex foreign data privacy and cybersecurity laws, regulations and obligations;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138" w:lineRule="exact"/>
        <w:rPr>
          <w:rFonts w:ascii="Arial" w:cs="Arial" w:eastAsia="Arial" w:hAnsi="Arial"/>
          <w:sz w:val="18"/>
          <w:szCs w:val="18"/>
          <w:color w:val="auto"/>
        </w:rPr>
      </w:pPr>
    </w:p>
    <w:p>
      <w:pPr>
        <w:jc w:val="both"/>
        <w:ind w:left="700" w:right="80" w:hanging="347"/>
        <w:spacing w:after="0" w:line="271" w:lineRule="auto"/>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political instability, natural disasters, pandemics, wars, global conflicts or other geopolitical events (including the war in Ukraine and the conflict in the Middle East, which affect global energy prices and disrupt shipping routes both regionally and globally), or events of terrorism; and</w:t>
      </w:r>
    </w:p>
    <w:p>
      <w:pPr>
        <w:spacing w:after="0" w:line="66" w:lineRule="exact"/>
        <w:rPr>
          <w:rFonts w:ascii="Arial" w:cs="Arial" w:eastAsia="Arial" w:hAnsi="Arial"/>
          <w:sz w:val="19"/>
          <w:szCs w:val="19"/>
          <w:color w:val="auto"/>
        </w:rPr>
      </w:pPr>
    </w:p>
    <w:p>
      <w:pPr>
        <w:ind w:left="700" w:hanging="347"/>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strength of international economies.</w:t>
      </w:r>
    </w:p>
    <w:p>
      <w:pPr>
        <w:spacing w:after="0" w:line="243" w:lineRule="exact"/>
        <w:rPr>
          <w:sz w:val="20"/>
          <w:szCs w:val="20"/>
          <w:color w:val="auto"/>
        </w:rPr>
      </w:pPr>
    </w:p>
    <w:p>
      <w:pPr>
        <w:ind w:right="600" w:firstLine="346"/>
        <w:spacing w:after="0" w:line="289" w:lineRule="auto"/>
        <w:rPr>
          <w:sz w:val="20"/>
          <w:szCs w:val="20"/>
          <w:color w:val="auto"/>
        </w:rPr>
      </w:pPr>
      <w:r>
        <w:rPr>
          <w:rFonts w:ascii="Arial" w:cs="Arial" w:eastAsia="Arial" w:hAnsi="Arial"/>
          <w:sz w:val="19"/>
          <w:szCs w:val="19"/>
          <w:color w:val="auto"/>
        </w:rPr>
        <w:t>If we fail to successfully address these risks, they could materially harm our business, prospects,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automotive industry has significant barriers to entry that we must overcome in order to manufacture and sell electric vehicles at scale.</w:t>
      </w:r>
    </w:p>
    <w:p>
      <w:pPr>
        <w:spacing w:after="0" w:line="285" w:lineRule="exact"/>
        <w:rPr>
          <w:sz w:val="20"/>
          <w:szCs w:val="20"/>
          <w:color w:val="auto"/>
        </w:rPr>
      </w:pPr>
    </w:p>
    <w:p>
      <w:pPr>
        <w:ind w:firstLine="346"/>
        <w:spacing w:after="0" w:line="272" w:lineRule="auto"/>
        <w:rPr>
          <w:sz w:val="20"/>
          <w:szCs w:val="20"/>
          <w:color w:val="auto"/>
        </w:rPr>
      </w:pPr>
      <w:r>
        <w:rPr>
          <w:rFonts w:ascii="Arial" w:cs="Arial" w:eastAsia="Arial" w:hAnsi="Arial"/>
          <w:sz w:val="18"/>
          <w:szCs w:val="18"/>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SUV and have completed the first two phases of construction of AMP-1 and the SKD portion of AMP-2, we have not finished tooling all production lines at AMP-1. If we are not able to overcome these barriers, our business, prospects, results of operations and financial condition will be negatively impacted, and it will harm our ability to grow our business.</w:t>
      </w:r>
    </w:p>
    <w:p>
      <w:pPr>
        <w:sectPr>
          <w:pgSz w:w="11880" w:h="15480" w:orient="portrait"/>
          <w:cols w:equalWidth="0" w:num="1">
            <w:col w:w="11000"/>
          </w:cols>
          <w:pgMar w:left="400" w:top="763"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1000"/>
          </w:cols>
          <w:pgMar w:left="400" w:top="763" w:right="480"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19"/>
          <w:szCs w:val="19"/>
          <w:b w:val="1"/>
          <w:bCs w:val="1"/>
          <w:i w:val="1"/>
          <w:iCs w:val="1"/>
          <w:color w:val="auto"/>
        </w:rPr>
        <w:t>The automotive market is highly competitive, and we may not be successful in competing in this industry.</w:t>
      </w:r>
    </w:p>
    <w:p>
      <w:pPr>
        <w:spacing w:after="0" w:line="250" w:lineRule="exact"/>
        <w:rPr>
          <w:sz w:val="20"/>
          <w:szCs w:val="20"/>
          <w:color w:val="auto"/>
        </w:rPr>
      </w:pPr>
    </w:p>
    <w:p>
      <w:pPr>
        <w:ind w:firstLine="346"/>
        <w:spacing w:after="0" w:line="286"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68" w:lineRule="exact"/>
        <w:rPr>
          <w:sz w:val="20"/>
          <w:szCs w:val="20"/>
          <w:color w:val="auto"/>
        </w:rPr>
      </w:pPr>
    </w:p>
    <w:p>
      <w:pPr>
        <w:ind w:right="80"/>
        <w:spacing w:after="0" w:line="294" w:lineRule="auto"/>
        <w:rPr>
          <w:sz w:val="20"/>
          <w:szCs w:val="20"/>
          <w:color w:val="auto"/>
        </w:rPr>
      </w:pPr>
      <w:r>
        <w:rPr>
          <w:rFonts w:ascii="Arial" w:cs="Arial" w:eastAsia="Arial" w:hAnsi="Arial"/>
          <w:sz w:val="19"/>
          <w:szCs w:val="19"/>
          <w:b w:val="1"/>
          <w:bCs w:val="1"/>
          <w:i w:val="1"/>
          <w:iCs w:val="1"/>
          <w:color w:val="auto"/>
        </w:rPr>
        <w:t>Developments in electric vehicle or alternative fuel technology or improvements in the internal combustion engine may adversely affect the demand for our vehicles.</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1060"/>
          </w:cols>
          <w:pgMar w:left="400" w:top="755" w:right="420" w:bottom="0" w:gutter="0" w:footer="0" w:header="0"/>
          <w:type w:val="continuous"/>
        </w:sectPr>
      </w:pPr>
    </w:p>
    <w:bookmarkStart w:id="153" w:name="page154"/>
    <w:bookmarkEnd w:id="153"/>
    <w:p>
      <w:pPr>
        <w:ind w:right="360"/>
        <w:spacing w:after="0" w:line="294" w:lineRule="auto"/>
        <w:rPr>
          <w:sz w:val="20"/>
          <w:szCs w:val="20"/>
          <w:color w:val="auto"/>
        </w:rPr>
      </w:pPr>
      <w:r>
        <w:rPr>
          <w:rFonts w:ascii="Arial" w:cs="Arial" w:eastAsia="Arial" w:hAnsi="Arial"/>
          <w:sz w:val="19"/>
          <w:szCs w:val="19"/>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64" w:lineRule="exact"/>
        <w:rPr>
          <w:sz w:val="20"/>
          <w:szCs w:val="20"/>
          <w:color w:val="auto"/>
        </w:rPr>
      </w:pPr>
    </w:p>
    <w:p>
      <w:pPr>
        <w:ind w:firstLine="346"/>
        <w:spacing w:after="0" w:line="286" w:lineRule="auto"/>
        <w:rPr>
          <w:sz w:val="20"/>
          <w:szCs w:val="20"/>
          <w:color w:val="auto"/>
        </w:rPr>
      </w:pPr>
      <w:r>
        <w:rPr>
          <w:rFonts w:ascii="Arial" w:cs="Arial" w:eastAsia="Arial" w:hAnsi="Arial"/>
          <w:sz w:val="17"/>
          <w:szCs w:val="17"/>
          <w:color w:val="auto"/>
        </w:rPr>
        <w:t>We may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We may also benefit from government loan programs. Any reduction, elimination or selective application of tax and other governmental programs and economic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For example, the current U.S. presidential administration has issued executive orders to revoke certain executive orders from the prior administration, which directed federal agencies to review and potentially revise vehicle fuel efficiency and emissions standards. The revocation of these executive orders may decrease the demand and reduce the value of the greenhouse gas credits and similar regulatory credits, which we may sell to other manufacturers. Further, we cannot guarantee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and for SUVs that have a manufacturer’s suggested retail price over $80,000, although a tax credit remains available for vehicles that are leased rather than purchased. In addition, the current U.S. presidential administration has issued a policy statement aimed at eliminating the “electric vehicle mandate,” which targets state emissions waivers and governmental subsidies. Corresponding executive orders may be further issued to implement this policy. See “</w:t>
      </w:r>
      <w:r>
        <w:rPr>
          <w:rFonts w:ascii="Arial" w:cs="Arial" w:eastAsia="Arial" w:hAnsi="Arial"/>
          <w:sz w:val="17"/>
          <w:szCs w:val="17"/>
          <w:b w:val="1"/>
          <w:bCs w:val="1"/>
          <w:i w:val="1"/>
          <w:iCs w:val="1"/>
          <w:color w:val="auto"/>
        </w:rPr>
        <w:t>— Failure to attract customers, failure to complete the purchase process with customers, and customer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cancellation of orders may have a material adverse impact on our business, prospects, results of operations and financial condition.</w:t>
      </w:r>
      <w:r>
        <w:rPr>
          <w:rFonts w:ascii="Arial" w:cs="Arial" w:eastAsia="Arial" w:hAnsi="Arial"/>
          <w:sz w:val="17"/>
          <w:szCs w:val="17"/>
          <w:color w:val="auto"/>
        </w:rPr>
        <w:t>”</w:t>
      </w:r>
    </w:p>
    <w:p>
      <w:pPr>
        <w:spacing w:after="0" w:line="180" w:lineRule="exact"/>
        <w:rPr>
          <w:sz w:val="20"/>
          <w:szCs w:val="20"/>
          <w:color w:val="auto"/>
        </w:rPr>
      </w:pPr>
    </w:p>
    <w:p>
      <w:pPr>
        <w:ind w:right="160" w:firstLine="346"/>
        <w:spacing w:after="0" w:line="317" w:lineRule="auto"/>
        <w:rPr>
          <w:sz w:val="20"/>
          <w:szCs w:val="20"/>
          <w:color w:val="auto"/>
        </w:rPr>
      </w:pPr>
      <w:r>
        <w:rPr>
          <w:rFonts w:ascii="Arial" w:cs="Arial" w:eastAsia="Arial" w:hAnsi="Arial"/>
          <w:sz w:val="17"/>
          <w:szCs w:val="17"/>
          <w:color w:val="auto"/>
        </w:rPr>
        <w:t>While certain tax credits and other incentives for alternative energy production, alternative fuels and electric vehicles have been available in the United States, Canada and the EU, there is no guarantee that these programs or incentives will be available in the future. If current tax incentives are not available in the future, our business, prospects, financial position and results of operations could be affected adversely.</w:t>
      </w:r>
    </w:p>
    <w:p>
      <w:pPr>
        <w:spacing w:after="0" w:line="140" w:lineRule="exact"/>
        <w:rPr>
          <w:sz w:val="20"/>
          <w:szCs w:val="20"/>
          <w:color w:val="auto"/>
        </w:rPr>
      </w:pPr>
    </w:p>
    <w:p>
      <w:pPr>
        <w:jc w:val="both"/>
        <w:ind w:right="540"/>
        <w:spacing w:after="0" w:line="395" w:lineRule="auto"/>
        <w:rPr>
          <w:sz w:val="20"/>
          <w:szCs w:val="20"/>
          <w:color w:val="auto"/>
        </w:rPr>
      </w:pPr>
      <w:r>
        <w:rPr>
          <w:rFonts w:ascii="Arial" w:cs="Arial" w:eastAsia="Arial" w:hAnsi="Arial"/>
          <w:sz w:val="16"/>
          <w:szCs w:val="16"/>
          <w:b w:val="1"/>
          <w:bCs w:val="1"/>
          <w:i w:val="1"/>
          <w:iCs w:val="1"/>
          <w:color w:val="auto"/>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spacing w:after="0" w:line="94" w:lineRule="exact"/>
        <w:rPr>
          <w:sz w:val="20"/>
          <w:szCs w:val="20"/>
          <w:color w:val="auto"/>
        </w:rPr>
      </w:pPr>
    </w:p>
    <w:p>
      <w:pPr>
        <w:ind w:firstLine="346"/>
        <w:spacing w:after="0" w:line="257" w:lineRule="auto"/>
        <w:rPr>
          <w:sz w:val="20"/>
          <w:szCs w:val="20"/>
          <w:color w:val="auto"/>
        </w:rPr>
      </w:pPr>
      <w:r>
        <w:rPr>
          <w:rFonts w:ascii="Arial" w:cs="Arial" w:eastAsia="Arial" w:hAnsi="Arial"/>
          <w:sz w:val="19"/>
          <w:szCs w:val="19"/>
          <w:color w:val="auto"/>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the Lucid Gravity or planned future vehicles, such failure could substantially reduce the population of potential customers and decrease demand for our vehicles.</w:t>
      </w:r>
    </w:p>
    <w:p>
      <w:pPr>
        <w:spacing w:after="0" w:line="200" w:lineRule="exact"/>
        <w:rPr>
          <w:sz w:val="20"/>
          <w:szCs w:val="20"/>
          <w:color w:val="auto"/>
        </w:rPr>
      </w:pPr>
    </w:p>
    <w:p>
      <w:pPr>
        <w:ind w:firstLine="346"/>
        <w:spacing w:after="0" w:line="275" w:lineRule="auto"/>
        <w:rPr>
          <w:sz w:val="20"/>
          <w:szCs w:val="20"/>
          <w:color w:val="auto"/>
        </w:rPr>
      </w:pPr>
      <w:r>
        <w:rPr>
          <w:rFonts w:ascii="Arial" w:cs="Arial" w:eastAsia="Arial" w:hAnsi="Arial"/>
          <w:sz w:val="18"/>
          <w:szCs w:val="18"/>
          <w:color w:val="auto"/>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spacing w:after="0" w:line="184" w:lineRule="exact"/>
        <w:rPr>
          <w:sz w:val="20"/>
          <w:szCs w:val="20"/>
          <w:color w:val="auto"/>
        </w:rPr>
      </w:pPr>
    </w:p>
    <w:p>
      <w:pPr>
        <w:ind w:firstLine="346"/>
        <w:spacing w:after="0" w:line="260" w:lineRule="auto"/>
        <w:rPr>
          <w:sz w:val="20"/>
          <w:szCs w:val="20"/>
          <w:color w:val="auto"/>
        </w:rPr>
      </w:pPr>
      <w:r>
        <w:rPr>
          <w:rFonts w:ascii="Arial" w:cs="Arial" w:eastAsia="Arial" w:hAnsi="Arial"/>
          <w:sz w:val="19"/>
          <w:szCs w:val="19"/>
          <w:color w:val="auto"/>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1060"/>
          </w:cols>
          <w:pgMar w:left="400" w:top="755" w:right="420" w:bottom="0" w:gutter="0" w:footer="0" w:header="0"/>
          <w:type w:val="continuous"/>
        </w:sectPr>
      </w:pPr>
    </w:p>
    <w:bookmarkStart w:id="154" w:name="page155"/>
    <w:bookmarkEnd w:id="154"/>
    <w:p>
      <w:pPr>
        <w:ind w:right="260"/>
        <w:spacing w:after="0" w:line="357" w:lineRule="auto"/>
        <w:rPr>
          <w:sz w:val="20"/>
          <w:szCs w:val="20"/>
          <w:color w:val="auto"/>
        </w:rPr>
      </w:pPr>
      <w:r>
        <w:rPr>
          <w:rFonts w:ascii="Arial" w:cs="Arial" w:eastAsia="Arial" w:hAnsi="Arial"/>
          <w:sz w:val="17"/>
          <w:szCs w:val="17"/>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18" w:lineRule="exact"/>
        <w:rPr>
          <w:sz w:val="20"/>
          <w:szCs w:val="20"/>
          <w:color w:val="auto"/>
        </w:rPr>
      </w:pPr>
    </w:p>
    <w:p>
      <w:pPr>
        <w:ind w:right="20" w:firstLine="346"/>
        <w:spacing w:after="0" w:line="274" w:lineRule="auto"/>
        <w:rPr>
          <w:sz w:val="20"/>
          <w:szCs w:val="20"/>
          <w:color w:val="auto"/>
        </w:rPr>
      </w:pPr>
      <w:r>
        <w:rPr>
          <w:rFonts w:ascii="Arial" w:cs="Arial" w:eastAsia="Arial" w:hAnsi="Arial"/>
          <w:sz w:val="18"/>
          <w:szCs w:val="18"/>
          <w:color w:val="auto"/>
        </w:rPr>
        <w:t>We may apply for federal, state and foreign grants, loans and tax incentives under government programs designed to stimulate the economy and support the production of alternative fuel and electric vehicles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77" w:lineRule="exact"/>
        <w:rPr>
          <w:sz w:val="20"/>
          <w:szCs w:val="20"/>
          <w:color w:val="auto"/>
        </w:rPr>
      </w:pPr>
    </w:p>
    <w:p>
      <w:pPr>
        <w:ind w:right="300"/>
        <w:spacing w:after="0" w:line="395" w:lineRule="auto"/>
        <w:rPr>
          <w:sz w:val="20"/>
          <w:szCs w:val="20"/>
          <w:color w:val="auto"/>
        </w:rPr>
      </w:pPr>
      <w:r>
        <w:rPr>
          <w:rFonts w:ascii="Arial" w:cs="Arial" w:eastAsia="Arial" w:hAnsi="Arial"/>
          <w:sz w:val="16"/>
          <w:szCs w:val="16"/>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94" w:lineRule="exact"/>
        <w:rPr>
          <w:sz w:val="20"/>
          <w:szCs w:val="20"/>
          <w:color w:val="auto"/>
        </w:rPr>
      </w:pPr>
    </w:p>
    <w:p>
      <w:pPr>
        <w:ind w:right="40" w:firstLine="346"/>
        <w:spacing w:after="0" w:line="272" w:lineRule="auto"/>
        <w:rPr>
          <w:sz w:val="20"/>
          <w:szCs w:val="20"/>
          <w:color w:val="auto"/>
        </w:rPr>
      </w:pPr>
      <w:r>
        <w:rPr>
          <w:rFonts w:ascii="Arial" w:cs="Arial" w:eastAsia="Arial" w:hAnsi="Arial"/>
          <w:sz w:val="18"/>
          <w:szCs w:val="18"/>
          <w:color w:val="auto"/>
        </w:rPr>
        <w:t>We design our vehicles with advanced driver assistance system (“ADAS”) hardware and software. The Lucid Air is equipped with Level 2 (partial automation) ADAS functionality, and in addition, we expect to equip the Lucid Gravity with Level 2 functionality. We plan over time to upgrade our vehicles with additional capabilities.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2" w:lineRule="exact"/>
        <w:rPr>
          <w:sz w:val="20"/>
          <w:szCs w:val="20"/>
          <w:color w:val="auto"/>
        </w:rPr>
      </w:pPr>
    </w:p>
    <w:p>
      <w:pPr>
        <w:ind w:right="140" w:firstLine="346"/>
        <w:spacing w:after="0" w:line="260" w:lineRule="auto"/>
        <w:rPr>
          <w:sz w:val="20"/>
          <w:szCs w:val="20"/>
          <w:color w:val="auto"/>
        </w:rPr>
      </w:pPr>
      <w:r>
        <w:rPr>
          <w:rFonts w:ascii="Arial" w:cs="Arial" w:eastAsia="Arial" w:hAnsi="Arial"/>
          <w:sz w:val="19"/>
          <w:szCs w:val="19"/>
          <w:color w:val="auto"/>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spacing w:after="0" w:line="194" w:lineRule="exact"/>
        <w:rPr>
          <w:sz w:val="20"/>
          <w:szCs w:val="20"/>
          <w:color w:val="auto"/>
        </w:rPr>
      </w:pPr>
    </w:p>
    <w:p>
      <w:pPr>
        <w:ind w:right="220" w:firstLine="346"/>
        <w:spacing w:after="0" w:line="289" w:lineRule="auto"/>
        <w:rPr>
          <w:sz w:val="20"/>
          <w:szCs w:val="20"/>
          <w:color w:val="auto"/>
        </w:rPr>
      </w:pPr>
      <w:r>
        <w:rPr>
          <w:rFonts w:ascii="Arial" w:cs="Arial" w:eastAsia="Arial" w:hAnsi="Arial"/>
          <w:sz w:val="19"/>
          <w:szCs w:val="19"/>
          <w:color w:val="auto"/>
        </w:rPr>
        <w:t xml:space="preserve">ADAS technology is also subject to regulatory uncertainty, which exposes us to additional risks. See “— Risks Related to Litigation and Regulation </w:t>
      </w:r>
      <w:r>
        <w:rPr>
          <w:rFonts w:ascii="Arial" w:cs="Arial" w:eastAsia="Arial" w:hAnsi="Arial"/>
          <w:sz w:val="19"/>
          <w:szCs w:val="19"/>
          <w:b w:val="1"/>
          <w:bCs w:val="1"/>
          <w:i w:val="1"/>
          <w:iCs w:val="1"/>
          <w:color w:val="auto"/>
        </w:rPr>
        <w:t>— ADAS technology is subject to uncertain and evolving regulations.</w:t>
      </w:r>
      <w:r>
        <w:rPr>
          <w:rFonts w:ascii="Arial" w:cs="Arial" w:eastAsia="Arial" w:hAnsi="Arial"/>
          <w:sz w:val="19"/>
          <w:szCs w:val="19"/>
          <w:color w:val="auto"/>
        </w:rPr>
        <w:t>”</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b w:val="1"/>
          <w:bCs w:val="1"/>
          <w:i w:val="1"/>
          <w:iCs w:val="1"/>
          <w:color w:val="auto"/>
        </w:rPr>
        <w:t>Uninsured or underinsured losses could result in payment of substantial damages, which would decrease our cash reserves and could harm our cash flow and financial condition.</w:t>
      </w:r>
    </w:p>
    <w:p>
      <w:pPr>
        <w:spacing w:after="0" w:line="164" w:lineRule="exact"/>
        <w:rPr>
          <w:sz w:val="20"/>
          <w:szCs w:val="20"/>
          <w:color w:val="auto"/>
        </w:rPr>
      </w:pPr>
    </w:p>
    <w:p>
      <w:pPr>
        <w:ind w:firstLine="346"/>
        <w:spacing w:after="0" w:line="291" w:lineRule="auto"/>
        <w:rPr>
          <w:sz w:val="20"/>
          <w:szCs w:val="20"/>
          <w:color w:val="auto"/>
        </w:rPr>
      </w:pPr>
      <w:r>
        <w:rPr>
          <w:rFonts w:ascii="Arial" w:cs="Arial" w:eastAsia="Arial" w:hAnsi="Arial"/>
          <w:sz w:val="17"/>
          <w:szCs w:val="17"/>
          <w:color w:val="auto"/>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in place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changes in our risk profile. This may require a change in our insurance purchasing philosophy and strategy which can result in the assumption of greater risks to offset insurance market fluctuations.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1060"/>
          </w:cols>
          <w:pgMar w:left="400" w:top="755" w:right="420" w:bottom="0" w:gutter="0" w:footer="0" w:header="0"/>
          <w:type w:val="continuous"/>
        </w:sectPr>
      </w:pPr>
    </w:p>
    <w:bookmarkStart w:id="155" w:name="page156"/>
    <w:bookmarkEnd w:id="155"/>
    <w:p>
      <w:pPr>
        <w:ind w:right="700"/>
        <w:spacing w:after="0" w:line="294" w:lineRule="auto"/>
        <w:rPr>
          <w:sz w:val="20"/>
          <w:szCs w:val="20"/>
          <w:color w:val="auto"/>
        </w:rPr>
      </w:pPr>
      <w:r>
        <w:rPr>
          <w:rFonts w:ascii="Arial" w:cs="Arial" w:eastAsia="Arial" w:hAnsi="Arial"/>
          <w:sz w:val="19"/>
          <w:szCs w:val="19"/>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64" w:lineRule="exact"/>
        <w:rPr>
          <w:sz w:val="20"/>
          <w:szCs w:val="20"/>
          <w:color w:val="auto"/>
        </w:rPr>
      </w:pPr>
    </w:p>
    <w:p>
      <w:pPr>
        <w:ind w:right="20" w:firstLine="346"/>
        <w:spacing w:after="0" w:line="273" w:lineRule="auto"/>
        <w:rPr>
          <w:sz w:val="20"/>
          <w:szCs w:val="20"/>
          <w:color w:val="auto"/>
        </w:rPr>
      </w:pPr>
      <w:r>
        <w:rPr>
          <w:rFonts w:ascii="Arial" w:cs="Arial" w:eastAsia="Arial" w:hAnsi="Arial"/>
          <w:sz w:val="18"/>
          <w:szCs w:val="18"/>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 For example, the current U.S. presidential administration has issued an executive order to declare a national energy emergency and facilitate the production and supply of domestic energy resources, including oil.</w:t>
      </w:r>
    </w:p>
    <w:p>
      <w:pPr>
        <w:spacing w:after="0" w:line="186" w:lineRule="exact"/>
        <w:rPr>
          <w:sz w:val="20"/>
          <w:szCs w:val="20"/>
          <w:color w:val="auto"/>
        </w:rPr>
      </w:pPr>
    </w:p>
    <w:p>
      <w:pPr>
        <w:ind w:right="100" w:firstLine="346"/>
        <w:spacing w:after="0" w:line="300" w:lineRule="auto"/>
        <w:rPr>
          <w:sz w:val="20"/>
          <w:szCs w:val="20"/>
          <w:color w:val="auto"/>
        </w:rPr>
      </w:pPr>
      <w:r>
        <w:rPr>
          <w:rFonts w:ascii="Arial" w:cs="Arial" w:eastAsia="Arial" w:hAnsi="Arial"/>
          <w:sz w:val="17"/>
          <w:szCs w:val="17"/>
          <w:color w:val="auto"/>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54"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b w:val="1"/>
          <w:bCs w:val="1"/>
          <w:i w:val="1"/>
          <w:iCs w:val="1"/>
          <w:color w:val="auto"/>
        </w:rPr>
        <w:t>Increasing scrutiny and changing expectations from global regulations, our investors, customers and employees with respect to ESG matters may impose additional costs on us or expose us to new or additional risks.</w:t>
      </w:r>
    </w:p>
    <w:p>
      <w:pPr>
        <w:spacing w:after="0" w:line="164" w:lineRule="exact"/>
        <w:rPr>
          <w:sz w:val="20"/>
          <w:szCs w:val="20"/>
          <w:color w:val="auto"/>
        </w:rPr>
      </w:pPr>
    </w:p>
    <w:p>
      <w:pPr>
        <w:ind w:right="120" w:firstLine="346"/>
        <w:spacing w:after="0" w:line="259" w:lineRule="auto"/>
        <w:rPr>
          <w:sz w:val="20"/>
          <w:szCs w:val="20"/>
          <w:color w:val="auto"/>
        </w:rPr>
      </w:pPr>
      <w:r>
        <w:rPr>
          <w:rFonts w:ascii="Arial" w:cs="Arial" w:eastAsia="Arial" w:hAnsi="Arial"/>
          <w:sz w:val="19"/>
          <w:szCs w:val="19"/>
          <w:color w:val="auto"/>
        </w:rPr>
        <w:t>There is increased focus, including from governmental organizations and our investors, customers and employees, on ESG issues such as environmental stewardship, climate change, inclusion, workplace conduct, recyclability, sourcing and ESG disclosure as well as growing anti-ESG sentiment among certain stakeholders. There can be no certainty that we will manage ESG issues successfully, or that we will be able to meet varying or conflicting stakeholder expectations of us regarding ESG matters. Negative public perception, adverse publicity or negative comments in social media could damage our reputation if we do not, or are perceived not to, address these issues to our stakeholders’ satisfaction. Any harm to our reputation could impact our employees’ engagement and retention and the willingness of our customers and partners to do business with us.</w:t>
      </w:r>
    </w:p>
    <w:p>
      <w:pPr>
        <w:spacing w:after="0" w:line="194" w:lineRule="exact"/>
        <w:rPr>
          <w:sz w:val="20"/>
          <w:szCs w:val="20"/>
          <w:color w:val="auto"/>
        </w:rPr>
      </w:pPr>
    </w:p>
    <w:p>
      <w:pPr>
        <w:ind w:right="60" w:firstLine="346"/>
        <w:spacing w:after="0" w:line="274" w:lineRule="auto"/>
        <w:rPr>
          <w:sz w:val="20"/>
          <w:szCs w:val="20"/>
          <w:color w:val="auto"/>
        </w:rPr>
      </w:pPr>
      <w:r>
        <w:rPr>
          <w:rFonts w:ascii="Arial" w:cs="Arial" w:eastAsia="Arial" w:hAnsi="Arial"/>
          <w:sz w:val="18"/>
          <w:szCs w:val="18"/>
          <w:color w:val="auto"/>
        </w:rPr>
        <w:t>It is possible that our stakeholders may not be satisfied with our ESG disclosures or practices, and we may not be able to comply with increasing global regulations on ESG topics, such as human rights and sustainability reporting. Actual or perceived shortcomings or dissatisfaction with our ESG practices and reporting may subject us to litigation and could negatively impact our business. We could also incur additional costs and require additional resources to monitor, report, and comply with ESG regulations in various jurisdictions. In addition, a variety of organizations have developed ratings to measure the performance of companies on ESG topics, and the results of these assessments are widely publicized.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Manufacturing and Supply Chain</w:t>
      </w:r>
    </w:p>
    <w:p>
      <w:pPr>
        <w:spacing w:after="0" w:line="241" w:lineRule="exact"/>
        <w:rPr>
          <w:sz w:val="20"/>
          <w:szCs w:val="20"/>
          <w:color w:val="auto"/>
        </w:rPr>
      </w:pPr>
    </w:p>
    <w:p>
      <w:pPr>
        <w:ind w:right="40"/>
        <w:spacing w:after="0" w:line="328"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our vehicles, including the Lucid Air, the Lucid Gravity and our Midsize platform, which could harm our business and prospects.</w:t>
      </w:r>
    </w:p>
    <w:p>
      <w:pPr>
        <w:spacing w:after="0" w:line="134" w:lineRule="exact"/>
        <w:rPr>
          <w:sz w:val="20"/>
          <w:szCs w:val="20"/>
          <w:color w:val="auto"/>
        </w:rPr>
      </w:pPr>
    </w:p>
    <w:p>
      <w:pPr>
        <w:ind w:firstLine="346"/>
        <w:spacing w:after="0" w:line="275" w:lineRule="auto"/>
        <w:rPr>
          <w:sz w:val="20"/>
          <w:szCs w:val="20"/>
          <w:color w:val="auto"/>
        </w:rPr>
      </w:pPr>
      <w:r>
        <w:rPr>
          <w:rFonts w:ascii="Arial" w:cs="Arial" w:eastAsia="Arial" w:hAnsi="Arial"/>
          <w:sz w:val="18"/>
          <w:szCs w:val="18"/>
          <w:color w:val="auto"/>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our vehicles. For example, we have experienced delays in the engineering of certain of our vehicle systems, including as a result of design changes to components. Any future delays in the financing, design, manufacture and launch of our vehicles and variants could materially damage our business, prospects, financial condition and results of operations.</w:t>
      </w:r>
    </w:p>
    <w:p>
      <w:pPr>
        <w:spacing w:after="0" w:line="184" w:lineRule="exact"/>
        <w:rPr>
          <w:sz w:val="20"/>
          <w:szCs w:val="20"/>
          <w:color w:val="auto"/>
        </w:rPr>
      </w:pPr>
    </w:p>
    <w:p>
      <w:pPr>
        <w:ind w:right="40" w:firstLine="346"/>
        <w:spacing w:after="0" w:line="300" w:lineRule="auto"/>
        <w:rPr>
          <w:sz w:val="20"/>
          <w:szCs w:val="20"/>
          <w:color w:val="auto"/>
        </w:rPr>
      </w:pPr>
      <w:r>
        <w:rPr>
          <w:rFonts w:ascii="Arial" w:cs="Arial" w:eastAsia="Arial" w:hAnsi="Arial"/>
          <w:sz w:val="17"/>
          <w:szCs w:val="17"/>
          <w:color w:val="auto"/>
        </w:rPr>
        <w:t>Our Midsize platform is still in the development and/or testing phase, and may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1060"/>
          </w:cols>
          <w:pgMar w:left="400" w:top="755" w:right="420" w:bottom="0" w:gutter="0" w:footer="0" w:header="0"/>
          <w:type w:val="continuous"/>
        </w:sectPr>
      </w:pPr>
    </w:p>
    <w:bookmarkStart w:id="156" w:name="page157"/>
    <w:bookmarkEnd w:id="156"/>
    <w:p>
      <w:pPr>
        <w:ind w:right="100" w:firstLine="346"/>
        <w:spacing w:after="0" w:line="275" w:lineRule="auto"/>
        <w:rPr>
          <w:sz w:val="20"/>
          <w:szCs w:val="20"/>
          <w:color w:val="auto"/>
        </w:rPr>
      </w:pPr>
      <w:r>
        <w:rPr>
          <w:rFonts w:ascii="Arial" w:cs="Arial" w:eastAsia="Arial" w:hAnsi="Arial"/>
          <w:sz w:val="18"/>
          <w:szCs w:val="18"/>
          <w:color w:val="auto"/>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84" w:lineRule="exact"/>
        <w:rPr>
          <w:sz w:val="20"/>
          <w:szCs w:val="20"/>
          <w:color w:val="auto"/>
        </w:rPr>
      </w:pPr>
    </w:p>
    <w:p>
      <w:pPr>
        <w:ind w:right="120" w:firstLine="346"/>
        <w:spacing w:after="0" w:line="265" w:lineRule="auto"/>
        <w:rPr>
          <w:sz w:val="20"/>
          <w:szCs w:val="20"/>
          <w:color w:val="auto"/>
        </w:rPr>
      </w:pPr>
      <w:r>
        <w:rPr>
          <w:rFonts w:ascii="Arial" w:cs="Arial" w:eastAsia="Arial" w:hAnsi="Arial"/>
          <w:sz w:val="19"/>
          <w:szCs w:val="19"/>
          <w:color w:val="auto"/>
        </w:rPr>
        <w:t>Any significant delay or other complication in the production of our current vehicles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88" w:lineRule="exact"/>
        <w:rPr>
          <w:sz w:val="20"/>
          <w:szCs w:val="20"/>
          <w:color w:val="auto"/>
        </w:rPr>
      </w:pPr>
    </w:p>
    <w:p>
      <w:pPr>
        <w:ind w:right="340" w:firstLine="346"/>
        <w:spacing w:after="0" w:line="289" w:lineRule="auto"/>
        <w:rPr>
          <w:sz w:val="20"/>
          <w:szCs w:val="20"/>
          <w:color w:val="auto"/>
        </w:rPr>
      </w:pPr>
      <w:r>
        <w:rPr>
          <w:rFonts w:ascii="Arial" w:cs="Arial" w:eastAsia="Arial" w:hAnsi="Arial"/>
          <w:sz w:val="19"/>
          <w:szCs w:val="19"/>
          <w:color w:val="auto"/>
        </w:rPr>
        <w:t>The continued development of and the ability to manufacture our vehicles, including the Lucid Air, the Lucid Gravity and our Midsize platform, are and will be subject to risks, including with respect to:</w:t>
      </w:r>
    </w:p>
    <w:p>
      <w:pPr>
        <w:spacing w:after="0" w:line="50" w:lineRule="exact"/>
        <w:rPr>
          <w:sz w:val="20"/>
          <w:szCs w:val="20"/>
          <w:color w:val="auto"/>
        </w:rPr>
      </w:pPr>
    </w:p>
    <w:p>
      <w:pPr>
        <w:ind w:left="700" w:right="280" w:hanging="347"/>
        <w:spacing w:after="0" w:line="289" w:lineRule="auto"/>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ensure ongoing readiness of firmware features and functions to be integrated into the Lucid Air as planned and on the desired timeline;</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finalize release candidate specifications for our future vehicles as planned and on the desired timeline;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any delays by us in delivering final component designs to our suppliers or any changes to such component designs;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or our suppliers’ ability to successfully tool manufacturing facilities as planned and on the desired timeline;</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our ability to ensure a working supply chain and desired supplier part quality and quantity as planned and on the desired timeline;</w:t>
      </w:r>
    </w:p>
    <w:p>
      <w:pPr>
        <w:spacing w:after="0" w:line="138" w:lineRule="exact"/>
        <w:rPr>
          <w:rFonts w:ascii="Arial" w:cs="Arial" w:eastAsia="Arial" w:hAnsi="Arial"/>
          <w:sz w:val="18"/>
          <w:szCs w:val="18"/>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accurately manufacture vehicles within specified design tolerances;</w:t>
      </w:r>
    </w:p>
    <w:p>
      <w:pPr>
        <w:spacing w:after="0" w:line="127" w:lineRule="exact"/>
        <w:rPr>
          <w:rFonts w:ascii="Arial" w:cs="Arial" w:eastAsia="Arial" w:hAnsi="Arial"/>
          <w:sz w:val="19"/>
          <w:szCs w:val="19"/>
          <w:color w:val="auto"/>
        </w:rPr>
      </w:pPr>
    </w:p>
    <w:p>
      <w:pPr>
        <w:ind w:left="700" w:right="840" w:hanging="347"/>
        <w:spacing w:after="0" w:line="351" w:lineRule="auto"/>
        <w:tabs>
          <w:tab w:leader="none" w:pos="7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our ability to establish, implement, refine and scale, as well as make significant investments in manufacturing, supply chain management and logistics functions, including the related information technology systems and software applications;</w:t>
      </w:r>
    </w:p>
    <w:p>
      <w:pPr>
        <w:spacing w:after="0" w:line="4" w:lineRule="exact"/>
        <w:rPr>
          <w:rFonts w:ascii="Arial" w:cs="Arial" w:eastAsia="Arial" w:hAnsi="Arial"/>
          <w:sz w:val="17"/>
          <w:szCs w:val="17"/>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adequately reduce and control the costs of key parts and materials;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significantly reduce freight costs, including in-bound freight costs;</w:t>
      </w:r>
    </w:p>
    <w:p>
      <w:pPr>
        <w:spacing w:after="0" w:line="111"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manage any transitions or changes in our production process, planned or unplanned;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occurrence of product defects that cannot be remedied without adversely affecting the production;</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secure necessary funding;</w:t>
      </w:r>
    </w:p>
    <w:p>
      <w:pPr>
        <w:spacing w:after="0" w:line="127" w:lineRule="exact"/>
        <w:rPr>
          <w:rFonts w:ascii="Arial" w:cs="Arial" w:eastAsia="Arial" w:hAnsi="Arial"/>
          <w:sz w:val="19"/>
          <w:szCs w:val="19"/>
          <w:color w:val="auto"/>
        </w:rPr>
      </w:pPr>
    </w:p>
    <w:p>
      <w:pPr>
        <w:ind w:left="700" w:right="480" w:hanging="347"/>
        <w:spacing w:after="0" w:line="289" w:lineRule="auto"/>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negotiate and execute definitive agreements with various suppliers for hardware, software, or services necessary to engineer or manufacture our vehicles;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obtain required regulatory approvals and certifications;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comply with environmental, safety, and similar regulations and in a timely manner;</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secure necessary components, services, or licenses on acceptable terms and in a timely manner;</w:t>
      </w:r>
    </w:p>
    <w:p>
      <w:pPr>
        <w:spacing w:after="0" w:line="127" w:lineRule="exact"/>
        <w:rPr>
          <w:rFonts w:ascii="Arial" w:cs="Arial" w:eastAsia="Arial" w:hAnsi="Arial"/>
          <w:sz w:val="19"/>
          <w:szCs w:val="19"/>
          <w:color w:val="auto"/>
        </w:rPr>
      </w:pPr>
    </w:p>
    <w:p>
      <w:pPr>
        <w:ind w:left="700" w:right="980" w:hanging="347"/>
        <w:spacing w:after="0" w:line="289" w:lineRule="auto"/>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attract, recruit, hire, retain and train skilled employees including supply chain management, supplier quality, manufacturing and logistics personnel;</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design and implement effective and efficient quality control and inventory management processes;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delays or disruptions in our supply chain including raw material supplies and international shipping;</w:t>
      </w:r>
    </w:p>
    <w:p>
      <w:pPr>
        <w:spacing w:after="0" w:line="127" w:lineRule="exact"/>
        <w:rPr>
          <w:rFonts w:ascii="Arial" w:cs="Arial" w:eastAsia="Arial" w:hAnsi="Arial"/>
          <w:sz w:val="19"/>
          <w:szCs w:val="19"/>
          <w:color w:val="auto"/>
        </w:rPr>
      </w:pPr>
    </w:p>
    <w:p>
      <w:pPr>
        <w:ind w:left="700" w:right="400" w:hanging="347"/>
        <w:spacing w:after="0" w:line="289" w:lineRule="auto"/>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our ability to maintain arrangements on commercially reasonable terms with our suppliers, delivery and other partners, after sales service providers, and other operationally significant third parties;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other delays, backlog in manufacturing and research and development of new models, and cost overruns; 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any other risks identified herein.</w:t>
      </w:r>
    </w:p>
    <w:p>
      <w:pPr>
        <w:spacing w:after="0" w:line="243" w:lineRule="exact"/>
        <w:rPr>
          <w:sz w:val="20"/>
          <w:szCs w:val="20"/>
          <w:color w:val="auto"/>
        </w:rPr>
      </w:pPr>
    </w:p>
    <w:p>
      <w:pPr>
        <w:ind w:firstLine="346"/>
        <w:spacing w:after="0" w:line="300" w:lineRule="auto"/>
        <w:rPr>
          <w:sz w:val="20"/>
          <w:szCs w:val="20"/>
          <w:color w:val="auto"/>
        </w:rPr>
      </w:pPr>
      <w:r>
        <w:rPr>
          <w:rFonts w:ascii="Arial" w:cs="Arial" w:eastAsia="Arial" w:hAnsi="Arial"/>
          <w:sz w:val="17"/>
          <w:szCs w:val="17"/>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Risks Related to Financing and Strategic Transactions </w:t>
      </w:r>
      <w:r>
        <w:rPr>
          <w:rFonts w:ascii="Arial" w:cs="Arial" w:eastAsia="Arial" w:hAnsi="Arial"/>
          <w:sz w:val="17"/>
          <w:szCs w:val="17"/>
          <w:b w:val="1"/>
          <w:bCs w:val="1"/>
          <w:i w:val="1"/>
          <w:iCs w:val="1"/>
          <w:color w:val="auto"/>
        </w:rPr>
        <w:t>— We will require additional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capital to support business growth, and this capital might not be available on commercially reasonable terms, or at all.”</w:t>
      </w:r>
    </w:p>
    <w:p>
      <w:pPr>
        <w:sectPr>
          <w:pgSz w:w="11880" w:h="15480" w:orient="portrait"/>
          <w:cols w:equalWidth="0" w:num="1">
            <w:col w:w="11040"/>
          </w:cols>
          <w:pgMar w:left="400" w:top="763" w:right="44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1040"/>
          </w:cols>
          <w:pgMar w:left="400" w:top="763" w:right="440" w:bottom="0" w:gutter="0" w:footer="0" w:header="0"/>
          <w:type w:val="continuous"/>
        </w:sectPr>
      </w:pPr>
    </w:p>
    <w:bookmarkStart w:id="157" w:name="page158"/>
    <w:bookmarkEnd w:id="157"/>
    <w:p>
      <w:pPr>
        <w:spacing w:after="0" w:line="273" w:lineRule="auto"/>
        <w:rPr>
          <w:sz w:val="20"/>
          <w:szCs w:val="20"/>
          <w:color w:val="auto"/>
        </w:rPr>
      </w:pPr>
      <w:r>
        <w:rPr>
          <w:rFonts w:ascii="Arial" w:cs="Arial" w:eastAsia="Arial" w:hAnsi="Arial"/>
          <w:sz w:val="19"/>
          <w:szCs w:val="19"/>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4" w:lineRule="exact"/>
        <w:rPr>
          <w:sz w:val="20"/>
          <w:szCs w:val="20"/>
          <w:color w:val="auto"/>
        </w:rPr>
      </w:pPr>
    </w:p>
    <w:p>
      <w:pPr>
        <w:ind w:firstLine="346"/>
        <w:spacing w:after="0" w:line="288" w:lineRule="auto"/>
        <w:rPr>
          <w:sz w:val="20"/>
          <w:szCs w:val="20"/>
          <w:color w:val="auto"/>
        </w:rPr>
      </w:pPr>
      <w:r>
        <w:rPr>
          <w:rFonts w:ascii="Arial" w:cs="Arial" w:eastAsia="Arial" w:hAnsi="Arial"/>
          <w:sz w:val="17"/>
          <w:szCs w:val="17"/>
          <w:color w:val="auto"/>
        </w:rPr>
        <w:t>Our success, including our ability to continue production of the Lucid Air and ramp up of the Lucid Gravity,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78" w:lineRule="exact"/>
        <w:rPr>
          <w:sz w:val="20"/>
          <w:szCs w:val="20"/>
          <w:color w:val="auto"/>
        </w:rPr>
      </w:pPr>
    </w:p>
    <w:p>
      <w:pPr>
        <w:ind w:right="160" w:firstLine="346"/>
        <w:spacing w:after="0" w:line="265" w:lineRule="auto"/>
        <w:rPr>
          <w:sz w:val="20"/>
          <w:szCs w:val="20"/>
          <w:color w:val="auto"/>
        </w:rPr>
      </w:pPr>
      <w:r>
        <w:rPr>
          <w:rFonts w:ascii="Arial" w:cs="Arial" w:eastAsia="Arial" w:hAnsi="Arial"/>
          <w:sz w:val="19"/>
          <w:szCs w:val="19"/>
          <w:color w:val="auto"/>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94" w:lineRule="exact"/>
        <w:rPr>
          <w:sz w:val="20"/>
          <w:szCs w:val="20"/>
          <w:color w:val="auto"/>
        </w:rPr>
      </w:pPr>
    </w:p>
    <w:p>
      <w:pPr>
        <w:ind w:right="140" w:firstLine="346"/>
        <w:spacing w:after="0" w:line="275" w:lineRule="auto"/>
        <w:rPr>
          <w:sz w:val="20"/>
          <w:szCs w:val="20"/>
          <w:color w:val="auto"/>
        </w:rPr>
      </w:pPr>
      <w:r>
        <w:rPr>
          <w:rFonts w:ascii="Arial" w:cs="Arial" w:eastAsia="Arial" w:hAnsi="Arial"/>
          <w:sz w:val="18"/>
          <w:szCs w:val="18"/>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84" w:lineRule="exact"/>
        <w:rPr>
          <w:sz w:val="20"/>
          <w:szCs w:val="20"/>
          <w:color w:val="auto"/>
        </w:rPr>
      </w:pPr>
    </w:p>
    <w:p>
      <w:pPr>
        <w:ind w:right="100" w:firstLine="346"/>
        <w:spacing w:after="0" w:line="262" w:lineRule="auto"/>
        <w:rPr>
          <w:sz w:val="20"/>
          <w:szCs w:val="20"/>
          <w:color w:val="auto"/>
        </w:rPr>
      </w:pPr>
      <w:r>
        <w:rPr>
          <w:rFonts w:ascii="Arial" w:cs="Arial" w:eastAsia="Arial" w:hAnsi="Arial"/>
          <w:sz w:val="18"/>
          <w:szCs w:val="18"/>
          <w:color w:val="auto"/>
        </w:rPr>
        <w:t>We have been affected by ongoing, industry-wide challenges in logistics and supply chains, such as increased supplier lead times.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quality targets and development timelines as well as due to design changes and model updates have resulted in cost increases from our suppliers.</w:t>
      </w:r>
    </w:p>
    <w:p>
      <w:pPr>
        <w:spacing w:after="0" w:line="177" w:lineRule="exact"/>
        <w:rPr>
          <w:sz w:val="20"/>
          <w:szCs w:val="20"/>
          <w:color w:val="auto"/>
        </w:rPr>
      </w:pPr>
    </w:p>
    <w:p>
      <w:pPr>
        <w:ind w:firstLine="346"/>
        <w:spacing w:after="0" w:line="255" w:lineRule="auto"/>
        <w:rPr>
          <w:sz w:val="20"/>
          <w:szCs w:val="20"/>
          <w:color w:val="auto"/>
        </w:rPr>
      </w:pPr>
      <w:r>
        <w:rPr>
          <w:rFonts w:ascii="Arial" w:cs="Arial" w:eastAsia="Arial" w:hAnsi="Arial"/>
          <w:sz w:val="18"/>
          <w:szCs w:val="18"/>
          <w:color w:val="auto"/>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1060"/>
          </w:cols>
          <w:pgMar w:left="400" w:top="755" w:right="420" w:bottom="0" w:gutter="0" w:footer="0" w:header="0"/>
          <w:type w:val="continuous"/>
        </w:sectPr>
      </w:pPr>
    </w:p>
    <w:bookmarkStart w:id="158" w:name="page159"/>
    <w:bookmarkEnd w:id="158"/>
    <w:p>
      <w:pPr>
        <w:ind w:firstLine="346"/>
        <w:spacing w:after="0" w:line="278" w:lineRule="auto"/>
        <w:rPr>
          <w:sz w:val="20"/>
          <w:szCs w:val="20"/>
          <w:color w:val="auto"/>
        </w:rPr>
      </w:pPr>
      <w:r>
        <w:rPr>
          <w:rFonts w:ascii="Arial" w:cs="Arial" w:eastAsia="Arial" w:hAnsi="Arial"/>
          <w:sz w:val="17"/>
          <w:szCs w:val="17"/>
          <w:color w:val="auto"/>
        </w:rPr>
        <w:t>In addition, we have experienced, and in the future could continue to experience, delays if our suppliers do not meet agreed-upon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70" w:lineRule="exact"/>
        <w:rPr>
          <w:sz w:val="20"/>
          <w:szCs w:val="20"/>
          <w:color w:val="auto"/>
        </w:rPr>
      </w:pPr>
    </w:p>
    <w:p>
      <w:pPr>
        <w:ind w:right="40" w:firstLine="346"/>
        <w:spacing w:after="0" w:line="272"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82" w:lineRule="exact"/>
        <w:rPr>
          <w:sz w:val="20"/>
          <w:szCs w:val="20"/>
          <w:color w:val="auto"/>
        </w:rPr>
      </w:pPr>
    </w:p>
    <w:p>
      <w:pPr>
        <w:ind w:right="60" w:firstLine="346"/>
        <w:spacing w:after="0" w:line="273" w:lineRule="auto"/>
        <w:rPr>
          <w:sz w:val="20"/>
          <w:szCs w:val="20"/>
          <w:color w:val="auto"/>
        </w:rPr>
      </w:pPr>
      <w:r>
        <w:rPr>
          <w:rFonts w:ascii="Arial" w:cs="Arial" w:eastAsia="Arial" w:hAnsi="Arial"/>
          <w:sz w:val="18"/>
          <w:szCs w:val="18"/>
          <w:color w:val="auto"/>
        </w:rPr>
        <w:t>Furthermore, unexpected changes in business conditions, materials pricing, labor issues, wars, global conflicts or other geopolitical events, governmental changes, tariffs, natural disasters, health epidemics, and other factors beyond our and our suppliers’ control could also affect these suppliers’ ability to deliver components to us on a timely basis. For example, some of the shipping routes in the Red Sea have been affected by the conflict in the Middle East resulting in delays in delivery of components and an increase in shipping costs globally. Additionally, governmental and policy changes, such as the 2025 presidential transition in the United States, may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spacing w:after="0" w:line="186" w:lineRule="exact"/>
        <w:rPr>
          <w:sz w:val="20"/>
          <w:szCs w:val="20"/>
          <w:color w:val="auto"/>
        </w:rPr>
      </w:pPr>
    </w:p>
    <w:p>
      <w:pPr>
        <w:ind w:right="40" w:firstLine="346"/>
        <w:spacing w:after="0" w:line="292" w:lineRule="auto"/>
        <w:rPr>
          <w:sz w:val="20"/>
          <w:szCs w:val="20"/>
          <w:color w:val="auto"/>
        </w:rPr>
      </w:pPr>
      <w:r>
        <w:rPr>
          <w:rFonts w:ascii="Arial" w:cs="Arial" w:eastAsia="Arial" w:hAnsi="Arial"/>
          <w:sz w:val="17"/>
          <w:szCs w:val="17"/>
          <w:color w:val="auto"/>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costs, changes of supply or shortage of materials, in particular for lithium-ion battery cells, could harm our business.</w:t>
      </w:r>
    </w:p>
    <w:p>
      <w:pPr>
        <w:spacing w:after="0" w:line="262" w:lineRule="exact"/>
        <w:rPr>
          <w:sz w:val="20"/>
          <w:szCs w:val="20"/>
          <w:color w:val="auto"/>
        </w:rPr>
      </w:pPr>
    </w:p>
    <w:p>
      <w:pPr>
        <w:ind w:right="60" w:firstLine="346"/>
        <w:spacing w:after="0" w:line="273" w:lineRule="auto"/>
        <w:rPr>
          <w:sz w:val="20"/>
          <w:szCs w:val="20"/>
          <w:color w:val="auto"/>
        </w:rPr>
      </w:pPr>
      <w:r>
        <w:rPr>
          <w:rFonts w:ascii="Arial" w:cs="Arial" w:eastAsia="Arial" w:hAnsi="Arial"/>
          <w:sz w:val="18"/>
          <w:szCs w:val="18"/>
          <w:color w:val="auto"/>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66" w:lineRule="exact"/>
        <w:rPr>
          <w:sz w:val="20"/>
          <w:szCs w:val="20"/>
          <w:color w:val="auto"/>
        </w:rPr>
      </w:pPr>
    </w:p>
    <w:p>
      <w:pPr>
        <w:ind w:left="700" w:hanging="347"/>
        <w:spacing w:after="0"/>
        <w:tabs>
          <w:tab w:leader="none" w:pos="7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 change in the cost, or changes in the available supply, of materials, such as cobalt, used in lithium-ion battery cells;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disruption in the supply of lithium-ion battery cells due to quality issues or recalls by manufacturers;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our ability to manage our supply and inventory of lithium-ion battery cells; and</w:t>
      </w:r>
    </w:p>
    <w:p>
      <w:pPr>
        <w:sectPr>
          <w:pgSz w:w="11880" w:h="15480" w:orient="portrait"/>
          <w:cols w:equalWidth="0" w:num="1">
            <w:col w:w="11080"/>
          </w:cols>
          <w:pgMar w:left="400" w:top="763" w:right="400" w:bottom="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1080"/>
          </w:cols>
          <w:pgMar w:left="400" w:top="763" w:right="400" w:bottom="0" w:gutter="0" w:footer="0" w:header="0"/>
          <w:type w:val="continuous"/>
        </w:sectPr>
      </w:pPr>
    </w:p>
    <w:bookmarkStart w:id="159" w:name="page160"/>
    <w:bookmarkEnd w:id="159"/>
    <w:p>
      <w:pPr>
        <w:ind w:left="700" w:right="80" w:hanging="347"/>
        <w:spacing w:after="0" w:line="289" w:lineRule="auto"/>
        <w:tabs>
          <w:tab w:leader="none" w:pos="7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fluctuations in the value of any foreign currencies, in which lithium-ion battery cells and related raw material purchases are or may be denominated against the U.S. dollar.</w:t>
      </w:r>
    </w:p>
    <w:p>
      <w:pPr>
        <w:spacing w:after="0" w:line="165" w:lineRule="exact"/>
        <w:rPr>
          <w:sz w:val="20"/>
          <w:szCs w:val="20"/>
          <w:color w:val="auto"/>
        </w:rPr>
      </w:pPr>
    </w:p>
    <w:p>
      <w:pPr>
        <w:ind w:right="40" w:firstLine="346"/>
        <w:spacing w:after="0" w:line="274" w:lineRule="auto"/>
        <w:rPr>
          <w:sz w:val="20"/>
          <w:szCs w:val="20"/>
          <w:color w:val="auto"/>
        </w:rPr>
      </w:pPr>
      <w:r>
        <w:rPr>
          <w:rFonts w:ascii="Arial" w:cs="Arial" w:eastAsia="Arial" w:hAnsi="Arial"/>
          <w:sz w:val="18"/>
          <w:szCs w:val="18"/>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we have entered into amended agreements with Panasonic Energy Co., Ltd. and certain of its affiliates for the supply of lithium-ion battery cells, pursuant to which we have made certain non-cancelable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spacing w:after="0" w:line="184" w:lineRule="exact"/>
        <w:rPr>
          <w:sz w:val="20"/>
          <w:szCs w:val="20"/>
          <w:color w:val="auto"/>
        </w:rPr>
      </w:pPr>
    </w:p>
    <w:p>
      <w:pPr>
        <w:ind w:firstLine="346"/>
        <w:spacing w:after="0" w:line="289" w:lineRule="auto"/>
        <w:rPr>
          <w:sz w:val="20"/>
          <w:szCs w:val="20"/>
          <w:color w:val="auto"/>
        </w:rPr>
      </w:pPr>
      <w:r>
        <w:rPr>
          <w:rFonts w:ascii="Arial" w:cs="Arial" w:eastAsia="Arial" w:hAnsi="Arial"/>
          <w:sz w:val="17"/>
          <w:szCs w:val="17"/>
          <w:color w:val="auto"/>
        </w:rPr>
        <w:t>Furthermore, we have experienced in the past and may experience another semiconductor supply shortage, and such shortage could in the future impact us or our suppliers, which could delay or reduce planned production levels of our current and future vehicles and have an adverse effect on our business, prospects and results of operations. In addition, foreign currency fluctuations, tariffs or shortages in petroleum or natural gas and other economic or political conditions have contributed to and may continue to result in significant increases in freight charges and raw material costs. These risks could be further magnified by geographical developments, global conflicts or other geopolitical events, including the conflict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69"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64" w:lineRule="exact"/>
        <w:rPr>
          <w:sz w:val="20"/>
          <w:szCs w:val="20"/>
          <w:color w:val="auto"/>
        </w:rPr>
      </w:pPr>
    </w:p>
    <w:p>
      <w:pPr>
        <w:ind w:right="140" w:firstLine="346"/>
        <w:spacing w:after="0" w:line="265" w:lineRule="auto"/>
        <w:rPr>
          <w:sz w:val="20"/>
          <w:szCs w:val="20"/>
          <w:color w:val="auto"/>
        </w:rPr>
      </w:pPr>
      <w:r>
        <w:rPr>
          <w:rFonts w:ascii="Arial" w:cs="Arial" w:eastAsia="Arial" w:hAnsi="Arial"/>
          <w:sz w:val="19"/>
          <w:szCs w:val="19"/>
          <w:color w:val="auto"/>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88" w:lineRule="exact"/>
        <w:rPr>
          <w:sz w:val="20"/>
          <w:szCs w:val="20"/>
          <w:color w:val="auto"/>
        </w:rPr>
      </w:pPr>
    </w:p>
    <w:p>
      <w:pPr>
        <w:ind w:right="260" w:firstLine="346"/>
        <w:spacing w:after="0" w:line="351" w:lineRule="auto"/>
        <w:rPr>
          <w:sz w:val="20"/>
          <w:szCs w:val="20"/>
          <w:color w:val="auto"/>
        </w:rPr>
      </w:pPr>
      <w:r>
        <w:rPr>
          <w:rFonts w:ascii="Arial" w:cs="Arial" w:eastAsia="Arial" w:hAnsi="Arial"/>
          <w:sz w:val="17"/>
          <w:szCs w:val="17"/>
          <w:color w:val="auto"/>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5" w:lineRule="exact"/>
        <w:rPr>
          <w:sz w:val="20"/>
          <w:szCs w:val="20"/>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delayed production and delivery of our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delayed market acceptance of our vehicles;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loss of customers or inability to attract new customers;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diversion of engineering or other resources for remedying the defect or error;</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damage to our brand or reputation;</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increased service and warranty costs;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legal action by customers or third parties, including product liability claims; 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penalties imposed by regulatory authorities.</w:t>
      </w:r>
    </w:p>
    <w:p>
      <w:pPr>
        <w:spacing w:after="0" w:line="243" w:lineRule="exact"/>
        <w:rPr>
          <w:sz w:val="20"/>
          <w:szCs w:val="20"/>
          <w:color w:val="auto"/>
        </w:rPr>
      </w:pPr>
    </w:p>
    <w:p>
      <w:pPr>
        <w:ind w:right="20" w:firstLine="346"/>
        <w:spacing w:after="0" w:line="280"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1060"/>
          </w:cols>
          <w:pgMar w:left="400" w:top="763" w:right="420" w:bottom="0" w:gutter="0" w:footer="0" w:header="0"/>
          <w:type w:val="continuous"/>
        </w:sectPr>
      </w:pPr>
    </w:p>
    <w:bookmarkStart w:id="160" w:name="page161"/>
    <w:bookmarkEnd w:id="160"/>
    <w:p>
      <w:pPr>
        <w:ind w:right="400"/>
        <w:spacing w:after="0" w:line="294" w:lineRule="auto"/>
        <w:rPr>
          <w:sz w:val="20"/>
          <w:szCs w:val="20"/>
          <w:color w:val="auto"/>
        </w:rPr>
      </w:pPr>
      <w:r>
        <w:rPr>
          <w:rFonts w:ascii="Arial" w:cs="Arial" w:eastAsia="Arial" w:hAnsi="Arial"/>
          <w:sz w:val="19"/>
          <w:szCs w:val="19"/>
          <w:b w:val="1"/>
          <w:bCs w:val="1"/>
          <w:i w:val="1"/>
          <w:iCs w:val="1"/>
          <w:color w:val="auto"/>
        </w:rPr>
        <w:t>If we fail to successfully construct or tool our manufacturing facilities or if our manufacturing facilities become inoperable, we will be unable to produce our vehicles and our business will be harmed.</w:t>
      </w:r>
    </w:p>
    <w:p>
      <w:pPr>
        <w:spacing w:after="0" w:line="164" w:lineRule="exact"/>
        <w:rPr>
          <w:sz w:val="20"/>
          <w:szCs w:val="20"/>
          <w:color w:val="auto"/>
        </w:rPr>
      </w:pPr>
    </w:p>
    <w:p>
      <w:pPr>
        <w:ind w:firstLine="346"/>
        <w:spacing w:after="0" w:line="271" w:lineRule="auto"/>
        <w:rPr>
          <w:sz w:val="20"/>
          <w:szCs w:val="20"/>
          <w:color w:val="auto"/>
        </w:rPr>
      </w:pPr>
      <w:r>
        <w:rPr>
          <w:rFonts w:ascii="Arial" w:cs="Arial" w:eastAsia="Arial" w:hAnsi="Arial"/>
          <w:sz w:val="18"/>
          <w:szCs w:val="18"/>
          <w:color w:val="auto"/>
        </w:rPr>
        <w:t>While we have completed the initial and second phases of construction at AMP-1 and the SKD portion of AMP-2, tooling our facilities for production of our vehicles and our future expansion plans are complicated and present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and ramp up production of the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spacing w:after="0" w:line="183" w:lineRule="exact"/>
        <w:rPr>
          <w:sz w:val="20"/>
          <w:szCs w:val="20"/>
          <w:color w:val="auto"/>
        </w:rPr>
      </w:pPr>
    </w:p>
    <w:p>
      <w:pPr>
        <w:ind w:right="40" w:firstLine="346"/>
        <w:spacing w:after="0" w:line="289"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spacing w:after="0" w:line="177" w:lineRule="exact"/>
        <w:rPr>
          <w:sz w:val="20"/>
          <w:szCs w:val="20"/>
          <w:color w:val="auto"/>
        </w:rPr>
      </w:pPr>
    </w:p>
    <w:p>
      <w:pPr>
        <w:ind w:right="100" w:firstLine="346"/>
        <w:spacing w:after="0" w:line="292" w:lineRule="auto"/>
        <w:rPr>
          <w:sz w:val="20"/>
          <w:szCs w:val="20"/>
          <w:color w:val="auto"/>
        </w:rPr>
      </w:pPr>
      <w:r>
        <w:rPr>
          <w:rFonts w:ascii="Arial" w:cs="Arial" w:eastAsia="Arial" w:hAnsi="Arial"/>
          <w:sz w:val="17"/>
          <w:szCs w:val="17"/>
          <w:color w:val="auto"/>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spacing w:after="0" w:line="164" w:lineRule="exact"/>
        <w:rPr>
          <w:sz w:val="20"/>
          <w:szCs w:val="20"/>
          <w:color w:val="auto"/>
        </w:rPr>
      </w:pPr>
    </w:p>
    <w:p>
      <w:pPr>
        <w:ind w:right="740"/>
        <w:spacing w:after="0" w:line="294" w:lineRule="auto"/>
        <w:rPr>
          <w:sz w:val="20"/>
          <w:szCs w:val="20"/>
          <w:color w:val="auto"/>
        </w:rPr>
      </w:pPr>
      <w:r>
        <w:rPr>
          <w:rFonts w:ascii="Arial" w:cs="Arial" w:eastAsia="Arial" w:hAnsi="Arial"/>
          <w:sz w:val="19"/>
          <w:szCs w:val="19"/>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64" w:lineRule="exact"/>
        <w:rPr>
          <w:sz w:val="20"/>
          <w:szCs w:val="20"/>
          <w:color w:val="auto"/>
        </w:rPr>
      </w:pPr>
    </w:p>
    <w:p>
      <w:pPr>
        <w:ind w:right="20" w:firstLine="346"/>
        <w:spacing w:after="0" w:line="265" w:lineRule="auto"/>
        <w:rPr>
          <w:sz w:val="20"/>
          <w:szCs w:val="20"/>
          <w:color w:val="auto"/>
        </w:rPr>
      </w:pPr>
      <w:r>
        <w:rPr>
          <w:rFonts w:ascii="Arial" w:cs="Arial" w:eastAsia="Arial" w:hAnsi="Arial"/>
          <w:sz w:val="19"/>
          <w:szCs w:val="19"/>
          <w:color w:val="auto"/>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8" w:lineRule="exact"/>
        <w:rPr>
          <w:sz w:val="20"/>
          <w:szCs w:val="20"/>
          <w:color w:val="auto"/>
        </w:rPr>
      </w:pPr>
    </w:p>
    <w:p>
      <w:pPr>
        <w:ind w:right="80" w:firstLine="346"/>
        <w:spacing w:after="0" w:line="262" w:lineRule="auto"/>
        <w:rPr>
          <w:sz w:val="20"/>
          <w:szCs w:val="20"/>
          <w:color w:val="auto"/>
        </w:rPr>
      </w:pPr>
      <w:r>
        <w:rPr>
          <w:rFonts w:ascii="Arial" w:cs="Arial" w:eastAsia="Arial" w:hAnsi="Arial"/>
          <w:sz w:val="19"/>
          <w:szCs w:val="19"/>
          <w:color w:val="auto"/>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sectPr>
          <w:pgSz w:w="11880" w:h="15480" w:orient="portrait"/>
          <w:cols w:equalWidth="0" w:num="1">
            <w:col w:w="11040"/>
          </w:cols>
          <w:pgMar w:left="400" w:top="755"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1040"/>
          </w:cols>
          <w:pgMar w:left="400" w:top="755" w:right="440" w:bottom="0" w:gutter="0" w:footer="0" w:header="0"/>
          <w:type w:val="continuous"/>
        </w:sectPr>
      </w:pPr>
    </w:p>
    <w:bookmarkStart w:id="161" w:name="page162"/>
    <w:bookmarkEnd w:id="161"/>
    <w:p>
      <w:pPr>
        <w:ind w:firstLine="346"/>
        <w:spacing w:after="0" w:line="288" w:lineRule="auto"/>
        <w:rPr>
          <w:sz w:val="20"/>
          <w:szCs w:val="20"/>
          <w:color w:val="auto"/>
        </w:rPr>
      </w:pPr>
      <w:r>
        <w:rPr>
          <w:rFonts w:ascii="Arial" w:cs="Arial" w:eastAsia="Arial" w:hAnsi="Arial"/>
          <w:sz w:val="17"/>
          <w:szCs w:val="17"/>
          <w:color w:val="auto"/>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84" w:lineRule="exact"/>
        <w:rPr>
          <w:sz w:val="20"/>
          <w:szCs w:val="20"/>
          <w:color w:val="auto"/>
        </w:rPr>
      </w:pPr>
    </w:p>
    <w:p>
      <w:pPr>
        <w:ind w:right="120" w:firstLine="346"/>
        <w:spacing w:after="0" w:line="277" w:lineRule="auto"/>
        <w:rPr>
          <w:sz w:val="20"/>
          <w:szCs w:val="20"/>
          <w:color w:val="auto"/>
        </w:rPr>
      </w:pPr>
      <w:r>
        <w:rPr>
          <w:rFonts w:ascii="Arial" w:cs="Arial" w:eastAsia="Arial" w:hAnsi="Arial"/>
          <w:sz w:val="18"/>
          <w:szCs w:val="18"/>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limited experience in high volume manufacture of our vehicles.</w:t>
      </w:r>
    </w:p>
    <w:p>
      <w:pPr>
        <w:spacing w:after="0" w:line="250" w:lineRule="exact"/>
        <w:rPr>
          <w:sz w:val="20"/>
          <w:szCs w:val="20"/>
          <w:color w:val="auto"/>
        </w:rPr>
      </w:pPr>
    </w:p>
    <w:p>
      <w:pPr>
        <w:ind w:firstLine="346"/>
        <w:spacing w:after="0" w:line="270" w:lineRule="auto"/>
        <w:rPr>
          <w:sz w:val="20"/>
          <w:szCs w:val="20"/>
          <w:color w:val="auto"/>
        </w:rPr>
      </w:pPr>
      <w:r>
        <w:rPr>
          <w:rFonts w:ascii="Arial" w:cs="Arial" w:eastAsia="Arial" w:hAnsi="Arial"/>
          <w:sz w:val="18"/>
          <w:szCs w:val="18"/>
          <w:color w:val="auto"/>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ramp up production of the Lucid 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our vehicles fail to perform as expected, our ability to develop, market and sell or lease our products could be harmed.</w:t>
      </w:r>
    </w:p>
    <w:p>
      <w:pPr>
        <w:spacing w:after="0" w:line="250" w:lineRule="exact"/>
        <w:rPr>
          <w:sz w:val="20"/>
          <w:szCs w:val="20"/>
          <w:color w:val="auto"/>
        </w:rPr>
      </w:pPr>
    </w:p>
    <w:p>
      <w:pPr>
        <w:ind w:right="20" w:firstLine="346"/>
        <w:spacing w:after="0" w:line="273" w:lineRule="auto"/>
        <w:rPr>
          <w:sz w:val="20"/>
          <w:szCs w:val="20"/>
          <w:color w:val="auto"/>
        </w:rPr>
      </w:pPr>
      <w:r>
        <w:rPr>
          <w:rFonts w:ascii="Arial" w:cs="Arial" w:eastAsia="Arial" w:hAnsi="Arial"/>
          <w:sz w:val="18"/>
          <w:szCs w:val="18"/>
          <w:color w:val="auto"/>
        </w:rPr>
        <w:t>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when first introduced contain defects and errors. If our vehicles contain defects in design 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1060"/>
          </w:cols>
          <w:pgMar w:left="400" w:top="763" w:right="420" w:bottom="0" w:gutter="0" w:footer="0" w:header="0"/>
          <w:type w:val="continuous"/>
        </w:sectPr>
      </w:pPr>
    </w:p>
    <w:bookmarkStart w:id="162" w:name="page163"/>
    <w:bookmarkEnd w:id="162"/>
    <w:p>
      <w:pPr>
        <w:ind w:firstLine="346"/>
        <w:spacing w:after="0" w:line="273" w:lineRule="auto"/>
        <w:rPr>
          <w:sz w:val="20"/>
          <w:szCs w:val="20"/>
          <w:color w:val="auto"/>
        </w:rPr>
      </w:pPr>
      <w:r>
        <w:rPr>
          <w:rFonts w:ascii="Arial" w:cs="Arial" w:eastAsia="Arial" w:hAnsi="Arial"/>
          <w:sz w:val="18"/>
          <w:szCs w:val="18"/>
          <w:color w:val="auto"/>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Any such defects or noncompliance with legal requirements could also result in safety recalls. See “— Risks Related to Litigation and Regulation — </w:t>
      </w:r>
      <w:r>
        <w:rPr>
          <w:rFonts w:ascii="Arial" w:cs="Arial" w:eastAsia="Arial" w:hAnsi="Arial"/>
          <w:sz w:val="18"/>
          <w:szCs w:val="18"/>
          <w:b w:val="1"/>
          <w:bCs w:val="1"/>
          <w:i w:val="1"/>
          <w:iCs w:val="1"/>
          <w:color w:val="auto"/>
        </w:rPr>
        <w:t>We have in the past and may choose in the future, or we may be compelled, to undertake product recalls or take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other actions, which could adversely affect our business, prospects, results of operations, reputation and financial condition.” </w:t>
      </w:r>
      <w:r>
        <w:rPr>
          <w:rFonts w:ascii="Arial" w:cs="Arial" w:eastAsia="Arial" w:hAnsi="Arial"/>
          <w:sz w:val="18"/>
          <w:szCs w:val="18"/>
          <w:color w:val="auto"/>
        </w:rPr>
        <w:t>As a new entrant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86" w:lineRule="exact"/>
        <w:rPr>
          <w:sz w:val="20"/>
          <w:szCs w:val="20"/>
          <w:color w:val="auto"/>
        </w:rPr>
      </w:pPr>
    </w:p>
    <w:p>
      <w:pPr>
        <w:ind w:right="40" w:firstLine="346"/>
        <w:spacing w:after="0" w:line="290" w:lineRule="auto"/>
        <w:rPr>
          <w:sz w:val="20"/>
          <w:szCs w:val="20"/>
          <w:color w:val="auto"/>
        </w:rPr>
      </w:pPr>
      <w:r>
        <w:rPr>
          <w:rFonts w:ascii="Arial" w:cs="Arial" w:eastAsia="Arial" w:hAnsi="Arial"/>
          <w:sz w:val="17"/>
          <w:szCs w:val="17"/>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ind w:right="120"/>
        <w:spacing w:after="0" w:line="357" w:lineRule="auto"/>
        <w:rPr>
          <w:sz w:val="20"/>
          <w:szCs w:val="20"/>
          <w:color w:val="auto"/>
        </w:rPr>
      </w:pPr>
      <w:r>
        <w:rPr>
          <w:rFonts w:ascii="Arial" w:cs="Arial" w:eastAsia="Arial" w:hAnsi="Arial"/>
          <w:sz w:val="17"/>
          <w:szCs w:val="17"/>
          <w:b w:val="1"/>
          <w:bCs w:val="1"/>
          <w:i w:val="1"/>
          <w:iCs w:val="1"/>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18" w:lineRule="exact"/>
        <w:rPr>
          <w:sz w:val="20"/>
          <w:szCs w:val="20"/>
          <w:color w:val="auto"/>
        </w:rPr>
      </w:pPr>
    </w:p>
    <w:p>
      <w:pPr>
        <w:ind w:right="60" w:firstLine="346"/>
        <w:spacing w:after="0" w:line="288" w:lineRule="auto"/>
        <w:rPr>
          <w:sz w:val="20"/>
          <w:szCs w:val="20"/>
          <w:color w:val="auto"/>
        </w:rPr>
      </w:pPr>
      <w:r>
        <w:rPr>
          <w:rFonts w:ascii="Arial" w:cs="Arial" w:eastAsia="Arial" w:hAnsi="Arial"/>
          <w:sz w:val="17"/>
          <w:szCs w:val="17"/>
          <w:color w:val="auto"/>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74" w:lineRule="exact"/>
        <w:rPr>
          <w:sz w:val="20"/>
          <w:szCs w:val="20"/>
          <w:color w:val="auto"/>
        </w:rPr>
      </w:pPr>
    </w:p>
    <w:p>
      <w:pPr>
        <w:ind w:right="100" w:firstLine="346"/>
        <w:spacing w:after="0" w:line="262" w:lineRule="auto"/>
        <w:rPr>
          <w:sz w:val="20"/>
          <w:szCs w:val="20"/>
          <w:color w:val="auto"/>
        </w:rPr>
      </w:pPr>
      <w:r>
        <w:rPr>
          <w:rFonts w:ascii="Arial" w:cs="Arial" w:eastAsia="Arial" w:hAnsi="Arial"/>
          <w:sz w:val="19"/>
          <w:szCs w:val="19"/>
          <w:color w:val="auto"/>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91" w:lineRule="exact"/>
        <w:rPr>
          <w:sz w:val="20"/>
          <w:szCs w:val="20"/>
          <w:color w:val="auto"/>
        </w:rPr>
      </w:pPr>
    </w:p>
    <w:p>
      <w:pPr>
        <w:ind w:firstLine="346"/>
        <w:spacing w:after="0" w:line="273" w:lineRule="auto"/>
        <w:rPr>
          <w:sz w:val="20"/>
          <w:szCs w:val="20"/>
          <w:color w:val="auto"/>
        </w:rPr>
      </w:pPr>
      <w:r>
        <w:rPr>
          <w:rFonts w:ascii="Arial" w:cs="Arial" w:eastAsia="Arial" w:hAnsi="Arial"/>
          <w:sz w:val="18"/>
          <w:szCs w:val="18"/>
          <w:color w:val="auto"/>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1060"/>
          </w:cols>
          <w:pgMar w:left="400" w:top="763" w:right="420" w:bottom="0" w:gutter="0" w:footer="0" w:header="0"/>
          <w:type w:val="continuous"/>
        </w:sectPr>
      </w:pPr>
    </w:p>
    <w:bookmarkStart w:id="163" w:name="page164"/>
    <w:bookmarkEnd w:id="163"/>
    <w:p>
      <w:pPr>
        <w:ind w:right="520"/>
        <w:spacing w:after="0" w:line="395" w:lineRule="auto"/>
        <w:rPr>
          <w:sz w:val="20"/>
          <w:szCs w:val="20"/>
          <w:color w:val="auto"/>
        </w:rPr>
      </w:pPr>
      <w:r>
        <w:rPr>
          <w:rFonts w:ascii="Arial" w:cs="Arial" w:eastAsia="Arial" w:hAnsi="Arial"/>
          <w:sz w:val="16"/>
          <w:szCs w:val="16"/>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94" w:lineRule="exact"/>
        <w:rPr>
          <w:sz w:val="20"/>
          <w:szCs w:val="20"/>
          <w:color w:val="auto"/>
        </w:rPr>
      </w:pPr>
    </w:p>
    <w:p>
      <w:pPr>
        <w:ind w:right="40" w:firstLine="346"/>
        <w:spacing w:after="0" w:line="289" w:lineRule="auto"/>
        <w:rPr>
          <w:sz w:val="20"/>
          <w:szCs w:val="20"/>
          <w:color w:val="auto"/>
        </w:rPr>
      </w:pPr>
      <w:r>
        <w:rPr>
          <w:rFonts w:ascii="Arial" w:cs="Arial" w:eastAsia="Arial" w:hAnsi="Arial"/>
          <w:sz w:val="17"/>
          <w:szCs w:val="17"/>
          <w:color w:val="auto"/>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spacing w:after="0" w:line="165"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80" w:firstLine="346"/>
        <w:spacing w:after="0" w:line="290"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b w:val="1"/>
          <w:bCs w:val="1"/>
          <w:i w:val="1"/>
          <w:iCs w:val="1"/>
          <w:color w:val="auto"/>
        </w:rPr>
        <w:t>Our facilities or operations could be adversely affected by events outside of our control, such as natural disasters, wars, global conflicts or other geopolitical events, health epidemics or pandemics, or security incidents.</w:t>
      </w:r>
    </w:p>
    <w:p>
      <w:pPr>
        <w:spacing w:after="0" w:line="1" w:lineRule="exact"/>
        <w:rPr>
          <w:sz w:val="20"/>
          <w:szCs w:val="20"/>
          <w:color w:val="auto"/>
        </w:rPr>
      </w:pPr>
    </w:p>
    <w:p>
      <w:pPr>
        <w:ind w:firstLine="346"/>
        <w:spacing w:after="0" w:line="282" w:lineRule="auto"/>
        <w:rPr>
          <w:sz w:val="20"/>
          <w:szCs w:val="20"/>
          <w:color w:val="auto"/>
        </w:rPr>
      </w:pPr>
      <w:r>
        <w:rPr>
          <w:rFonts w:ascii="Arial" w:cs="Arial" w:eastAsia="Arial" w:hAnsi="Arial"/>
          <w:sz w:val="17"/>
          <w:szCs w:val="17"/>
          <w:color w:val="auto"/>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7"/>
          <w:szCs w:val="17"/>
          <w:b w:val="1"/>
          <w:bCs w:val="1"/>
          <w:i w:val="1"/>
          <w:iCs w:val="1"/>
          <w:color w:val="auto"/>
        </w:rPr>
        <w:t>A failure to properly comply with foreign trade zone laws and regulations could increase the cost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our duties and tariffs.</w:t>
      </w:r>
      <w:r>
        <w:rPr>
          <w:rFonts w:ascii="Arial" w:cs="Arial" w:eastAsia="Arial" w:hAnsi="Arial"/>
          <w:sz w:val="17"/>
          <w:szCs w:val="17"/>
          <w:color w:val="auto"/>
        </w:rPr>
        <w:t>” In addition, global conflicts or other geopolitical events may increase the likelihood of supply chain interruptions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may impair our ability to compete in current or future markets, or otherwise subject us to potential liability. See “—Risks Related to Manufacturing and Supply Chain — </w:t>
      </w:r>
      <w:r>
        <w:rPr>
          <w:rFonts w:ascii="Arial" w:cs="Arial" w:eastAsia="Arial" w:hAnsi="Arial"/>
          <w:sz w:val="17"/>
          <w:szCs w:val="17"/>
          <w:b w:val="1"/>
          <w:bCs w:val="1"/>
          <w:i w:val="1"/>
          <w:iCs w:val="1"/>
          <w:color w:val="auto"/>
        </w:rPr>
        <w:t>if we fail to successfully tool our manufacturing facilities or if our manufacturing facilities become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inoperable, we will be unable to produce our vehicles and our business will be harmed.” </w:t>
      </w:r>
      <w:r>
        <w:rPr>
          <w:rFonts w:ascii="Arial" w:cs="Arial" w:eastAsia="Arial" w:hAnsi="Arial"/>
          <w:sz w:val="17"/>
          <w:szCs w:val="17"/>
          <w:color w:val="auto"/>
        </w:rPr>
        <w:t>and “— Risks Related to Litigation and Regulation —</w:t>
      </w:r>
    </w:p>
    <w:p>
      <w:pPr>
        <w:spacing w:after="0" w:line="10" w:lineRule="exact"/>
        <w:rPr>
          <w:sz w:val="20"/>
          <w:szCs w:val="20"/>
          <w:color w:val="auto"/>
        </w:rPr>
      </w:pPr>
    </w:p>
    <w:p>
      <w:pPr>
        <w:jc w:val="both"/>
        <w:ind w:right="40"/>
        <w:spacing w:after="0" w:line="346" w:lineRule="auto"/>
        <w:rPr>
          <w:sz w:val="20"/>
          <w:szCs w:val="20"/>
          <w:color w:val="auto"/>
        </w:rPr>
      </w:pPr>
      <w:r>
        <w:rPr>
          <w:rFonts w:ascii="Arial" w:cs="Arial" w:eastAsia="Arial" w:hAnsi="Arial"/>
          <w:sz w:val="16"/>
          <w:szCs w:val="16"/>
          <w:b w:val="1"/>
          <w:bCs w:val="1"/>
          <w:i w:val="1"/>
          <w:iCs w:val="1"/>
          <w:color w:val="auto"/>
        </w:rPr>
        <w:t>Changes in U.S. trade policy, including the imposition of tariffs or revocation of normal trade relations and the resulting consequences, could adversely affect our business, prospects, results of operations and financial condition</w:t>
      </w:r>
      <w:r>
        <w:rPr>
          <w:rFonts w:ascii="Arial" w:cs="Arial" w:eastAsia="Arial" w:hAnsi="Arial"/>
          <w:sz w:val="16"/>
          <w:szCs w:val="16"/>
          <w:color w:val="auto"/>
        </w:rPr>
        <w:t>.” We may incur significant expenses or delays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events outside of our control, which could have a material adverse impact on our business, results of operations and financial condition.</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1060"/>
          </w:cols>
          <w:pgMar w:left="400" w:top="755" w:right="420" w:bottom="0" w:gutter="0" w:footer="0" w:header="0"/>
          <w:type w:val="continuous"/>
        </w:sectPr>
      </w:pPr>
    </w:p>
    <w:bookmarkStart w:id="164" w:name="page165"/>
    <w:bookmarkEnd w:id="164"/>
    <w:p>
      <w:pPr>
        <w:spacing w:after="0"/>
        <w:rPr>
          <w:sz w:val="20"/>
          <w:szCs w:val="20"/>
          <w:color w:val="auto"/>
        </w:rPr>
      </w:pPr>
      <w:r>
        <w:rPr>
          <w:rFonts w:ascii="Arial" w:cs="Arial" w:eastAsia="Arial" w:hAnsi="Arial"/>
          <w:sz w:val="19"/>
          <w:szCs w:val="19"/>
          <w:b w:val="1"/>
          <w:bCs w:val="1"/>
          <w:i w:val="1"/>
          <w:iCs w:val="1"/>
          <w:color w:val="auto"/>
        </w:rPr>
        <w:t>Our vehicles make use of lithium-ion battery cells, which have been observed to catch fire or vent smoke and flame.</w:t>
      </w:r>
    </w:p>
    <w:p>
      <w:pPr>
        <w:spacing w:after="0" w:line="250" w:lineRule="exact"/>
        <w:rPr>
          <w:sz w:val="20"/>
          <w:szCs w:val="20"/>
          <w:color w:val="auto"/>
        </w:rPr>
      </w:pPr>
    </w:p>
    <w:p>
      <w:pPr>
        <w:ind w:right="40" w:firstLine="346"/>
        <w:spacing w:after="0" w:line="290" w:lineRule="auto"/>
        <w:rPr>
          <w:sz w:val="20"/>
          <w:szCs w:val="20"/>
          <w:color w:val="auto"/>
        </w:rPr>
      </w:pPr>
      <w:r>
        <w:rPr>
          <w:rFonts w:ascii="Arial" w:cs="Arial" w:eastAsia="Arial" w:hAnsi="Arial"/>
          <w:sz w:val="17"/>
          <w:szCs w:val="17"/>
          <w:color w:val="auto"/>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74" w:lineRule="exact"/>
        <w:rPr>
          <w:sz w:val="20"/>
          <w:szCs w:val="20"/>
          <w:color w:val="auto"/>
        </w:rPr>
      </w:pPr>
    </w:p>
    <w:p>
      <w:pPr>
        <w:ind w:right="100" w:firstLine="346"/>
        <w:spacing w:after="0" w:line="273" w:lineRule="auto"/>
        <w:rPr>
          <w:sz w:val="20"/>
          <w:szCs w:val="20"/>
          <w:color w:val="auto"/>
        </w:rPr>
      </w:pPr>
      <w:r>
        <w:rPr>
          <w:rFonts w:ascii="Arial" w:cs="Arial" w:eastAsia="Arial" w:hAnsi="Arial"/>
          <w:sz w:val="18"/>
          <w:szCs w:val="18"/>
          <w:color w:val="auto"/>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Cybersecurity and Data Privacy</w:t>
      </w:r>
    </w:p>
    <w:p>
      <w:pPr>
        <w:spacing w:after="0" w:line="241" w:lineRule="exact"/>
        <w:rPr>
          <w:sz w:val="20"/>
          <w:szCs w:val="20"/>
          <w:color w:val="auto"/>
        </w:rPr>
      </w:pPr>
    </w:p>
    <w:p>
      <w:pPr>
        <w:ind w:right="340"/>
        <w:spacing w:after="0" w:line="273" w:lineRule="auto"/>
        <w:rPr>
          <w:sz w:val="20"/>
          <w:szCs w:val="20"/>
          <w:color w:val="auto"/>
        </w:rPr>
      </w:pPr>
      <w:r>
        <w:rPr>
          <w:rFonts w:ascii="Arial" w:cs="Arial" w:eastAsia="Arial" w:hAnsi="Arial"/>
          <w:sz w:val="19"/>
          <w:szCs w:val="19"/>
          <w:b w:val="1"/>
          <w:bCs w:val="1"/>
          <w:i w:val="1"/>
          <w:iCs w:val="1"/>
          <w:color w:val="auto"/>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200" w:firstLine="346"/>
        <w:spacing w:after="0" w:line="289" w:lineRule="auto"/>
        <w:rPr>
          <w:sz w:val="20"/>
          <w:szCs w:val="20"/>
          <w:color w:val="auto"/>
        </w:rPr>
      </w:pPr>
      <w:r>
        <w:rPr>
          <w:rFonts w:ascii="Arial" w:cs="Arial" w:eastAsia="Arial" w:hAnsi="Arial"/>
          <w:sz w:val="19"/>
          <w:szCs w:val="19"/>
          <w:color w:val="auto"/>
        </w:rPr>
        <w:t>Our products contain complex information technology systems. For example, our vehicles are designed with built-in data connectivity to accept and securely install periodic remote updates to improve their functionality.</w:t>
      </w:r>
    </w:p>
    <w:p>
      <w:pPr>
        <w:spacing w:after="0" w:line="165" w:lineRule="exact"/>
        <w:rPr>
          <w:sz w:val="20"/>
          <w:szCs w:val="20"/>
          <w:color w:val="auto"/>
        </w:rPr>
      </w:pPr>
    </w:p>
    <w:p>
      <w:pPr>
        <w:ind w:firstLine="346"/>
        <w:spacing w:after="0" w:line="257" w:lineRule="auto"/>
        <w:rPr>
          <w:sz w:val="20"/>
          <w:szCs w:val="20"/>
          <w:color w:val="auto"/>
        </w:rPr>
      </w:pPr>
      <w:r>
        <w:rPr>
          <w:rFonts w:ascii="Arial" w:cs="Arial" w:eastAsia="Arial" w:hAnsi="Arial"/>
          <w:sz w:val="19"/>
          <w:szCs w:val="19"/>
          <w:color w:val="auto"/>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1060"/>
          </w:cols>
          <w:pgMar w:left="400" w:top="755" w:right="420" w:bottom="0" w:gutter="0" w:footer="0" w:header="0"/>
          <w:type w:val="continuous"/>
        </w:sectPr>
      </w:pPr>
    </w:p>
    <w:bookmarkStart w:id="165" w:name="page166"/>
    <w:bookmarkEnd w:id="165"/>
    <w:p>
      <w:pPr>
        <w:ind w:right="20" w:firstLine="346"/>
        <w:spacing w:after="0" w:line="286" w:lineRule="auto"/>
        <w:rPr>
          <w:sz w:val="20"/>
          <w:szCs w:val="20"/>
          <w:color w:val="auto"/>
        </w:rPr>
      </w:pPr>
      <w:r>
        <w:rPr>
          <w:rFonts w:ascii="Arial" w:cs="Arial" w:eastAsia="Arial" w:hAnsi="Arial"/>
          <w:sz w:val="17"/>
          <w:szCs w:val="17"/>
          <w:color w:val="auto"/>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200" w:lineRule="exact"/>
        <w:rPr>
          <w:sz w:val="20"/>
          <w:szCs w:val="20"/>
          <w:color w:val="auto"/>
        </w:rPr>
      </w:pPr>
    </w:p>
    <w:p>
      <w:pPr>
        <w:spacing w:after="0" w:line="216" w:lineRule="exact"/>
        <w:rPr>
          <w:sz w:val="20"/>
          <w:szCs w:val="20"/>
          <w:color w:val="auto"/>
        </w:rPr>
      </w:pPr>
    </w:p>
    <w:p>
      <w:pPr>
        <w:jc w:val="both"/>
        <w:ind w:right="140" w:firstLine="346"/>
        <w:spacing w:after="0" w:line="283" w:lineRule="auto"/>
        <w:rPr>
          <w:sz w:val="20"/>
          <w:szCs w:val="20"/>
          <w:color w:val="auto"/>
        </w:rPr>
      </w:pPr>
      <w:r>
        <w:rPr>
          <w:rFonts w:ascii="Arial" w:cs="Arial" w:eastAsia="Arial" w:hAnsi="Arial"/>
          <w:sz w:val="17"/>
          <w:szCs w:val="17"/>
          <w:color w:val="auto"/>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w:t>
      </w:r>
    </w:p>
    <w:p>
      <w:pPr>
        <w:spacing w:after="0" w:line="262" w:lineRule="auto"/>
        <w:rPr>
          <w:sz w:val="20"/>
          <w:szCs w:val="20"/>
          <w:color w:val="auto"/>
        </w:rPr>
      </w:pPr>
      <w:r>
        <w:rPr>
          <w:rFonts w:ascii="Arial" w:cs="Arial" w:eastAsia="Arial" w:hAnsi="Arial"/>
          <w:sz w:val="19"/>
          <w:szCs w:val="19"/>
          <w:color w:val="auto"/>
        </w:rPr>
        <w:t>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spacing w:after="0" w:line="191" w:lineRule="exact"/>
        <w:rPr>
          <w:sz w:val="20"/>
          <w:szCs w:val="20"/>
          <w:color w:val="auto"/>
        </w:rPr>
      </w:pPr>
    </w:p>
    <w:p>
      <w:pPr>
        <w:ind w:right="80" w:firstLine="346"/>
        <w:spacing w:after="0" w:line="273" w:lineRule="auto"/>
        <w:rPr>
          <w:sz w:val="20"/>
          <w:szCs w:val="20"/>
          <w:color w:val="auto"/>
        </w:rPr>
      </w:pPr>
      <w:r>
        <w:rPr>
          <w:rFonts w:ascii="Arial" w:cs="Arial" w:eastAsia="Arial" w:hAnsi="Arial"/>
          <w:sz w:val="18"/>
          <w:szCs w:val="18"/>
          <w:color w:val="auto"/>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spacing w:after="0" w:line="186" w:lineRule="exact"/>
        <w:rPr>
          <w:sz w:val="20"/>
          <w:szCs w:val="20"/>
          <w:color w:val="auto"/>
        </w:rPr>
      </w:pPr>
    </w:p>
    <w:p>
      <w:pPr>
        <w:ind w:right="20" w:firstLine="346"/>
        <w:spacing w:after="0" w:line="287" w:lineRule="auto"/>
        <w:rPr>
          <w:sz w:val="20"/>
          <w:szCs w:val="20"/>
          <w:color w:val="auto"/>
        </w:rPr>
      </w:pPr>
      <w:r>
        <w:rPr>
          <w:rFonts w:ascii="Arial" w:cs="Arial" w:eastAsia="Arial" w:hAnsi="Arial"/>
          <w:sz w:val="17"/>
          <w:szCs w:val="17"/>
          <w:color w:val="auto"/>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1080"/>
          </w:cols>
          <w:pgMar w:left="400" w:top="763" w:right="400" w:bottom="0" w:gutter="0" w:footer="0" w:header="0"/>
          <w:type w:val="continuous"/>
        </w:sectPr>
      </w:pPr>
    </w:p>
    <w:bookmarkStart w:id="166" w:name="page167"/>
    <w:bookmarkEnd w:id="166"/>
    <w:p>
      <w:pPr>
        <w:ind w:right="100" w:firstLine="346"/>
        <w:spacing w:after="0" w:line="288" w:lineRule="auto"/>
        <w:rPr>
          <w:sz w:val="20"/>
          <w:szCs w:val="20"/>
          <w:color w:val="auto"/>
        </w:rPr>
      </w:pPr>
      <w:r>
        <w:rPr>
          <w:rFonts w:ascii="Arial" w:cs="Arial" w:eastAsia="Arial" w:hAnsi="Arial"/>
          <w:sz w:val="17"/>
          <w:szCs w:val="17"/>
          <w:color w:val="auto"/>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over-the-air updates to resolve errors, bugs, design defects or other vulnerabilities in our vehicle software, but such efforts may not be timely, may hamper production or may not be to the satisfaction of our customers. Additionally, if we deploy software updates to address any issues but our over-the-air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spacing w:after="0" w:line="174" w:lineRule="exact"/>
        <w:rPr>
          <w:sz w:val="20"/>
          <w:szCs w:val="20"/>
          <w:color w:val="auto"/>
        </w:rPr>
      </w:pPr>
    </w:p>
    <w:p>
      <w:pPr>
        <w:ind w:right="240" w:firstLine="346"/>
        <w:spacing w:after="0" w:line="300" w:lineRule="auto"/>
        <w:rPr>
          <w:sz w:val="20"/>
          <w:szCs w:val="20"/>
          <w:color w:val="auto"/>
        </w:rPr>
      </w:pPr>
      <w:r>
        <w:rPr>
          <w:rFonts w:ascii="Arial" w:cs="Arial" w:eastAsia="Arial" w:hAnsi="Arial"/>
          <w:sz w:val="17"/>
          <w:szCs w:val="17"/>
          <w:color w:val="auto"/>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b w:val="1"/>
          <w:bCs w:val="1"/>
          <w:i w:val="1"/>
          <w:iCs w:val="1"/>
          <w:color w:val="auto"/>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180" w:firstLine="346"/>
        <w:spacing w:after="0" w:line="280" w:lineRule="auto"/>
        <w:rPr>
          <w:sz w:val="20"/>
          <w:szCs w:val="20"/>
          <w:color w:val="auto"/>
        </w:rPr>
      </w:pPr>
      <w:r>
        <w:rPr>
          <w:rFonts w:ascii="Arial" w:cs="Arial" w:eastAsia="Arial" w:hAnsi="Arial"/>
          <w:sz w:val="18"/>
          <w:szCs w:val="18"/>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76" w:lineRule="exact"/>
        <w:rPr>
          <w:sz w:val="20"/>
          <w:szCs w:val="20"/>
          <w:color w:val="auto"/>
        </w:rPr>
      </w:pPr>
    </w:p>
    <w:p>
      <w:pPr>
        <w:ind w:firstLine="346"/>
        <w:spacing w:after="0" w:line="280" w:lineRule="auto"/>
        <w:rPr>
          <w:sz w:val="20"/>
          <w:szCs w:val="20"/>
          <w:color w:val="auto"/>
        </w:rPr>
      </w:pPr>
      <w:r>
        <w:rPr>
          <w:rFonts w:ascii="Arial" w:cs="Arial" w:eastAsia="Arial" w:hAnsi="Arial"/>
          <w:sz w:val="17"/>
          <w:szCs w:val="17"/>
          <w:color w:val="auto"/>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Protection Regulation (“GDPR”)</w:t>
      </w:r>
      <w:r>
        <w:rPr>
          <w:rFonts w:ascii="Arial" w:cs="Arial" w:eastAsia="Arial" w:hAnsi="Arial"/>
          <w:sz w:val="22"/>
          <w:szCs w:val="22"/>
          <w:b w:val="1"/>
          <w:bCs w:val="1"/>
          <w:i w:val="1"/>
          <w:iCs w:val="1"/>
          <w:color w:val="auto"/>
        </w:rPr>
        <w:t>,</w:t>
      </w:r>
      <w:r>
        <w:rPr>
          <w:rFonts w:ascii="Arial" w:cs="Arial" w:eastAsia="Arial" w:hAnsi="Arial"/>
          <w:sz w:val="18"/>
          <w:szCs w:val="18"/>
          <w:color w:val="auto"/>
        </w:rPr>
        <w:t xml:space="preserve"> which became effective in May 2018, as well as the European Data Act, the Artificial Intelligence Act, and</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following the withdrawal of the United Kingdom (“UK”) from the EU, we may also be subject to the UK General Data Protection Regulation (“UK GDPR”) (i.e., a version of the GDPR as implemented into UK law).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1060"/>
          </w:cols>
          <w:pgMar w:left="400" w:top="763" w:right="420" w:bottom="0" w:gutter="0" w:footer="0" w:header="0"/>
          <w:type w:val="continuous"/>
        </w:sectPr>
      </w:pPr>
    </w:p>
    <w:bookmarkStart w:id="167" w:name="page168"/>
    <w:bookmarkEnd w:id="167"/>
    <w:p>
      <w:pPr>
        <w:ind w:right="40" w:firstLine="346"/>
        <w:spacing w:after="0" w:line="271" w:lineRule="auto"/>
        <w:rPr>
          <w:sz w:val="20"/>
          <w:szCs w:val="20"/>
          <w:color w:val="auto"/>
        </w:rPr>
      </w:pPr>
      <w:r>
        <w:rPr>
          <w:rFonts w:ascii="Arial" w:cs="Arial" w:eastAsia="Arial" w:hAnsi="Arial"/>
          <w:sz w:val="18"/>
          <w:szCs w:val="18"/>
          <w:color w:val="auto"/>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spacing w:after="0" w:line="189" w:lineRule="exact"/>
        <w:rPr>
          <w:sz w:val="20"/>
          <w:szCs w:val="20"/>
          <w:color w:val="auto"/>
        </w:rPr>
      </w:pPr>
    </w:p>
    <w:p>
      <w:pPr>
        <w:ind w:right="20" w:firstLine="346"/>
        <w:spacing w:after="0" w:line="287" w:lineRule="auto"/>
        <w:rPr>
          <w:sz w:val="20"/>
          <w:szCs w:val="20"/>
          <w:color w:val="auto"/>
        </w:rPr>
      </w:pPr>
      <w:r>
        <w:rPr>
          <w:rFonts w:ascii="Arial" w:cs="Arial" w:eastAsia="Arial" w:hAnsi="Arial"/>
          <w:sz w:val="17"/>
          <w:szCs w:val="17"/>
          <w:color w:val="auto"/>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See Item 1C “Cybersecurity” included elsewhere in this Annual Report for further information.</w:t>
      </w:r>
    </w:p>
    <w:p>
      <w:pPr>
        <w:spacing w:after="0" w:line="182" w:lineRule="exact"/>
        <w:rPr>
          <w:sz w:val="20"/>
          <w:szCs w:val="20"/>
          <w:color w:val="auto"/>
        </w:rPr>
      </w:pPr>
    </w:p>
    <w:p>
      <w:pPr>
        <w:ind w:firstLine="346"/>
        <w:spacing w:after="0" w:line="271" w:lineRule="auto"/>
        <w:rPr>
          <w:sz w:val="20"/>
          <w:szCs w:val="20"/>
          <w:color w:val="auto"/>
        </w:rPr>
      </w:pPr>
      <w:r>
        <w:rPr>
          <w:rFonts w:ascii="Arial" w:cs="Arial" w:eastAsia="Arial" w:hAnsi="Arial"/>
          <w:sz w:val="18"/>
          <w:szCs w:val="18"/>
          <w:color w:val="auto"/>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spacing w:after="0" w:line="189" w:lineRule="exact"/>
        <w:rPr>
          <w:sz w:val="20"/>
          <w:szCs w:val="20"/>
          <w:color w:val="auto"/>
        </w:rPr>
      </w:pPr>
    </w:p>
    <w:p>
      <w:pPr>
        <w:ind w:right="20" w:firstLine="346"/>
        <w:spacing w:after="0" w:line="274" w:lineRule="auto"/>
        <w:rPr>
          <w:sz w:val="20"/>
          <w:szCs w:val="20"/>
          <w:color w:val="auto"/>
        </w:rPr>
      </w:pPr>
      <w:r>
        <w:rPr>
          <w:rFonts w:ascii="Arial" w:cs="Arial" w:eastAsia="Arial" w:hAnsi="Arial"/>
          <w:sz w:val="18"/>
          <w:szCs w:val="18"/>
          <w:color w:val="auto"/>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1060"/>
          </w:cols>
          <w:pgMar w:left="400" w:top="763" w:right="420" w:bottom="0" w:gutter="0" w:footer="0" w:header="0"/>
          <w:type w:val="continuous"/>
        </w:sectPr>
      </w:pPr>
    </w:p>
    <w:bookmarkStart w:id="168" w:name="page169"/>
    <w:bookmarkEnd w:id="168"/>
    <w:p>
      <w:pPr>
        <w:ind w:firstLine="346"/>
        <w:spacing w:after="0" w:line="272" w:lineRule="auto"/>
        <w:rPr>
          <w:sz w:val="20"/>
          <w:szCs w:val="20"/>
          <w:color w:val="auto"/>
        </w:rPr>
      </w:pPr>
      <w:r>
        <w:rPr>
          <w:rFonts w:ascii="Arial" w:cs="Arial" w:eastAsia="Arial" w:hAnsi="Arial"/>
          <w:sz w:val="18"/>
          <w:szCs w:val="18"/>
          <w:color w:val="auto"/>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w:t>
      </w:r>
    </w:p>
    <w:p>
      <w:pPr>
        <w:spacing w:after="0" w:line="186" w:lineRule="exact"/>
        <w:rPr>
          <w:sz w:val="20"/>
          <w:szCs w:val="20"/>
          <w:color w:val="auto"/>
        </w:rPr>
      </w:pPr>
    </w:p>
    <w:p>
      <w:pPr>
        <w:ind w:right="40" w:firstLine="346"/>
        <w:spacing w:after="0" w:line="272" w:lineRule="auto"/>
        <w:rPr>
          <w:sz w:val="20"/>
          <w:szCs w:val="20"/>
          <w:color w:val="auto"/>
        </w:rPr>
      </w:pPr>
      <w:r>
        <w:rPr>
          <w:rFonts w:ascii="Arial" w:cs="Arial" w:eastAsia="Arial" w:hAnsi="Arial"/>
          <w:sz w:val="18"/>
          <w:szCs w:val="18"/>
          <w:color w:val="auto"/>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pacing w:after="0" w:line="182" w:lineRule="exact"/>
        <w:rPr>
          <w:sz w:val="20"/>
          <w:szCs w:val="20"/>
          <w:color w:val="auto"/>
        </w:rPr>
      </w:pPr>
    </w:p>
    <w:p>
      <w:pPr>
        <w:ind w:firstLine="346"/>
        <w:spacing w:after="0" w:line="258" w:lineRule="auto"/>
        <w:rPr>
          <w:sz w:val="20"/>
          <w:szCs w:val="20"/>
          <w:color w:val="auto"/>
        </w:rPr>
      </w:pPr>
      <w:r>
        <w:rPr>
          <w:rFonts w:ascii="Arial" w:cs="Arial" w:eastAsia="Arial" w:hAnsi="Arial"/>
          <w:sz w:val="19"/>
          <w:szCs w:val="19"/>
          <w:color w:val="auto"/>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ectPr>
          <w:pgSz w:w="11880" w:h="15480" w:orient="portrait"/>
          <w:cols w:equalWidth="0" w:num="1">
            <w:col w:w="11040"/>
          </w:cols>
          <w:pgMar w:left="400" w:top="763"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1040"/>
          </w:cols>
          <w:pgMar w:left="400" w:top="763" w:right="440"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19"/>
          <w:szCs w:val="19"/>
          <w:b w:val="1"/>
          <w:bCs w:val="1"/>
          <w:color w:val="auto"/>
        </w:rPr>
        <w:t>Risks Related to Our Employees and Human Resources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key employees or an inability to attract, retain and motivate qualified personnel may impair our ability to expand our business.</w:t>
      </w:r>
    </w:p>
    <w:p>
      <w:pPr>
        <w:spacing w:after="0" w:line="285" w:lineRule="exact"/>
        <w:rPr>
          <w:sz w:val="20"/>
          <w:szCs w:val="20"/>
          <w:color w:val="auto"/>
        </w:rPr>
      </w:pPr>
    </w:p>
    <w:p>
      <w:pPr>
        <w:ind w:firstLine="346"/>
        <w:spacing w:after="0" w:line="286"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continues to increase. In addition, we announced a restructuring plan in the second quarter of 2024, which involved the reduction of our employee workforce. Such plan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software and automotive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80" w:lineRule="exact"/>
        <w:rPr>
          <w:sz w:val="20"/>
          <w:szCs w:val="20"/>
          <w:color w:val="auto"/>
        </w:rPr>
      </w:pPr>
    </w:p>
    <w:p>
      <w:pPr>
        <w:ind w:right="280" w:firstLine="346"/>
        <w:spacing w:after="0" w:line="265" w:lineRule="auto"/>
        <w:rPr>
          <w:sz w:val="20"/>
          <w:szCs w:val="20"/>
          <w:color w:val="auto"/>
        </w:rPr>
      </w:pPr>
      <w:r>
        <w:rPr>
          <w:rFonts w:ascii="Arial" w:cs="Arial" w:eastAsia="Arial" w:hAnsi="Arial"/>
          <w:sz w:val="19"/>
          <w:szCs w:val="19"/>
          <w:color w:val="auto"/>
        </w:rPr>
        <w:t>On February 21, 2025, our former Chief Executive Officer and Chief Technology Officer, Peter Rawlinson, resigned from his positions and as a member of our Board of Directors. Our Board of Directors appointed our Chief Operating Officer, Marc Winterhoff, to serve as Interim CEO until a qualified replacement is found. Mr. Rawlinson will be available as Strategic Technical Advisor to the Chairman of the Board through February 21, 2027.</w:t>
      </w:r>
    </w:p>
    <w:p>
      <w:pPr>
        <w:spacing w:after="0" w:line="188" w:lineRule="exact"/>
        <w:rPr>
          <w:sz w:val="20"/>
          <w:szCs w:val="20"/>
          <w:color w:val="auto"/>
        </w:rPr>
      </w:pPr>
    </w:p>
    <w:p>
      <w:pPr>
        <w:ind w:right="20" w:firstLine="346"/>
        <w:spacing w:after="0" w:line="280" w:lineRule="auto"/>
        <w:rPr>
          <w:sz w:val="20"/>
          <w:szCs w:val="20"/>
          <w:color w:val="auto"/>
        </w:rPr>
      </w:pPr>
      <w:r>
        <w:rPr>
          <w:rFonts w:ascii="Arial" w:cs="Arial" w:eastAsia="Arial" w:hAnsi="Arial"/>
          <w:sz w:val="18"/>
          <w:szCs w:val="18"/>
          <w:color w:val="auto"/>
        </w:rPr>
        <w:t>We are currently conducting a search for a new CEO. Although we intend to hire a qualified candidate for CEO, no assurance can be given that we will be able to attract and retain a suitable CEO. An extended period of time without a permanent CEO could potentially have an adverse effect on our operations or financial condition. Furthermore, in the event we are unable to effect a seamless transition from our Interim CEO to a new CEO, or if a new CEO should unexpectedly prove to be unsuitable for our Company, the resulting disruption could have an adverse effect on our operations or financial condition or impede our ability to execute our strategic plan.</w:t>
      </w:r>
    </w:p>
    <w:p>
      <w:pPr>
        <w:spacing w:after="0" w:line="168"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b w:val="1"/>
          <w:bCs w:val="1"/>
          <w:i w:val="1"/>
          <w:iCs w:val="1"/>
          <w:color w:val="auto"/>
        </w:rPr>
        <w:t>We will need to hire, retain, and train a significant number of employees for our business operations, and our business could be adversely affected by labor and union activities.</w:t>
      </w:r>
    </w:p>
    <w:p>
      <w:pPr>
        <w:spacing w:after="0" w:line="164" w:lineRule="exact"/>
        <w:rPr>
          <w:sz w:val="20"/>
          <w:szCs w:val="20"/>
          <w:color w:val="auto"/>
        </w:rPr>
      </w:pPr>
    </w:p>
    <w:p>
      <w:pPr>
        <w:ind w:firstLine="346"/>
        <w:spacing w:after="0" w:line="287" w:lineRule="auto"/>
        <w:rPr>
          <w:sz w:val="20"/>
          <w:szCs w:val="20"/>
          <w:color w:val="auto"/>
        </w:rPr>
      </w:pPr>
      <w:r>
        <w:rPr>
          <w:rFonts w:ascii="Arial" w:cs="Arial" w:eastAsia="Arial" w:hAnsi="Arial"/>
          <w:sz w:val="17"/>
          <w:szCs w:val="17"/>
          <w:color w:val="auto"/>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guarantee that we will be able to operate in compliance with local labor laws and regulations as well as with differing local customs, in order to operate the manufacturing facility. If we are unsuccessful in hiring, retaining and training a workforce in a timely and cost-effective manner, our business, financial condition and results of operations could be adversely affected.</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1060"/>
          </w:cols>
          <w:pgMar w:left="400" w:top="756" w:right="420" w:bottom="0" w:gutter="0" w:footer="0" w:header="0"/>
          <w:type w:val="continuous"/>
        </w:sectPr>
      </w:pPr>
    </w:p>
    <w:bookmarkStart w:id="170" w:name="page171"/>
    <w:bookmarkEnd w:id="170"/>
    <w:p>
      <w:pPr>
        <w:ind w:right="40" w:firstLine="346"/>
        <w:spacing w:after="0" w:line="288" w:lineRule="auto"/>
        <w:rPr>
          <w:sz w:val="20"/>
          <w:szCs w:val="20"/>
          <w:color w:val="auto"/>
        </w:rPr>
      </w:pPr>
      <w:r>
        <w:rPr>
          <w:rFonts w:ascii="Arial" w:cs="Arial" w:eastAsia="Arial" w:hAnsi="Arial"/>
          <w:sz w:val="17"/>
          <w:szCs w:val="17"/>
          <w:color w:val="auto"/>
        </w:rPr>
        <w:t>Furthermore, although none of either our United States or international based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70" w:lineRule="exact"/>
        <w:rPr>
          <w:sz w:val="20"/>
          <w:szCs w:val="20"/>
          <w:color w:val="auto"/>
        </w:rPr>
      </w:pPr>
    </w:p>
    <w:p>
      <w:pPr>
        <w:ind w:right="500"/>
        <w:spacing w:after="0" w:line="294" w:lineRule="auto"/>
        <w:rPr>
          <w:sz w:val="20"/>
          <w:szCs w:val="20"/>
          <w:color w:val="auto"/>
        </w:rPr>
      </w:pPr>
      <w:r>
        <w:rPr>
          <w:rFonts w:ascii="Arial" w:cs="Arial" w:eastAsia="Arial" w:hAnsi="Arial"/>
          <w:sz w:val="19"/>
          <w:szCs w:val="19"/>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64" w:lineRule="exact"/>
        <w:rPr>
          <w:sz w:val="20"/>
          <w:szCs w:val="20"/>
          <w:color w:val="auto"/>
        </w:rPr>
      </w:pPr>
    </w:p>
    <w:p>
      <w:pPr>
        <w:ind w:right="80" w:firstLine="346"/>
        <w:spacing w:after="0" w:line="258" w:lineRule="auto"/>
        <w:rPr>
          <w:sz w:val="20"/>
          <w:szCs w:val="20"/>
          <w:color w:val="auto"/>
        </w:rPr>
      </w:pPr>
      <w:r>
        <w:rPr>
          <w:rFonts w:ascii="Arial" w:cs="Arial" w:eastAsia="Arial" w:hAnsi="Arial"/>
          <w:sz w:val="19"/>
          <w:szCs w:val="19"/>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spacing w:after="0" w:line="196" w:lineRule="exact"/>
        <w:rPr>
          <w:sz w:val="20"/>
          <w:szCs w:val="20"/>
          <w:color w:val="auto"/>
        </w:rPr>
      </w:pPr>
    </w:p>
    <w:p>
      <w:pPr>
        <w:ind w:firstLine="346"/>
        <w:spacing w:after="0" w:line="262" w:lineRule="auto"/>
        <w:rPr>
          <w:sz w:val="20"/>
          <w:szCs w:val="20"/>
          <w:color w:val="auto"/>
        </w:rPr>
      </w:pPr>
      <w:r>
        <w:rPr>
          <w:rFonts w:ascii="Arial" w:cs="Arial" w:eastAsia="Arial" w:hAnsi="Arial"/>
          <w:sz w:val="19"/>
          <w:szCs w:val="19"/>
          <w:color w:val="auto"/>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91" w:lineRule="exact"/>
        <w:rPr>
          <w:sz w:val="20"/>
          <w:szCs w:val="20"/>
          <w:color w:val="auto"/>
        </w:rPr>
      </w:pPr>
    </w:p>
    <w:p>
      <w:pPr>
        <w:ind w:right="20" w:firstLine="346"/>
        <w:spacing w:after="0" w:line="289" w:lineRule="auto"/>
        <w:rPr>
          <w:sz w:val="20"/>
          <w:szCs w:val="20"/>
          <w:color w:val="auto"/>
        </w:rPr>
      </w:pPr>
      <w:r>
        <w:rPr>
          <w:rFonts w:ascii="Arial" w:cs="Arial" w:eastAsia="Arial" w:hAnsi="Arial"/>
          <w:sz w:val="17"/>
          <w:szCs w:val="17"/>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Litigation and Regulation</w:t>
      </w:r>
    </w:p>
    <w:p>
      <w:pPr>
        <w:spacing w:after="0" w:line="241" w:lineRule="exact"/>
        <w:rPr>
          <w:sz w:val="20"/>
          <w:szCs w:val="20"/>
          <w:color w:val="auto"/>
        </w:rPr>
      </w:pPr>
    </w:p>
    <w:p>
      <w:pPr>
        <w:jc w:val="both"/>
        <w:ind w:right="60"/>
        <w:spacing w:after="0" w:line="273" w:lineRule="auto"/>
        <w:rPr>
          <w:sz w:val="20"/>
          <w:szCs w:val="20"/>
          <w:color w:val="auto"/>
        </w:rPr>
      </w:pPr>
      <w:r>
        <w:rPr>
          <w:rFonts w:ascii="Arial" w:cs="Arial" w:eastAsia="Arial" w:hAnsi="Arial"/>
          <w:sz w:val="19"/>
          <w:szCs w:val="19"/>
          <w:b w:val="1"/>
          <w:bCs w:val="1"/>
          <w:i w:val="1"/>
          <w:iCs w:val="1"/>
          <w:color w:val="auto"/>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ind w:right="40" w:firstLine="346"/>
        <w:spacing w:after="0" w:line="258" w:lineRule="auto"/>
        <w:rPr>
          <w:sz w:val="20"/>
          <w:szCs w:val="20"/>
          <w:color w:val="auto"/>
        </w:rPr>
      </w:pPr>
      <w:r>
        <w:rPr>
          <w:rFonts w:ascii="Arial" w:cs="Arial" w:eastAsia="Arial" w:hAnsi="Arial"/>
          <w:sz w:val="19"/>
          <w:szCs w:val="19"/>
          <w:color w:val="auto"/>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1060"/>
          </w:cols>
          <w:pgMar w:left="400" w:top="763" w:right="420" w:bottom="0" w:gutter="0" w:footer="0" w:header="0"/>
          <w:type w:val="continuous"/>
        </w:sectPr>
      </w:pPr>
    </w:p>
    <w:bookmarkStart w:id="171" w:name="page172"/>
    <w:bookmarkEnd w:id="171"/>
    <w:p>
      <w:pPr>
        <w:ind w:right="20" w:firstLine="346"/>
        <w:spacing w:after="0" w:line="288" w:lineRule="auto"/>
        <w:rPr>
          <w:sz w:val="20"/>
          <w:szCs w:val="20"/>
          <w:color w:val="auto"/>
        </w:rPr>
      </w:pPr>
      <w:r>
        <w:rPr>
          <w:rFonts w:ascii="Arial" w:cs="Arial" w:eastAsia="Arial" w:hAnsi="Arial"/>
          <w:sz w:val="17"/>
          <w:szCs w:val="17"/>
          <w:color w:val="auto"/>
        </w:rPr>
        <w:t>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Lucid Gravity and any future vehicle programs will be subject to such regulation under international,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electric vehicles continue to evolve,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w:t>
      </w:r>
    </w:p>
    <w:p>
      <w:pPr>
        <w:spacing w:after="0" w:line="174" w:lineRule="exact"/>
        <w:rPr>
          <w:sz w:val="20"/>
          <w:szCs w:val="20"/>
          <w:color w:val="auto"/>
        </w:rPr>
      </w:pPr>
    </w:p>
    <w:p>
      <w:pPr>
        <w:ind w:right="80" w:firstLine="346"/>
        <w:spacing w:after="0" w:line="273" w:lineRule="auto"/>
        <w:rPr>
          <w:sz w:val="20"/>
          <w:szCs w:val="20"/>
          <w:color w:val="auto"/>
        </w:rPr>
      </w:pPr>
      <w:r>
        <w:rPr>
          <w:rFonts w:ascii="Arial" w:cs="Arial" w:eastAsia="Arial" w:hAnsi="Arial"/>
          <w:sz w:val="18"/>
          <w:szCs w:val="18"/>
          <w:color w:val="auto"/>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evolving. For example, the EU has enacted a battery regulation that affects Lucid vehicles and batteries delivered in Europe with increasing requirements for the durability, marking and recycled content of the high-voltage batteries in our vehicles in subsequent years, among other requirements. Compliance with such regulations will require additional time and resources.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4"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b w:val="1"/>
          <w:bCs w:val="1"/>
          <w:i w:val="1"/>
          <w:iCs w:val="1"/>
          <w:color w:val="auto"/>
        </w:rPr>
        <w:t>We may face regulatory limitations on our ability to sell vehicles directly, which could materially and adversely affect our ability to sell our vehicles.</w:t>
      </w:r>
    </w:p>
    <w:p>
      <w:pPr>
        <w:spacing w:after="0" w:line="164" w:lineRule="exact"/>
        <w:rPr>
          <w:sz w:val="20"/>
          <w:szCs w:val="20"/>
          <w:color w:val="auto"/>
        </w:rPr>
      </w:pPr>
    </w:p>
    <w:p>
      <w:pPr>
        <w:ind w:firstLine="346"/>
        <w:spacing w:after="0" w:line="274" w:lineRule="auto"/>
        <w:rPr>
          <w:sz w:val="20"/>
          <w:szCs w:val="20"/>
          <w:color w:val="auto"/>
        </w:rPr>
      </w:pPr>
      <w:r>
        <w:rPr>
          <w:rFonts w:ascii="Arial" w:cs="Arial" w:eastAsia="Arial" w:hAnsi="Arial"/>
          <w:sz w:val="18"/>
          <w:szCs w:val="18"/>
          <w:color w:val="auto"/>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84" w:lineRule="exact"/>
        <w:rPr>
          <w:sz w:val="20"/>
          <w:szCs w:val="20"/>
          <w:color w:val="auto"/>
        </w:rPr>
      </w:pPr>
    </w:p>
    <w:p>
      <w:pPr>
        <w:ind w:firstLine="346"/>
        <w:spacing w:after="0" w:line="288" w:lineRule="auto"/>
        <w:rPr>
          <w:sz w:val="20"/>
          <w:szCs w:val="20"/>
          <w:color w:val="auto"/>
        </w:rPr>
      </w:pPr>
      <w:r>
        <w:rPr>
          <w:rFonts w:ascii="Arial" w:cs="Arial" w:eastAsia="Arial" w:hAnsi="Arial"/>
          <w:sz w:val="17"/>
          <w:szCs w:val="17"/>
          <w:color w:val="auto"/>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Arial" w:cs="Arial" w:eastAsia="Arial" w:hAnsi="Arial"/>
          <w:sz w:val="17"/>
          <w:szCs w:val="17"/>
          <w:b w:val="1"/>
          <w:bCs w:val="1"/>
          <w:i w:val="1"/>
          <w:iCs w:val="1"/>
          <w:color w:val="auto"/>
        </w:rPr>
        <w:t>We are subject to legal proceedings,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regulatory disputes and governmental inquiries that could cause us to incur significant expenses, divert our management’s attention, and adversely affect our business, results of operations, cash flows and financial condition</w:t>
      </w:r>
      <w:r>
        <w:rPr>
          <w:rFonts w:ascii="Arial" w:cs="Arial" w:eastAsia="Arial" w:hAnsi="Arial"/>
          <w:sz w:val="17"/>
          <w:szCs w:val="17"/>
          <w:color w:val="auto"/>
        </w:rPr>
        <w:t>.” In some states, regulators may restrict or prohibit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 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1060"/>
          </w:cols>
          <w:pgMar w:left="400" w:top="763" w:right="420" w:bottom="0" w:gutter="0" w:footer="0" w:header="0"/>
          <w:type w:val="continuous"/>
        </w:sectPr>
      </w:pPr>
    </w:p>
    <w:bookmarkStart w:id="172" w:name="page173"/>
    <w:bookmarkEnd w:id="172"/>
    <w:p>
      <w:pPr>
        <w:ind w:right="140"/>
        <w:spacing w:after="0" w:line="294" w:lineRule="auto"/>
        <w:rPr>
          <w:sz w:val="20"/>
          <w:szCs w:val="20"/>
          <w:color w:val="auto"/>
        </w:rPr>
      </w:pPr>
      <w:r>
        <w:rPr>
          <w:rFonts w:ascii="Arial" w:cs="Arial" w:eastAsia="Arial" w:hAnsi="Arial"/>
          <w:sz w:val="19"/>
          <w:szCs w:val="19"/>
          <w:b w:val="1"/>
          <w:bCs w:val="1"/>
          <w:i w:val="1"/>
          <w:iCs w:val="1"/>
          <w:color w:val="auto"/>
        </w:rPr>
        <w:t>We have in the past and may choose in the future, or we may be compelled, to undertake product recalls or take other actions, which could adversely affect our business, prospects, results of operations, reputation and financial condition.</w:t>
      </w:r>
    </w:p>
    <w:p>
      <w:pPr>
        <w:spacing w:after="0" w:line="164" w:lineRule="exact"/>
        <w:rPr>
          <w:sz w:val="20"/>
          <w:szCs w:val="20"/>
          <w:color w:val="auto"/>
        </w:rPr>
      </w:pPr>
    </w:p>
    <w:p>
      <w:pPr>
        <w:ind w:right="20" w:firstLine="346"/>
        <w:spacing w:after="0" w:line="291" w:lineRule="auto"/>
        <w:rPr>
          <w:sz w:val="20"/>
          <w:szCs w:val="20"/>
          <w:color w:val="auto"/>
        </w:rPr>
      </w:pPr>
      <w:r>
        <w:rPr>
          <w:rFonts w:ascii="Arial" w:cs="Arial" w:eastAsia="Arial" w:hAnsi="Arial"/>
          <w:sz w:val="17"/>
          <w:szCs w:val="17"/>
          <w:color w:val="auto"/>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markets and our business, prospects, results of operations and financial condition.</w:t>
      </w:r>
    </w:p>
    <w:p>
      <w:pPr>
        <w:spacing w:after="0" w:line="164" w:lineRule="exact"/>
        <w:rPr>
          <w:sz w:val="20"/>
          <w:szCs w:val="20"/>
          <w:color w:val="auto"/>
        </w:rPr>
      </w:pPr>
    </w:p>
    <w:p>
      <w:pPr>
        <w:ind w:right="20"/>
        <w:spacing w:after="0" w:line="357" w:lineRule="auto"/>
        <w:rPr>
          <w:sz w:val="20"/>
          <w:szCs w:val="20"/>
          <w:color w:val="auto"/>
        </w:rPr>
      </w:pPr>
      <w:r>
        <w:rPr>
          <w:rFonts w:ascii="Arial" w:cs="Arial" w:eastAsia="Arial" w:hAnsi="Arial"/>
          <w:sz w:val="17"/>
          <w:szCs w:val="17"/>
          <w:b w:val="1"/>
          <w:bCs w:val="1"/>
          <w:i w:val="1"/>
          <w:iCs w:val="1"/>
          <w:color w:val="auto"/>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18" w:lineRule="exact"/>
        <w:rPr>
          <w:sz w:val="20"/>
          <w:szCs w:val="20"/>
          <w:color w:val="auto"/>
        </w:rPr>
      </w:pPr>
    </w:p>
    <w:p>
      <w:pPr>
        <w:ind w:right="140" w:firstLine="346"/>
        <w:spacing w:after="0" w:line="273" w:lineRule="auto"/>
        <w:rPr>
          <w:sz w:val="20"/>
          <w:szCs w:val="20"/>
          <w:color w:val="auto"/>
        </w:rPr>
      </w:pPr>
      <w:r>
        <w:rPr>
          <w:rFonts w:ascii="Arial" w:cs="Arial" w:eastAsia="Arial" w:hAnsi="Arial"/>
          <w:sz w:val="18"/>
          <w:szCs w:val="18"/>
          <w:color w:val="auto"/>
        </w:rPr>
        <w:t>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12 “Commitments and Contingencies” to the consolidated financial statements included elsewhere in this Annual Report for more information.</w:t>
      </w:r>
    </w:p>
    <w:p>
      <w:pPr>
        <w:spacing w:after="0" w:line="182" w:lineRule="exact"/>
        <w:rPr>
          <w:sz w:val="20"/>
          <w:szCs w:val="20"/>
          <w:color w:val="auto"/>
        </w:rPr>
      </w:pPr>
    </w:p>
    <w:p>
      <w:pPr>
        <w:ind w:right="40" w:firstLine="346"/>
        <w:spacing w:after="0" w:line="260" w:lineRule="auto"/>
        <w:rPr>
          <w:sz w:val="20"/>
          <w:szCs w:val="20"/>
          <w:color w:val="auto"/>
        </w:rPr>
      </w:pPr>
      <w:r>
        <w:rPr>
          <w:rFonts w:ascii="Arial" w:cs="Arial" w:eastAsia="Arial" w:hAnsi="Arial"/>
          <w:sz w:val="19"/>
          <w:szCs w:val="19"/>
          <w:color w:val="auto"/>
        </w:rPr>
        <w:t>Litigation and regulatory proceedings may be protracted and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 Item 3 “Legal Proceedings.”</w:t>
      </w:r>
    </w:p>
    <w:p>
      <w:pPr>
        <w:spacing w:after="0" w:line="186"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b w:val="1"/>
          <w:bCs w:val="1"/>
          <w:i w:val="1"/>
          <w:iCs w:val="1"/>
          <w:color w:val="auto"/>
        </w:rPr>
        <w:t>We may become subject to product liability and warranty-related claims, which could harm our financial condition and liquidity if we are not able to successfully defend or insure against such claims.</w:t>
      </w:r>
    </w:p>
    <w:p>
      <w:pPr>
        <w:spacing w:after="0" w:line="164" w:lineRule="exact"/>
        <w:rPr>
          <w:sz w:val="20"/>
          <w:szCs w:val="20"/>
          <w:color w:val="auto"/>
        </w:rPr>
      </w:pPr>
    </w:p>
    <w:p>
      <w:pPr>
        <w:ind w:firstLine="346"/>
        <w:spacing w:after="0" w:line="287" w:lineRule="auto"/>
        <w:rPr>
          <w:sz w:val="20"/>
          <w:szCs w:val="20"/>
          <w:color w:val="auto"/>
        </w:rPr>
      </w:pPr>
      <w:r>
        <w:rPr>
          <w:rFonts w:ascii="Arial" w:cs="Arial" w:eastAsia="Arial" w:hAnsi="Arial"/>
          <w:sz w:val="17"/>
          <w:szCs w:val="17"/>
          <w:color w:val="auto"/>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7"/>
          <w:szCs w:val="17"/>
          <w:b w:val="1"/>
          <w:bCs w:val="1"/>
          <w:i w:val="1"/>
          <w:iCs w:val="1"/>
          <w:color w:val="auto"/>
        </w:rPr>
        <w:t>ADAS</w:t>
      </w:r>
      <w:r>
        <w:rPr>
          <w:rFonts w:ascii="Arial" w:cs="Arial" w:eastAsia="Arial" w:hAnsi="Arial"/>
          <w:sz w:val="17"/>
          <w:szCs w:val="17"/>
          <w:color w:val="auto"/>
        </w:rPr>
        <w:t xml:space="preserve"> features in our vehicles. See “— Risks Related to Litigation and Regulation — </w:t>
      </w:r>
      <w:r>
        <w:rPr>
          <w:rFonts w:ascii="Arial" w:cs="Arial" w:eastAsia="Arial" w:hAnsi="Arial"/>
          <w:sz w:val="17"/>
          <w:szCs w:val="17"/>
          <w:b w:val="1"/>
          <w:bCs w:val="1"/>
          <w:i w:val="1"/>
          <w:iCs w:val="1"/>
          <w:color w:val="auto"/>
        </w:rPr>
        <w:t>ADAS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technology is subject to uncertain and evolving regulations</w:t>
      </w:r>
      <w:r>
        <w:rPr>
          <w:rFonts w:ascii="Arial" w:cs="Arial" w:eastAsia="Arial" w:hAnsi="Arial"/>
          <w:sz w:val="17"/>
          <w:szCs w:val="17"/>
          <w:color w:val="auto"/>
        </w:rPr>
        <w:t>.” In addition, the battery packs that we produce make use of lithium-ion cells.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1080"/>
          </w:cols>
          <w:pgMar w:left="400" w:top="755" w:right="400" w:bottom="0" w:gutter="0" w:footer="0" w:header="0"/>
          <w:type w:val="continuous"/>
        </w:sectPr>
      </w:pPr>
    </w:p>
    <w:bookmarkStart w:id="173" w:name="page174"/>
    <w:bookmarkEnd w:id="173"/>
    <w:p>
      <w:pPr>
        <w:ind w:firstLine="346"/>
        <w:spacing w:after="0" w:line="294" w:lineRule="auto"/>
        <w:rPr>
          <w:sz w:val="20"/>
          <w:szCs w:val="20"/>
          <w:color w:val="auto"/>
        </w:rPr>
      </w:pPr>
      <w:r>
        <w:rPr>
          <w:rFonts w:ascii="Arial" w:cs="Arial" w:eastAsia="Arial" w:hAnsi="Arial"/>
          <w:sz w:val="17"/>
          <w:szCs w:val="17"/>
          <w:color w:val="auto"/>
        </w:rPr>
        <w:t>A successful product liability or warranty-related claim against us could result in a substantial monetary loss. 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spacing w:after="0" w:line="160"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b w:val="1"/>
          <w:bCs w:val="1"/>
          <w:i w:val="1"/>
          <w:iCs w:val="1"/>
          <w:color w:val="auto"/>
        </w:rPr>
        <w:t>We may be exposed to delays, limitations and risks related to the environmental permits and other operating permits required to construct and operate our manufacturing facilities.</w:t>
      </w:r>
    </w:p>
    <w:p>
      <w:pPr>
        <w:spacing w:after="0" w:line="164" w:lineRule="exact"/>
        <w:rPr>
          <w:sz w:val="20"/>
          <w:szCs w:val="20"/>
          <w:color w:val="auto"/>
        </w:rPr>
      </w:pPr>
    </w:p>
    <w:p>
      <w:pPr>
        <w:ind w:right="20" w:firstLine="346"/>
        <w:spacing w:after="0" w:line="272" w:lineRule="auto"/>
        <w:rPr>
          <w:sz w:val="20"/>
          <w:szCs w:val="20"/>
          <w:color w:val="auto"/>
        </w:rPr>
      </w:pPr>
      <w:r>
        <w:rPr>
          <w:rFonts w:ascii="Arial" w:cs="Arial" w:eastAsia="Arial" w:hAnsi="Arial"/>
          <w:sz w:val="18"/>
          <w:szCs w:val="18"/>
          <w:color w:val="auto"/>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assignment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8"/>
          <w:szCs w:val="18"/>
          <w:b w:val="1"/>
          <w:bCs w:val="1"/>
          <w:i w:val="1"/>
          <w:iCs w:val="1"/>
          <w:color w:val="auto"/>
        </w:rPr>
        <w:t>We have experienced and may in the future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experience significant delays in the design, manufacture, launch and financing of our vehicles, including the Lucid Air, the Lucid Gravity and our Midsize platform, which could harm our business and prospects.</w:t>
      </w:r>
      <w:r>
        <w:rPr>
          <w:rFonts w:ascii="Arial" w:cs="Arial" w:eastAsia="Arial" w:hAnsi="Arial"/>
          <w:sz w:val="18"/>
          <w:szCs w:val="18"/>
          <w:color w:val="auto"/>
        </w:rPr>
        <w:t>”</w:t>
      </w:r>
    </w:p>
    <w:p>
      <w:pPr>
        <w:spacing w:after="0" w:line="178"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64" w:lineRule="exact"/>
        <w:rPr>
          <w:sz w:val="20"/>
          <w:szCs w:val="20"/>
          <w:color w:val="auto"/>
        </w:rPr>
      </w:pPr>
    </w:p>
    <w:p>
      <w:pPr>
        <w:ind w:right="80" w:firstLine="346"/>
        <w:spacing w:after="0" w:line="273" w:lineRule="auto"/>
        <w:rPr>
          <w:sz w:val="20"/>
          <w:szCs w:val="20"/>
          <w:color w:val="auto"/>
        </w:rPr>
      </w:pPr>
      <w:r>
        <w:rPr>
          <w:rFonts w:ascii="Arial" w:cs="Arial" w:eastAsia="Arial" w:hAnsi="Arial"/>
          <w:sz w:val="18"/>
          <w:szCs w:val="18"/>
          <w:color w:val="auto"/>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86" w:lineRule="exact"/>
        <w:rPr>
          <w:sz w:val="20"/>
          <w:szCs w:val="20"/>
          <w:color w:val="auto"/>
        </w:rPr>
      </w:pPr>
    </w:p>
    <w:p>
      <w:pPr>
        <w:ind w:right="20" w:firstLine="346"/>
        <w:spacing w:after="0" w:line="259" w:lineRule="auto"/>
        <w:rPr>
          <w:sz w:val="20"/>
          <w:szCs w:val="20"/>
          <w:color w:val="auto"/>
        </w:rPr>
      </w:pPr>
      <w:r>
        <w:rPr>
          <w:rFonts w:ascii="Arial" w:cs="Arial" w:eastAsia="Arial" w:hAnsi="Arial"/>
          <w:sz w:val="19"/>
          <w:szCs w:val="19"/>
          <w:color w:val="auto"/>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94" w:lineRule="exact"/>
        <w:rPr>
          <w:sz w:val="20"/>
          <w:szCs w:val="20"/>
          <w:color w:val="auto"/>
        </w:rPr>
      </w:pPr>
    </w:p>
    <w:p>
      <w:pPr>
        <w:ind w:right="60" w:firstLine="346"/>
        <w:spacing w:after="0" w:line="275" w:lineRule="auto"/>
        <w:rPr>
          <w:sz w:val="20"/>
          <w:szCs w:val="20"/>
          <w:color w:val="auto"/>
        </w:rPr>
      </w:pPr>
      <w:r>
        <w:rPr>
          <w:rFonts w:ascii="Arial" w:cs="Arial" w:eastAsia="Arial" w:hAnsi="Arial"/>
          <w:sz w:val="18"/>
          <w:szCs w:val="18"/>
          <w:color w:val="auto"/>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1060"/>
          </w:cols>
          <w:pgMar w:left="400" w:top="763" w:right="420" w:bottom="0" w:gutter="0" w:footer="0" w:header="0"/>
          <w:type w:val="continuous"/>
        </w:sectPr>
      </w:pPr>
    </w:p>
    <w:bookmarkStart w:id="174" w:name="page175"/>
    <w:bookmarkEnd w:id="174"/>
    <w:p>
      <w:pPr>
        <w:spacing w:after="0"/>
        <w:rPr>
          <w:sz w:val="20"/>
          <w:szCs w:val="20"/>
          <w:color w:val="auto"/>
        </w:rPr>
      </w:pPr>
      <w:r>
        <w:rPr>
          <w:rFonts w:ascii="Arial" w:cs="Arial" w:eastAsia="Arial" w:hAnsi="Arial"/>
          <w:sz w:val="19"/>
          <w:szCs w:val="19"/>
          <w:b w:val="1"/>
          <w:bCs w:val="1"/>
          <w:i w:val="1"/>
          <w:iCs w:val="1"/>
          <w:color w:val="auto"/>
        </w:rPr>
        <w:t>ADAS technology is subject to uncertain and evolving regulations.</w:t>
      </w:r>
    </w:p>
    <w:p>
      <w:pPr>
        <w:spacing w:after="0" w:line="250" w:lineRule="exact"/>
        <w:rPr>
          <w:sz w:val="20"/>
          <w:szCs w:val="20"/>
          <w:color w:val="auto"/>
        </w:rPr>
      </w:pPr>
    </w:p>
    <w:p>
      <w:pPr>
        <w:ind w:firstLine="346"/>
        <w:spacing w:after="0" w:line="271" w:lineRule="auto"/>
        <w:rPr>
          <w:sz w:val="20"/>
          <w:szCs w:val="20"/>
          <w:color w:val="auto"/>
        </w:rPr>
      </w:pPr>
      <w:r>
        <w:rPr>
          <w:rFonts w:ascii="Arial" w:cs="Arial" w:eastAsia="Arial" w:hAnsi="Arial"/>
          <w:sz w:val="18"/>
          <w:szCs w:val="18"/>
          <w:color w:val="auto"/>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and recently proposed a regulation for self-driving vehicles.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75" w:lineRule="exact"/>
        <w:rPr>
          <w:sz w:val="20"/>
          <w:szCs w:val="20"/>
          <w:color w:val="auto"/>
        </w:rPr>
      </w:pPr>
    </w:p>
    <w:p>
      <w:pPr>
        <w:ind w:right="340"/>
        <w:spacing w:after="0" w:line="294" w:lineRule="auto"/>
        <w:rPr>
          <w:sz w:val="20"/>
          <w:szCs w:val="20"/>
          <w:color w:val="auto"/>
        </w:rPr>
      </w:pPr>
      <w:r>
        <w:rPr>
          <w:rFonts w:ascii="Arial" w:cs="Arial" w:eastAsia="Arial" w:hAnsi="Arial"/>
          <w:sz w:val="19"/>
          <w:szCs w:val="19"/>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64" w:lineRule="exact"/>
        <w:rPr>
          <w:sz w:val="20"/>
          <w:szCs w:val="20"/>
          <w:color w:val="auto"/>
        </w:rPr>
      </w:pPr>
    </w:p>
    <w:p>
      <w:pPr>
        <w:ind w:firstLine="346"/>
        <w:spacing w:after="0" w:line="272"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4"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b w:val="1"/>
          <w:bCs w:val="1"/>
          <w:i w:val="1"/>
          <w:iCs w:val="1"/>
          <w:color w:val="auto"/>
        </w:rPr>
        <w:t>We are subject to governmental export and import controls and laws that could subject us to liability if we are not in compliance with such laws.</w:t>
      </w:r>
    </w:p>
    <w:p>
      <w:pPr>
        <w:spacing w:after="0" w:line="164" w:lineRule="exact"/>
        <w:rPr>
          <w:sz w:val="20"/>
          <w:szCs w:val="20"/>
          <w:color w:val="auto"/>
        </w:rPr>
      </w:pPr>
    </w:p>
    <w:p>
      <w:pPr>
        <w:ind w:right="60" w:firstLine="346"/>
        <w:spacing w:after="0" w:line="274" w:lineRule="auto"/>
        <w:rPr>
          <w:sz w:val="20"/>
          <w:szCs w:val="20"/>
          <w:color w:val="auto"/>
        </w:rPr>
      </w:pPr>
      <w:r>
        <w:rPr>
          <w:rFonts w:ascii="Arial" w:cs="Arial" w:eastAsia="Arial" w:hAnsi="Arial"/>
          <w:sz w:val="18"/>
          <w:szCs w:val="18"/>
          <w:color w:val="auto"/>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spacing w:after="0" w:line="184" w:lineRule="exact"/>
        <w:rPr>
          <w:sz w:val="20"/>
          <w:szCs w:val="20"/>
          <w:color w:val="auto"/>
        </w:rPr>
      </w:pPr>
    </w:p>
    <w:p>
      <w:pPr>
        <w:ind w:right="80" w:firstLine="346"/>
        <w:spacing w:after="0" w:line="275" w:lineRule="auto"/>
        <w:rPr>
          <w:sz w:val="20"/>
          <w:szCs w:val="20"/>
          <w:color w:val="auto"/>
        </w:rPr>
      </w:pPr>
      <w:r>
        <w:rPr>
          <w:rFonts w:ascii="Arial" w:cs="Arial" w:eastAsia="Arial" w:hAnsi="Arial"/>
          <w:sz w:val="18"/>
          <w:szCs w:val="18"/>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1060"/>
          </w:cols>
          <w:pgMar w:left="400" w:top="755" w:right="420" w:bottom="0" w:gutter="0" w:footer="0" w:header="0"/>
          <w:type w:val="continuous"/>
        </w:sectPr>
      </w:pPr>
    </w:p>
    <w:bookmarkStart w:id="175" w:name="page176"/>
    <w:bookmarkEnd w:id="175"/>
    <w:p>
      <w:pPr>
        <w:ind w:right="340"/>
        <w:spacing w:after="0" w:line="294" w:lineRule="auto"/>
        <w:rPr>
          <w:sz w:val="20"/>
          <w:szCs w:val="20"/>
          <w:color w:val="auto"/>
        </w:rPr>
      </w:pPr>
      <w:r>
        <w:rPr>
          <w:rFonts w:ascii="Arial" w:cs="Arial" w:eastAsia="Arial" w:hAnsi="Arial"/>
          <w:sz w:val="19"/>
          <w:szCs w:val="19"/>
          <w:b w:val="1"/>
          <w:bCs w:val="1"/>
          <w:i w:val="1"/>
          <w:iCs w:val="1"/>
          <w:color w:val="auto"/>
        </w:rPr>
        <w:t>Changes in U.S. trade policy, including the imposition of tariffs or revocation of normal trade relations and the resulting consequences, could adversely affect our business, prospects, results of operations and financial condition.</w:t>
      </w:r>
    </w:p>
    <w:p>
      <w:pPr>
        <w:spacing w:after="0" w:line="164" w:lineRule="exact"/>
        <w:rPr>
          <w:sz w:val="20"/>
          <w:szCs w:val="20"/>
          <w:color w:val="auto"/>
        </w:rPr>
      </w:pPr>
    </w:p>
    <w:p>
      <w:pPr>
        <w:ind w:firstLine="346"/>
        <w:spacing w:after="0" w:line="288" w:lineRule="auto"/>
        <w:rPr>
          <w:sz w:val="20"/>
          <w:szCs w:val="20"/>
          <w:color w:val="auto"/>
        </w:rPr>
      </w:pPr>
      <w:r>
        <w:rPr>
          <w:rFonts w:ascii="Arial" w:cs="Arial" w:eastAsia="Arial" w:hAnsi="Arial"/>
          <w:sz w:val="17"/>
          <w:szCs w:val="17"/>
          <w:color w:val="auto"/>
        </w:rPr>
        <w:t>The U.S. government has adopted an evolving approach to trade policy and in some cases has attempted to renegotiate or terminate certain existing bilateral or multi-lateral trade agreements. It has also imposed, or proposed to impose, tariffs on certain foreign goods, including steel, certain vehicle parts and software,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or imposed by the current administration of the United States and its trading partners, and additional trade restrictions could be implemented on a broad range of products or raw materials. The current U.S. presidential administration has also issued an executive order to review U.S. trade policies, practices, and agreements to address trade deficits and other economic security matters, including assessing whether the imposition of new or increased tariffs or other measures is required.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 Threat of tariffs and trade war among the United States, Canada, Mexico, China, the EU and other countries could impede the transition to electric vehicles, disrupt global supply chains, and delay the implementation of economic competitiveness policies.</w:t>
      </w:r>
    </w:p>
    <w:p>
      <w:pPr>
        <w:spacing w:after="0" w:line="174" w:lineRule="exact"/>
        <w:rPr>
          <w:sz w:val="20"/>
          <w:szCs w:val="20"/>
          <w:color w:val="auto"/>
        </w:rPr>
      </w:pPr>
    </w:p>
    <w:p>
      <w:pPr>
        <w:ind w:right="20" w:firstLine="346"/>
        <w:spacing w:after="0" w:line="290" w:lineRule="auto"/>
        <w:rPr>
          <w:sz w:val="20"/>
          <w:szCs w:val="20"/>
          <w:color w:val="auto"/>
        </w:rPr>
      </w:pPr>
      <w:r>
        <w:rPr>
          <w:rFonts w:ascii="Arial" w:cs="Arial" w:eastAsia="Arial" w:hAnsi="Arial"/>
          <w:sz w:val="17"/>
          <w:szCs w:val="17"/>
          <w:color w:val="auto"/>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and could have an adverse effect on our business and results of operations.</w:t>
      </w:r>
    </w:p>
    <w:p>
      <w:pPr>
        <w:spacing w:after="0" w:line="174" w:lineRule="exact"/>
        <w:rPr>
          <w:sz w:val="20"/>
          <w:szCs w:val="20"/>
          <w:color w:val="auto"/>
        </w:rPr>
      </w:pPr>
    </w:p>
    <w:p>
      <w:pPr>
        <w:ind w:right="160" w:firstLine="346"/>
        <w:spacing w:after="0" w:line="293" w:lineRule="auto"/>
        <w:rPr>
          <w:sz w:val="20"/>
          <w:szCs w:val="20"/>
          <w:color w:val="auto"/>
        </w:rPr>
      </w:pPr>
      <w:r>
        <w:rPr>
          <w:rFonts w:ascii="Arial" w:cs="Arial" w:eastAsia="Arial" w:hAnsi="Arial"/>
          <w:sz w:val="18"/>
          <w:szCs w:val="18"/>
          <w:color w:val="auto"/>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64" w:lineRule="exact"/>
        <w:rPr>
          <w:sz w:val="20"/>
          <w:szCs w:val="20"/>
          <w:color w:val="auto"/>
        </w:rPr>
      </w:pPr>
    </w:p>
    <w:p>
      <w:pPr>
        <w:ind w:right="60" w:firstLine="346"/>
        <w:spacing w:after="0" w:line="257" w:lineRule="auto"/>
        <w:rPr>
          <w:sz w:val="20"/>
          <w:szCs w:val="20"/>
          <w:color w:val="auto"/>
        </w:rPr>
      </w:pPr>
      <w:r>
        <w:rPr>
          <w:rFonts w:ascii="Arial" w:cs="Arial" w:eastAsia="Arial" w:hAnsi="Arial"/>
          <w:sz w:val="19"/>
          <w:szCs w:val="19"/>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200" w:lineRule="exact"/>
        <w:rPr>
          <w:sz w:val="20"/>
          <w:szCs w:val="20"/>
          <w:color w:val="auto"/>
        </w:rPr>
      </w:pPr>
    </w:p>
    <w:p>
      <w:pPr>
        <w:ind w:right="20" w:firstLine="346"/>
        <w:spacing w:after="0" w:line="262" w:lineRule="auto"/>
        <w:rPr>
          <w:sz w:val="20"/>
          <w:szCs w:val="20"/>
          <w:color w:val="auto"/>
        </w:rPr>
      </w:pPr>
      <w:r>
        <w:rPr>
          <w:rFonts w:ascii="Arial" w:cs="Arial" w:eastAsia="Arial" w:hAnsi="Arial"/>
          <w:sz w:val="19"/>
          <w:szCs w:val="19"/>
          <w:color w:val="auto"/>
        </w:rPr>
        <w:t>In addition, the United States enacted federal regulations that significantly constrain trade relations with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failure to properly comply with foreign trade zone laws and regulations could increase the cost of our duties and tariffs.</w:t>
      </w:r>
    </w:p>
    <w:p>
      <w:pPr>
        <w:spacing w:after="0" w:line="250" w:lineRule="exact"/>
        <w:rPr>
          <w:sz w:val="20"/>
          <w:szCs w:val="20"/>
          <w:color w:val="auto"/>
        </w:rPr>
      </w:pPr>
    </w:p>
    <w:p>
      <w:pPr>
        <w:ind w:right="40" w:firstLine="346"/>
        <w:spacing w:after="0" w:line="274" w:lineRule="auto"/>
        <w:rPr>
          <w:sz w:val="20"/>
          <w:szCs w:val="20"/>
          <w:color w:val="auto"/>
        </w:rPr>
      </w:pPr>
      <w:r>
        <w:rPr>
          <w:rFonts w:ascii="Arial" w:cs="Arial" w:eastAsia="Arial" w:hAnsi="Arial"/>
          <w:sz w:val="18"/>
          <w:szCs w:val="18"/>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1080"/>
          </w:cols>
          <w:pgMar w:left="400" w:top="755" w:right="400" w:bottom="0" w:gutter="0" w:footer="0" w:header="0"/>
          <w:type w:val="continuous"/>
        </w:sectPr>
      </w:pPr>
    </w:p>
    <w:bookmarkStart w:id="176" w:name="page177"/>
    <w:bookmarkEnd w:id="176"/>
    <w:p>
      <w:pPr>
        <w:spacing w:after="0"/>
        <w:rPr>
          <w:sz w:val="20"/>
          <w:szCs w:val="20"/>
          <w:color w:val="auto"/>
        </w:rPr>
      </w:pPr>
      <w:r>
        <w:rPr>
          <w:rFonts w:ascii="Arial" w:cs="Arial" w:eastAsia="Arial" w:hAnsi="Arial"/>
          <w:sz w:val="19"/>
          <w:szCs w:val="19"/>
          <w:b w:val="1"/>
          <w:bCs w:val="1"/>
          <w:color w:val="auto"/>
        </w:rPr>
        <w:t>Risks Related to Intellectual Property</w:t>
      </w:r>
    </w:p>
    <w:p>
      <w:pPr>
        <w:spacing w:after="0" w:line="241" w:lineRule="exact"/>
        <w:rPr>
          <w:sz w:val="20"/>
          <w:szCs w:val="20"/>
          <w:color w:val="auto"/>
        </w:rPr>
      </w:pPr>
    </w:p>
    <w:p>
      <w:pPr>
        <w:ind w:right="200"/>
        <w:spacing w:after="0" w:line="320" w:lineRule="auto"/>
        <w:rPr>
          <w:sz w:val="20"/>
          <w:szCs w:val="20"/>
          <w:color w:val="auto"/>
        </w:rPr>
      </w:pPr>
      <w:r>
        <w:rPr>
          <w:rFonts w:ascii="Arial" w:cs="Arial" w:eastAsia="Arial" w:hAnsi="Arial"/>
          <w:sz w:val="17"/>
          <w:szCs w:val="17"/>
          <w:b w:val="1"/>
          <w:bCs w:val="1"/>
          <w:i w:val="1"/>
          <w:iCs w:val="1"/>
          <w:color w:val="auto"/>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48" w:lineRule="exact"/>
        <w:rPr>
          <w:sz w:val="20"/>
          <w:szCs w:val="20"/>
          <w:color w:val="auto"/>
        </w:rPr>
      </w:pPr>
    </w:p>
    <w:p>
      <w:pPr>
        <w:ind w:right="60" w:firstLine="346"/>
        <w:spacing w:after="0" w:line="289"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72" w:lineRule="exact"/>
        <w:rPr>
          <w:sz w:val="20"/>
          <w:szCs w:val="20"/>
          <w:color w:val="auto"/>
        </w:rPr>
      </w:pPr>
    </w:p>
    <w:p>
      <w:pPr>
        <w:ind w:right="140" w:firstLine="346"/>
        <w:spacing w:after="0" w:line="289" w:lineRule="auto"/>
        <w:rPr>
          <w:sz w:val="20"/>
          <w:szCs w:val="20"/>
          <w:color w:val="auto"/>
        </w:rPr>
      </w:pPr>
      <w:r>
        <w:rPr>
          <w:rFonts w:ascii="Arial" w:cs="Arial" w:eastAsia="Arial" w:hAnsi="Arial"/>
          <w:sz w:val="19"/>
          <w:szCs w:val="19"/>
          <w:color w:val="auto"/>
        </w:rPr>
        <w:t>The measures we take to obtain, maintain, protect, defend and enforce our intellectual property, including preventing unauthorized use by third parties, may not be effective for various reasons, including the following:</w:t>
      </w:r>
    </w:p>
    <w:p>
      <w:pPr>
        <w:spacing w:after="0" w:line="50" w:lineRule="exact"/>
        <w:rPr>
          <w:sz w:val="20"/>
          <w:szCs w:val="20"/>
          <w:color w:val="auto"/>
        </w:rPr>
      </w:pPr>
    </w:p>
    <w:p>
      <w:pPr>
        <w:ind w:left="700" w:hanging="347"/>
        <w:spacing w:after="0"/>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trademark or patent applications we file may not result in the issuance of trademarks or patents;</w:t>
      </w:r>
    </w:p>
    <w:p>
      <w:pPr>
        <w:spacing w:after="0" w:line="127" w:lineRule="exact"/>
        <w:rPr>
          <w:rFonts w:ascii="Arial" w:cs="Arial" w:eastAsia="Arial" w:hAnsi="Arial"/>
          <w:sz w:val="19"/>
          <w:szCs w:val="19"/>
          <w:color w:val="auto"/>
        </w:rPr>
      </w:pPr>
    </w:p>
    <w:p>
      <w:pPr>
        <w:ind w:left="700" w:right="340" w:hanging="347"/>
        <w:spacing w:after="0" w:line="289" w:lineRule="auto"/>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we may not be the first inventor of the subject matter to which we have filed a particular patent application, and we may not be the first party to file such a patent application;</w:t>
      </w:r>
    </w:p>
    <w:p>
      <w:pPr>
        <w:spacing w:after="0" w:line="50" w:lineRule="exact"/>
        <w:rPr>
          <w:rFonts w:ascii="Arial" w:cs="Arial" w:eastAsia="Arial" w:hAnsi="Arial"/>
          <w:sz w:val="19"/>
          <w:szCs w:val="19"/>
          <w:color w:val="auto"/>
        </w:rPr>
      </w:pPr>
    </w:p>
    <w:p>
      <w:pPr>
        <w:ind w:left="700" w:right="260" w:hanging="347"/>
        <w:spacing w:after="0" w:line="351" w:lineRule="auto"/>
        <w:tabs>
          <w:tab w:leader="none" w:pos="7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4" w:lineRule="exact"/>
        <w:rPr>
          <w:rFonts w:ascii="Arial" w:cs="Arial" w:eastAsia="Arial" w:hAnsi="Arial"/>
          <w:sz w:val="17"/>
          <w:szCs w:val="17"/>
          <w:color w:val="auto"/>
        </w:rPr>
      </w:pPr>
    </w:p>
    <w:p>
      <w:pPr>
        <w:ind w:left="700" w:hanging="347"/>
        <w:spacing w:after="0"/>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our issued patents may be challenged or invalidated by our competitors or other third parties;</w:t>
      </w:r>
    </w:p>
    <w:p>
      <w:pPr>
        <w:spacing w:after="0" w:line="127" w:lineRule="exact"/>
        <w:rPr>
          <w:rFonts w:ascii="Arial" w:cs="Arial" w:eastAsia="Arial" w:hAnsi="Arial"/>
          <w:sz w:val="19"/>
          <w:szCs w:val="19"/>
          <w:color w:val="auto"/>
        </w:rPr>
      </w:pPr>
    </w:p>
    <w:p>
      <w:pPr>
        <w:ind w:left="700" w:right="340" w:hanging="347"/>
        <w:spacing w:after="0" w:line="289" w:lineRule="auto"/>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patents have a finite term, and competitors and other third parties may offer identical or similar products after the expiration of our patents that cover such products;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our employees, contractors or business partners may breach their confidentiality, non-disclosure and non-use obligations;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competitors and other third parties may independently develop technologies that are the same or similar to ours;</w:t>
      </w:r>
    </w:p>
    <w:p>
      <w:pPr>
        <w:spacing w:after="0" w:line="127" w:lineRule="exact"/>
        <w:rPr>
          <w:rFonts w:ascii="Arial" w:cs="Arial" w:eastAsia="Arial" w:hAnsi="Arial"/>
          <w:sz w:val="19"/>
          <w:szCs w:val="19"/>
          <w:color w:val="auto"/>
        </w:rPr>
      </w:pPr>
    </w:p>
    <w:p>
      <w:pPr>
        <w:ind w:left="700" w:right="580" w:hanging="347"/>
        <w:spacing w:after="0" w:line="289" w:lineRule="auto"/>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intellectual property rights of others could also bar us from licensing and exploiting any patents that issue from our pending applications;</w:t>
      </w:r>
    </w:p>
    <w:p>
      <w:pPr>
        <w:spacing w:after="0" w:line="50" w:lineRule="exact"/>
        <w:rPr>
          <w:rFonts w:ascii="Arial" w:cs="Arial" w:eastAsia="Arial" w:hAnsi="Arial"/>
          <w:sz w:val="19"/>
          <w:szCs w:val="19"/>
          <w:color w:val="auto"/>
        </w:rPr>
      </w:pPr>
    </w:p>
    <w:p>
      <w:pPr>
        <w:ind w:left="700" w:hanging="347"/>
        <w:spacing w:after="0" w:line="289" w:lineRule="auto"/>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costs associated with enforcing patents or other intellectual property rights, or confidentiality and invention assignment agreements may make enforcement impracticable; and</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competitors and other third parties may circumvent or otherwise design around our patents or other intellectual property.</w:t>
      </w:r>
    </w:p>
    <w:p>
      <w:pPr>
        <w:spacing w:after="0" w:line="243" w:lineRule="exact"/>
        <w:rPr>
          <w:sz w:val="20"/>
          <w:szCs w:val="20"/>
          <w:color w:val="auto"/>
        </w:rPr>
      </w:pPr>
    </w:p>
    <w:p>
      <w:pPr>
        <w:ind w:right="20" w:firstLine="346"/>
        <w:spacing w:after="0" w:line="275" w:lineRule="auto"/>
        <w:rPr>
          <w:sz w:val="20"/>
          <w:szCs w:val="20"/>
          <w:color w:val="auto"/>
        </w:rPr>
      </w:pPr>
      <w:r>
        <w:rPr>
          <w:rFonts w:ascii="Arial" w:cs="Arial" w:eastAsia="Arial" w:hAnsi="Arial"/>
          <w:sz w:val="18"/>
          <w:szCs w:val="18"/>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84" w:lineRule="exact"/>
        <w:rPr>
          <w:sz w:val="20"/>
          <w:szCs w:val="20"/>
          <w:color w:val="auto"/>
        </w:rPr>
      </w:pPr>
    </w:p>
    <w:p>
      <w:pPr>
        <w:ind w:right="60" w:firstLine="346"/>
        <w:spacing w:after="0" w:line="259" w:lineRule="auto"/>
        <w:rPr>
          <w:sz w:val="20"/>
          <w:szCs w:val="20"/>
          <w:color w:val="auto"/>
        </w:rPr>
      </w:pPr>
      <w:r>
        <w:rPr>
          <w:rFonts w:ascii="Arial" w:cs="Arial" w:eastAsia="Arial" w:hAnsi="Arial"/>
          <w:sz w:val="19"/>
          <w:szCs w:val="19"/>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1060"/>
          </w:cols>
          <w:pgMar w:left="400" w:top="756" w:right="420" w:bottom="0" w:gutter="0" w:footer="0" w:header="0"/>
          <w:type w:val="continuous"/>
        </w:sectPr>
      </w:pPr>
    </w:p>
    <w:bookmarkStart w:id="177" w:name="page178"/>
    <w:bookmarkEnd w:id="177"/>
    <w:p>
      <w:pPr>
        <w:ind w:right="60" w:firstLine="346"/>
        <w:spacing w:after="0" w:line="275"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4" w:lineRule="exact"/>
        <w:rPr>
          <w:sz w:val="20"/>
          <w:szCs w:val="20"/>
          <w:color w:val="auto"/>
        </w:rPr>
      </w:pPr>
    </w:p>
    <w:p>
      <w:pPr>
        <w:ind w:firstLine="346"/>
        <w:spacing w:after="0" w:line="270"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4" w:lineRule="exact"/>
        <w:rPr>
          <w:sz w:val="20"/>
          <w:szCs w:val="20"/>
          <w:color w:val="auto"/>
        </w:rPr>
      </w:pPr>
    </w:p>
    <w:p>
      <w:pPr>
        <w:jc w:val="both"/>
        <w:ind w:right="240" w:firstLine="346"/>
        <w:spacing w:after="0" w:line="283" w:lineRule="auto"/>
        <w:rPr>
          <w:sz w:val="20"/>
          <w:szCs w:val="20"/>
          <w:color w:val="auto"/>
        </w:rPr>
      </w:pPr>
      <w:r>
        <w:rPr>
          <w:rFonts w:ascii="Arial" w:cs="Arial" w:eastAsia="Arial" w:hAnsi="Arial"/>
          <w:sz w:val="17"/>
          <w:szCs w:val="17"/>
          <w:color w:val="auto"/>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w:t>
      </w:r>
    </w:p>
    <w:p>
      <w:pPr>
        <w:ind w:right="60"/>
        <w:spacing w:after="0" w:line="265" w:lineRule="auto"/>
        <w:rPr>
          <w:sz w:val="20"/>
          <w:szCs w:val="20"/>
          <w:color w:val="auto"/>
        </w:rPr>
      </w:pPr>
      <w:r>
        <w:rPr>
          <w:rFonts w:ascii="Arial" w:cs="Arial" w:eastAsia="Arial" w:hAnsi="Arial"/>
          <w:sz w:val="19"/>
          <w:szCs w:val="19"/>
          <w:color w:val="auto"/>
        </w:rPr>
        <w:t>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80"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64" w:lineRule="exact"/>
        <w:rPr>
          <w:sz w:val="20"/>
          <w:szCs w:val="20"/>
          <w:color w:val="auto"/>
        </w:rPr>
      </w:pPr>
    </w:p>
    <w:p>
      <w:pPr>
        <w:ind w:right="20" w:firstLine="346"/>
        <w:spacing w:after="0" w:line="287" w:lineRule="auto"/>
        <w:rPr>
          <w:sz w:val="20"/>
          <w:szCs w:val="20"/>
          <w:color w:val="auto"/>
        </w:rPr>
      </w:pPr>
      <w:r>
        <w:rPr>
          <w:rFonts w:ascii="Arial" w:cs="Arial" w:eastAsia="Arial" w:hAnsi="Arial"/>
          <w:sz w:val="17"/>
          <w:szCs w:val="17"/>
          <w:color w:val="auto"/>
        </w:rPr>
        <w:t>There are considerable issued patents,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64" w:lineRule="exact"/>
        <w:rPr>
          <w:sz w:val="20"/>
          <w:szCs w:val="20"/>
          <w:color w:val="auto"/>
        </w:rPr>
      </w:pPr>
    </w:p>
    <w:p>
      <w:pPr>
        <w:ind w:left="700" w:hanging="347"/>
        <w:spacing w:after="0"/>
        <w:tabs>
          <w:tab w:leader="none" w:pos="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pay substantial damages, including treble damages for willful infringement, or ongoing royalty payments;</w:t>
      </w:r>
    </w:p>
    <w:p>
      <w:pPr>
        <w:spacing w:after="0" w:line="127" w:lineRule="exact"/>
        <w:rPr>
          <w:rFonts w:ascii="Arial" w:cs="Arial" w:eastAsia="Arial" w:hAnsi="Arial"/>
          <w:sz w:val="19"/>
          <w:szCs w:val="19"/>
          <w:color w:val="auto"/>
        </w:rPr>
      </w:pPr>
    </w:p>
    <w:p>
      <w:pPr>
        <w:ind w:left="700" w:right="840" w:hanging="347"/>
        <w:spacing w:after="0" w:line="289" w:lineRule="auto"/>
        <w:tabs>
          <w:tab w:leader="none" w:pos="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cease developing, selling, leasing, using or incorporating certain components into vehicles or offering goods or services that incorporate or use the asserted intellectual property;</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seek a license from the owner of the asserted intellectual property, which license may not be available on reasonable terms, or at all;</w:t>
      </w:r>
    </w:p>
    <w:p>
      <w:pPr>
        <w:spacing w:after="0" w:line="150" w:lineRule="exact"/>
        <w:rPr>
          <w:rFonts w:ascii="Arial" w:cs="Arial" w:eastAsia="Arial" w:hAnsi="Arial"/>
          <w:sz w:val="17"/>
          <w:szCs w:val="17"/>
          <w:color w:val="auto"/>
        </w:rPr>
      </w:pPr>
    </w:p>
    <w:p>
      <w:pPr>
        <w:ind w:left="700" w:hanging="347"/>
        <w:spacing w:after="0"/>
        <w:tabs>
          <w:tab w:leader="none" w:pos="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comply with other unfavorable terms; or</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establish and maintain alternative branding for our products and services.</w:t>
      </w:r>
    </w:p>
    <w:p>
      <w:pPr>
        <w:sectPr>
          <w:pgSz w:w="11880" w:h="15480" w:orient="portrait"/>
          <w:cols w:equalWidth="0" w:num="1">
            <w:col w:w="11060"/>
          </w:cols>
          <w:pgMar w:left="400" w:top="763" w:right="420" w:bottom="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1060"/>
          </w:cols>
          <w:pgMar w:left="400" w:top="763" w:right="420" w:bottom="0" w:gutter="0" w:footer="0" w:header="0"/>
          <w:type w:val="continuous"/>
        </w:sectPr>
      </w:pPr>
    </w:p>
    <w:bookmarkStart w:id="178" w:name="page179"/>
    <w:bookmarkEnd w:id="178"/>
    <w:p>
      <w:pPr>
        <w:ind w:right="40" w:firstLine="346"/>
        <w:spacing w:after="0" w:line="257" w:lineRule="auto"/>
        <w:rPr>
          <w:sz w:val="20"/>
          <w:szCs w:val="20"/>
          <w:color w:val="auto"/>
        </w:rPr>
      </w:pPr>
      <w:r>
        <w:rPr>
          <w:rFonts w:ascii="Arial" w:cs="Arial" w:eastAsia="Arial" w:hAnsi="Arial"/>
          <w:sz w:val="19"/>
          <w:szCs w:val="19"/>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spacing w:after="0" w:line="200" w:lineRule="exact"/>
        <w:rPr>
          <w:sz w:val="20"/>
          <w:szCs w:val="20"/>
          <w:color w:val="auto"/>
        </w:rPr>
      </w:pPr>
    </w:p>
    <w:p>
      <w:pPr>
        <w:ind w:right="80" w:firstLine="346"/>
        <w:spacing w:after="0" w:line="292" w:lineRule="auto"/>
        <w:rPr>
          <w:sz w:val="20"/>
          <w:szCs w:val="20"/>
          <w:color w:val="auto"/>
        </w:rPr>
      </w:pPr>
      <w:r>
        <w:rPr>
          <w:rFonts w:ascii="Arial" w:cs="Arial" w:eastAsia="Arial" w:hAnsi="Arial"/>
          <w:sz w:val="17"/>
          <w:szCs w:val="17"/>
          <w:color w:val="auto"/>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b w:val="1"/>
          <w:bCs w:val="1"/>
          <w:i w:val="1"/>
          <w:iCs w:val="1"/>
          <w:color w:val="auto"/>
        </w:rPr>
        <w:t>Some of our products contain open-source software, which may pose particular risks to our proprietary software, products and services in a manner that could harm our business.</w:t>
      </w:r>
    </w:p>
    <w:p>
      <w:pPr>
        <w:spacing w:after="0" w:line="164" w:lineRule="exact"/>
        <w:rPr>
          <w:sz w:val="20"/>
          <w:szCs w:val="20"/>
          <w:color w:val="auto"/>
        </w:rPr>
      </w:pPr>
    </w:p>
    <w:p>
      <w:pPr>
        <w:ind w:right="80" w:firstLine="346"/>
        <w:spacing w:after="0" w:line="287" w:lineRule="auto"/>
        <w:rPr>
          <w:sz w:val="20"/>
          <w:szCs w:val="20"/>
          <w:color w:val="auto"/>
        </w:rPr>
      </w:pPr>
      <w:r>
        <w:rPr>
          <w:rFonts w:ascii="Arial" w:cs="Arial" w:eastAsia="Arial" w:hAnsi="Arial"/>
          <w:sz w:val="17"/>
          <w:szCs w:val="17"/>
          <w:color w:val="auto"/>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79" w:lineRule="exact"/>
        <w:rPr>
          <w:sz w:val="20"/>
          <w:szCs w:val="20"/>
          <w:color w:val="auto"/>
        </w:rPr>
      </w:pPr>
    </w:p>
    <w:p>
      <w:pPr>
        <w:ind w:firstLine="346"/>
        <w:spacing w:after="0" w:line="291" w:lineRule="auto"/>
        <w:rPr>
          <w:sz w:val="20"/>
          <w:szCs w:val="20"/>
          <w:color w:val="auto"/>
        </w:rPr>
      </w:pPr>
      <w:r>
        <w:rPr>
          <w:rFonts w:ascii="Arial" w:cs="Arial" w:eastAsia="Arial" w:hAnsi="Arial"/>
          <w:sz w:val="17"/>
          <w:szCs w:val="17"/>
          <w:color w:val="auto"/>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1060"/>
          </w:cols>
          <w:pgMar w:left="400" w:top="763" w:right="420" w:bottom="0" w:gutter="0" w:footer="0" w:header="0"/>
          <w:type w:val="continuous"/>
        </w:sectPr>
      </w:pPr>
    </w:p>
    <w:bookmarkStart w:id="179" w:name="page180"/>
    <w:bookmarkEnd w:id="179"/>
    <w:p>
      <w:pPr>
        <w:spacing w:after="0"/>
        <w:rPr>
          <w:sz w:val="20"/>
          <w:szCs w:val="20"/>
          <w:color w:val="auto"/>
        </w:rPr>
      </w:pPr>
      <w:r>
        <w:rPr>
          <w:rFonts w:ascii="Arial" w:cs="Arial" w:eastAsia="Arial" w:hAnsi="Arial"/>
          <w:sz w:val="19"/>
          <w:szCs w:val="19"/>
          <w:b w:val="1"/>
          <w:bCs w:val="1"/>
          <w:color w:val="auto"/>
        </w:rPr>
        <w:t>Risks Related to Financing and Strategic Transactions</w:t>
      </w:r>
    </w:p>
    <w:p>
      <w:pPr>
        <w:spacing w:after="0" w:line="241"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b w:val="1"/>
          <w:bCs w:val="1"/>
          <w:i w:val="1"/>
          <w:iCs w:val="1"/>
          <w:color w:val="auto"/>
        </w:rPr>
        <w:t>We will require additional capital to support business growth, and this capital might not be available on commercially reasonable terms, or at all.</w:t>
      </w:r>
    </w:p>
    <w:p>
      <w:pPr>
        <w:spacing w:after="0" w:line="164" w:lineRule="exact"/>
        <w:rPr>
          <w:sz w:val="20"/>
          <w:szCs w:val="20"/>
          <w:color w:val="auto"/>
        </w:rPr>
      </w:pPr>
    </w:p>
    <w:p>
      <w:pPr>
        <w:ind w:firstLine="346"/>
        <w:spacing w:after="0" w:line="286" w:lineRule="auto"/>
        <w:rPr>
          <w:sz w:val="20"/>
          <w:szCs w:val="20"/>
          <w:color w:val="auto"/>
        </w:rPr>
      </w:pPr>
      <w:r>
        <w:rPr>
          <w:rFonts w:ascii="Arial" w:cs="Arial" w:eastAsia="Arial" w:hAnsi="Arial"/>
          <w:sz w:val="17"/>
          <w:szCs w:val="17"/>
          <w:color w:val="auto"/>
        </w:rPr>
        <w:t>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completed an “at-the-market” equity offering program for aggregate net proceeds of $594.3 million after deducting commissions and other issuance costs and consummated a private placement of common stock to Ayar for aggregate proceeds of $915.0 million in December 2022. In addition, we have, through our subsidiary, entered into a loan agreement with the Saudi Industrial Development Fund for an aggregate principal amount of up to SAR 5.19 billion in February 2022 (the “SIDF Loan Agreement”), entered into a revolving credit facility agreement with Gulf International Bank for an aggregate principal amount of SAR 1.0 billion in April 2022, which was amended in March 2023 (as amended, the “2023 Amended GIB Facility Agreement”), and also entered into $750 million unsecured delayed draw term loan credit facility (the “DDTL Credit Facility”) in August 2024. In June 2023, we completed an underwritten public offering of common stock for aggregate net proceeds of $1.2 billion and consummated a private placement to Ayar for aggregate net proceeds of $1.8 billion, after deducting issuance costs. We also consummated private placements of Redeemable Convertible Preferred Stock to Ayar for aggregate net proceeds of $997.6 million after deducting issuance cost in March 2024 and aggregate net proceeds of $749.4 million after deducting issuance costs in August 2024. In addition, in October 2024, we completed an underwritten public offering of common stock for aggregate net proceeds of $718.4 million after deducting issuance costs and consummated a private placement to Ayar for aggregate net proceeds of approximately $1.0 billion after deducting issuance costs.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w:t>
      </w:r>
    </w:p>
    <w:p>
      <w:pPr>
        <w:spacing w:after="0" w:line="175" w:lineRule="exact"/>
        <w:rPr>
          <w:sz w:val="20"/>
          <w:szCs w:val="20"/>
          <w:color w:val="auto"/>
        </w:rPr>
      </w:pPr>
    </w:p>
    <w:p>
      <w:pPr>
        <w:ind w:right="20" w:firstLine="346"/>
        <w:spacing w:after="0" w:line="294" w:lineRule="auto"/>
        <w:rPr>
          <w:sz w:val="20"/>
          <w:szCs w:val="20"/>
          <w:color w:val="auto"/>
        </w:rPr>
      </w:pPr>
      <w:r>
        <w:rPr>
          <w:rFonts w:ascii="Arial" w:cs="Arial" w:eastAsia="Arial" w:hAnsi="Arial"/>
          <w:sz w:val="17"/>
          <w:szCs w:val="17"/>
          <w:color w:val="auto"/>
        </w:rPr>
        <w:t>Our plan to continue the commercial production of our vehicles and grow our business is dependent upon the timely availability of funds and further investment in design, engineering, component procurement, testing, and the build-out of manufacturing capabilities. For example, we have entered into amended agreements with Panasonic Energy Co., Ltd. and certain of its affiliates. As of December 31, 2024, pursuant to the terms of the amended agreements, we have remaining minimum purchase commitments of an aggregate of approximately $2.7 billion of lithium-ion battery cells using the current base prices, which could vary period-to-period primarily as a result of changes in raw material indexes.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68" w:lineRule="exact"/>
        <w:rPr>
          <w:sz w:val="20"/>
          <w:szCs w:val="20"/>
          <w:color w:val="auto"/>
        </w:rPr>
      </w:pPr>
    </w:p>
    <w:p>
      <w:pPr>
        <w:ind w:right="20" w:firstLine="346"/>
        <w:spacing w:after="0" w:line="262" w:lineRule="auto"/>
        <w:rPr>
          <w:sz w:val="20"/>
          <w:szCs w:val="20"/>
          <w:color w:val="auto"/>
        </w:rPr>
      </w:pPr>
      <w:r>
        <w:rPr>
          <w:rFonts w:ascii="Arial" w:cs="Arial" w:eastAsia="Arial" w:hAnsi="Arial"/>
          <w:sz w:val="19"/>
          <w:szCs w:val="19"/>
          <w:color w:val="auto"/>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91" w:lineRule="exact"/>
        <w:rPr>
          <w:sz w:val="20"/>
          <w:szCs w:val="20"/>
          <w:color w:val="auto"/>
        </w:rPr>
      </w:pPr>
    </w:p>
    <w:p>
      <w:pPr>
        <w:ind w:firstLine="346"/>
        <w:spacing w:after="0" w:line="257" w:lineRule="auto"/>
        <w:rPr>
          <w:sz w:val="20"/>
          <w:szCs w:val="20"/>
          <w:color w:val="auto"/>
        </w:rPr>
      </w:pPr>
      <w:r>
        <w:rPr>
          <w:rFonts w:ascii="Arial" w:cs="Arial" w:eastAsia="Arial" w:hAnsi="Arial"/>
          <w:sz w:val="19"/>
          <w:szCs w:val="19"/>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1060"/>
          </w:cols>
          <w:pgMar w:left="400" w:top="756" w:right="420" w:bottom="0" w:gutter="0" w:footer="0" w:header="0"/>
          <w:type w:val="continuous"/>
        </w:sectPr>
      </w:pPr>
    </w:p>
    <w:bookmarkStart w:id="180" w:name="page181"/>
    <w:bookmarkEnd w:id="180"/>
    <w:p>
      <w:pPr>
        <w:spacing w:after="0"/>
        <w:rPr>
          <w:sz w:val="20"/>
          <w:szCs w:val="20"/>
          <w:color w:val="auto"/>
        </w:rPr>
      </w:pPr>
      <w:r>
        <w:rPr>
          <w:rFonts w:ascii="Arial" w:cs="Arial" w:eastAsia="Arial" w:hAnsi="Arial"/>
          <w:sz w:val="19"/>
          <w:szCs w:val="19"/>
          <w:b w:val="1"/>
          <w:bCs w:val="1"/>
          <w:i w:val="1"/>
          <w:iCs w:val="1"/>
          <w:color w:val="auto"/>
        </w:rPr>
        <w:t>We may not be able to realize the anticipated benefits of our agreement with Aston Martin.</w:t>
      </w:r>
    </w:p>
    <w:p>
      <w:pPr>
        <w:spacing w:after="0" w:line="250" w:lineRule="exact"/>
        <w:rPr>
          <w:sz w:val="20"/>
          <w:szCs w:val="20"/>
          <w:color w:val="auto"/>
        </w:rPr>
      </w:pPr>
    </w:p>
    <w:p>
      <w:pPr>
        <w:ind w:right="80" w:firstLine="346"/>
        <w:spacing w:after="0" w:line="289" w:lineRule="auto"/>
        <w:rPr>
          <w:sz w:val="20"/>
          <w:szCs w:val="20"/>
          <w:color w:val="auto"/>
        </w:rPr>
      </w:pPr>
      <w:r>
        <w:rPr>
          <w:rFonts w:ascii="Arial" w:cs="Arial" w:eastAsia="Arial" w:hAnsi="Arial"/>
          <w:sz w:val="17"/>
          <w:szCs w:val="17"/>
          <w:color w:val="auto"/>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w:t>
      </w:r>
    </w:p>
    <w:p>
      <w:pPr>
        <w:spacing w:after="0" w:line="3" w:lineRule="exact"/>
        <w:rPr>
          <w:sz w:val="20"/>
          <w:szCs w:val="20"/>
          <w:color w:val="auto"/>
        </w:rPr>
      </w:pPr>
    </w:p>
    <w:p>
      <w:pPr>
        <w:ind w:right="120"/>
        <w:spacing w:after="0" w:line="310" w:lineRule="auto"/>
        <w:rPr>
          <w:sz w:val="20"/>
          <w:szCs w:val="20"/>
          <w:color w:val="auto"/>
        </w:rPr>
      </w:pPr>
      <w:r>
        <w:rPr>
          <w:rFonts w:ascii="Arial" w:cs="Arial" w:eastAsia="Arial" w:hAnsi="Arial"/>
          <w:sz w:val="19"/>
          <w:szCs w:val="19"/>
          <w:color w:val="auto"/>
        </w:rPr>
        <w:t>Aston Martin (collectively, the “Strategic Technology Arrangement”). See Item 1 “Business” and Note 16 “Related Party Transactions” to the consolidated financial statements included elsewhere in this Annual Report for more information.</w:t>
      </w:r>
    </w:p>
    <w:p>
      <w:pPr>
        <w:spacing w:after="0" w:line="147" w:lineRule="exact"/>
        <w:rPr>
          <w:sz w:val="20"/>
          <w:szCs w:val="20"/>
          <w:color w:val="auto"/>
        </w:rPr>
      </w:pPr>
    </w:p>
    <w:p>
      <w:pPr>
        <w:ind w:right="160" w:firstLine="346"/>
        <w:spacing w:after="0" w:line="262" w:lineRule="auto"/>
        <w:rPr>
          <w:sz w:val="20"/>
          <w:szCs w:val="20"/>
          <w:color w:val="auto"/>
        </w:rPr>
      </w:pPr>
      <w:r>
        <w:rPr>
          <w:rFonts w:ascii="Arial" w:cs="Arial" w:eastAsia="Arial" w:hAnsi="Arial"/>
          <w:sz w:val="19"/>
          <w:szCs w:val="19"/>
          <w:color w:val="auto"/>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84" w:lineRule="exact"/>
        <w:rPr>
          <w:sz w:val="20"/>
          <w:szCs w:val="20"/>
          <w:color w:val="auto"/>
        </w:rPr>
      </w:pPr>
    </w:p>
    <w:p>
      <w:pPr>
        <w:ind w:right="400" w:firstLine="346"/>
        <w:spacing w:after="0" w:line="260" w:lineRule="auto"/>
        <w:rPr>
          <w:sz w:val="20"/>
          <w:szCs w:val="20"/>
          <w:color w:val="auto"/>
        </w:rPr>
      </w:pPr>
      <w:r>
        <w:rPr>
          <w:rFonts w:ascii="Arial" w:cs="Arial" w:eastAsia="Arial" w:hAnsi="Arial"/>
          <w:sz w:val="19"/>
          <w:szCs w:val="19"/>
          <w:color w:val="auto"/>
        </w:rPr>
        <w:t>In August 2020, the Financial Accounting Standards Board published an Accounting Standards Update, which we refer to as ASU 2020-06, which simplifies certain of the accounting standards that apply to convertible debt such as the 2026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94" w:lineRule="exact"/>
        <w:rPr>
          <w:sz w:val="20"/>
          <w:szCs w:val="20"/>
          <w:color w:val="auto"/>
        </w:rPr>
      </w:pPr>
    </w:p>
    <w:p>
      <w:pPr>
        <w:ind w:firstLine="346"/>
        <w:spacing w:after="0" w:line="262" w:lineRule="auto"/>
        <w:rPr>
          <w:sz w:val="20"/>
          <w:szCs w:val="20"/>
          <w:color w:val="auto"/>
        </w:rPr>
      </w:pPr>
      <w:r>
        <w:rPr>
          <w:rFonts w:ascii="Arial" w:cs="Arial" w:eastAsia="Arial" w:hAnsi="Arial"/>
          <w:sz w:val="19"/>
          <w:szCs w:val="19"/>
          <w:color w:val="auto"/>
        </w:rPr>
        <w:t>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a higher reported loss.</w:t>
      </w:r>
    </w:p>
    <w:p>
      <w:pPr>
        <w:spacing w:after="0" w:line="191" w:lineRule="exact"/>
        <w:rPr>
          <w:sz w:val="20"/>
          <w:szCs w:val="20"/>
          <w:color w:val="auto"/>
        </w:rPr>
      </w:pPr>
    </w:p>
    <w:p>
      <w:pPr>
        <w:ind w:right="160" w:firstLine="346"/>
        <w:spacing w:after="0" w:line="262" w:lineRule="auto"/>
        <w:rPr>
          <w:sz w:val="20"/>
          <w:szCs w:val="20"/>
          <w:color w:val="auto"/>
        </w:rPr>
      </w:pPr>
      <w:r>
        <w:rPr>
          <w:rFonts w:ascii="Arial" w:cs="Arial" w:eastAsia="Arial" w:hAnsi="Arial"/>
          <w:sz w:val="19"/>
          <w:szCs w:val="19"/>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91" w:lineRule="exact"/>
        <w:rPr>
          <w:sz w:val="20"/>
          <w:szCs w:val="20"/>
          <w:color w:val="auto"/>
        </w:rPr>
      </w:pPr>
    </w:p>
    <w:p>
      <w:pPr>
        <w:ind w:right="320" w:firstLine="346"/>
        <w:spacing w:after="0" w:line="317" w:lineRule="auto"/>
        <w:rPr>
          <w:sz w:val="20"/>
          <w:szCs w:val="20"/>
          <w:color w:val="auto"/>
        </w:rPr>
      </w:pPr>
      <w:r>
        <w:rPr>
          <w:rFonts w:ascii="Arial" w:cs="Arial" w:eastAsia="Arial" w:hAnsi="Arial"/>
          <w:sz w:val="17"/>
          <w:szCs w:val="17"/>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1060"/>
          </w:cols>
          <w:pgMar w:left="400" w:top="755" w:right="420" w:bottom="0" w:gutter="0" w:footer="0" w:header="0"/>
          <w:type w:val="continuous"/>
        </w:sectPr>
      </w:pPr>
    </w:p>
    <w:bookmarkStart w:id="181" w:name="page182"/>
    <w:bookmarkEnd w:id="181"/>
    <w:p>
      <w:pPr>
        <w:ind w:right="120"/>
        <w:spacing w:after="0" w:line="301" w:lineRule="auto"/>
        <w:rPr>
          <w:sz w:val="20"/>
          <w:szCs w:val="20"/>
          <w:color w:val="auto"/>
        </w:rPr>
      </w:pPr>
      <w:r>
        <w:rPr>
          <w:rFonts w:ascii="Arial" w:cs="Arial" w:eastAsia="Arial" w:hAnsi="Arial"/>
          <w:sz w:val="17"/>
          <w:szCs w:val="17"/>
          <w:b w:val="1"/>
          <w:bCs w:val="1"/>
          <w:i w:val="1"/>
          <w:iCs w:val="1"/>
          <w:color w:val="auto"/>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spacing w:after="0" w:line="165" w:lineRule="exact"/>
        <w:rPr>
          <w:sz w:val="20"/>
          <w:szCs w:val="20"/>
          <w:color w:val="auto"/>
        </w:rPr>
      </w:pPr>
    </w:p>
    <w:p>
      <w:pPr>
        <w:ind w:firstLine="346"/>
        <w:spacing w:after="0" w:line="271" w:lineRule="auto"/>
        <w:rPr>
          <w:sz w:val="20"/>
          <w:szCs w:val="20"/>
          <w:color w:val="auto"/>
        </w:rPr>
      </w:pPr>
      <w:r>
        <w:rPr>
          <w:rFonts w:ascii="Arial" w:cs="Arial" w:eastAsia="Arial" w:hAnsi="Arial"/>
          <w:sz w:val="18"/>
          <w:szCs w:val="18"/>
          <w:color w:val="auto"/>
        </w:rPr>
        <w:t>In December 2021, we issued $2.0 billion principal amount of 2026 Notes and have entered into several credit facilities in 2022. See Note 6 “Debt” to the consolidated financial statements included elsewhere in this Annual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6" w:lineRule="exact"/>
        <w:rPr>
          <w:sz w:val="20"/>
          <w:szCs w:val="20"/>
          <w:color w:val="auto"/>
        </w:rPr>
      </w:pPr>
    </w:p>
    <w:p>
      <w:pPr>
        <w:ind w:firstLine="346"/>
        <w:spacing w:after="0" w:line="318" w:lineRule="auto"/>
        <w:rPr>
          <w:sz w:val="20"/>
          <w:szCs w:val="20"/>
          <w:color w:val="auto"/>
        </w:rPr>
      </w:pPr>
      <w:r>
        <w:rPr>
          <w:rFonts w:ascii="Arial" w:cs="Arial" w:eastAsia="Arial" w:hAnsi="Arial"/>
          <w:sz w:val="18"/>
          <w:szCs w:val="18"/>
          <w:color w:val="auto"/>
        </w:rPr>
        <w:t>In addition, our indebtedness and our obligations under our Redeemable Convertible Preferred Stock, combined with our other existing and future financial obligations and contractual commitments, could have other important consequences. For example, it could:</w:t>
      </w:r>
    </w:p>
    <w:p>
      <w:pPr>
        <w:spacing w:after="0" w:line="28" w:lineRule="exact"/>
        <w:rPr>
          <w:sz w:val="20"/>
          <w:szCs w:val="20"/>
          <w:color w:val="auto"/>
        </w:rPr>
      </w:pPr>
    </w:p>
    <w:p>
      <w:pPr>
        <w:ind w:left="700" w:right="560" w:hanging="347"/>
        <w:spacing w:after="0" w:line="289" w:lineRule="auto"/>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make us more vulnerable to adverse changes in general U.S. and worldwide economic, industry and competitive conditions and adverse changes in government regulation;</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limit our flexibility in planning for, or reacting to, changes in our business and our industry;</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place us at a disadvantage compared to our competitors who have less debt or other obligations;</w:t>
      </w:r>
    </w:p>
    <w:p>
      <w:pPr>
        <w:spacing w:after="0" w:line="127" w:lineRule="exact"/>
        <w:rPr>
          <w:rFonts w:ascii="Arial" w:cs="Arial" w:eastAsia="Arial" w:hAnsi="Arial"/>
          <w:sz w:val="19"/>
          <w:szCs w:val="19"/>
          <w:color w:val="auto"/>
        </w:rPr>
      </w:pPr>
    </w:p>
    <w:p>
      <w:pPr>
        <w:ind w:left="700" w:right="660" w:hanging="347"/>
        <w:spacing w:after="0" w:line="289" w:lineRule="auto"/>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limit our ability to borrow or raise additional amounts to fund acquisitions, for working capital and for other general corporate purposes; and</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make an acquisition of our company less attractive or more difficult.</w:t>
      </w:r>
    </w:p>
    <w:p>
      <w:pPr>
        <w:spacing w:after="0" w:line="243" w:lineRule="exact"/>
        <w:rPr>
          <w:sz w:val="20"/>
          <w:szCs w:val="20"/>
          <w:color w:val="auto"/>
        </w:rPr>
      </w:pPr>
    </w:p>
    <w:p>
      <w:pPr>
        <w:ind w:right="100" w:firstLine="346"/>
        <w:spacing w:after="0" w:line="273" w:lineRule="auto"/>
        <w:rPr>
          <w:sz w:val="20"/>
          <w:szCs w:val="20"/>
          <w:color w:val="auto"/>
        </w:rPr>
      </w:pPr>
      <w:r>
        <w:rPr>
          <w:rFonts w:ascii="Arial" w:cs="Arial" w:eastAsia="Arial" w:hAnsi="Arial"/>
          <w:sz w:val="18"/>
          <w:szCs w:val="18"/>
          <w:color w:val="auto"/>
        </w:rPr>
        <w:t>In addition, under the SIDF Loan Agreement, the 2023 Amended GIB Facility Agreement,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2" w:lineRule="exact"/>
        <w:rPr>
          <w:sz w:val="20"/>
          <w:szCs w:val="20"/>
          <w:color w:val="auto"/>
        </w:rPr>
      </w:pPr>
    </w:p>
    <w:p>
      <w:pPr>
        <w:ind w:right="60" w:firstLine="346"/>
        <w:spacing w:after="0" w:line="296" w:lineRule="auto"/>
        <w:rPr>
          <w:sz w:val="20"/>
          <w:szCs w:val="20"/>
          <w:color w:val="auto"/>
        </w:rPr>
      </w:pPr>
      <w:r>
        <w:rPr>
          <w:rFonts w:ascii="Arial" w:cs="Arial" w:eastAsia="Arial" w:hAnsi="Arial"/>
          <w:sz w:val="17"/>
          <w:szCs w:val="17"/>
          <w:color w:val="auto"/>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Arial" w:cs="Arial" w:eastAsia="Arial" w:hAnsi="Arial"/>
          <w:sz w:val="17"/>
          <w:szCs w:val="17"/>
          <w:b w:val="1"/>
          <w:bCs w:val="1"/>
          <w:i w:val="1"/>
          <w:iCs w:val="1"/>
          <w:color w:val="auto"/>
        </w:rPr>
        <w:t>We may be unable to raise the funds necessary to pay the cash amounts due upon mandatory conversion, redeem our Redeemable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Convertible Preferred Stock or repurchase the Redeemable Convertible Preferred Stock upon a fundamental change</w:t>
      </w:r>
      <w:r>
        <w:rPr>
          <w:rFonts w:ascii="Arial" w:cs="Arial" w:eastAsia="Arial" w:hAnsi="Arial"/>
          <w:sz w:val="17"/>
          <w:szCs w:val="17"/>
          <w:color w:val="auto"/>
        </w:rPr>
        <w:t>.”</w:t>
      </w:r>
    </w:p>
    <w:p>
      <w:pPr>
        <w:spacing w:after="0" w:line="167" w:lineRule="exact"/>
        <w:rPr>
          <w:sz w:val="20"/>
          <w:szCs w:val="20"/>
          <w:color w:val="auto"/>
        </w:rPr>
      </w:pPr>
    </w:p>
    <w:p>
      <w:pPr>
        <w:ind w:right="60" w:firstLine="346"/>
        <w:spacing w:after="0" w:line="271" w:lineRule="auto"/>
        <w:rPr>
          <w:sz w:val="20"/>
          <w:szCs w:val="20"/>
          <w:color w:val="auto"/>
        </w:rPr>
      </w:pPr>
      <w:r>
        <w:rPr>
          <w:rFonts w:ascii="Arial" w:cs="Arial" w:eastAsia="Arial" w:hAnsi="Arial"/>
          <w:sz w:val="19"/>
          <w:szCs w:val="19"/>
          <w:color w:val="auto"/>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1060"/>
          </w:cols>
          <w:pgMar w:left="400" w:top="755" w:right="420" w:bottom="0" w:gutter="0" w:footer="0" w:header="0"/>
          <w:type w:val="continuous"/>
        </w:sectPr>
      </w:pPr>
    </w:p>
    <w:bookmarkStart w:id="182" w:name="page183"/>
    <w:bookmarkEnd w:id="182"/>
    <w:p>
      <w:pPr>
        <w:spacing w:after="0"/>
        <w:rPr>
          <w:sz w:val="20"/>
          <w:szCs w:val="20"/>
          <w:color w:val="auto"/>
        </w:rPr>
      </w:pPr>
      <w:r>
        <w:rPr>
          <w:rFonts w:ascii="Arial" w:cs="Arial" w:eastAsia="Arial" w:hAnsi="Arial"/>
          <w:sz w:val="19"/>
          <w:szCs w:val="19"/>
          <w:b w:val="1"/>
          <w:bCs w:val="1"/>
          <w:i w:val="1"/>
          <w:iCs w:val="1"/>
          <w:color w:val="auto"/>
        </w:rPr>
        <w:t>We have incurred and may still incur substantially more debt.</w:t>
      </w:r>
    </w:p>
    <w:p>
      <w:pPr>
        <w:spacing w:after="0" w:line="250" w:lineRule="exact"/>
        <w:rPr>
          <w:sz w:val="20"/>
          <w:szCs w:val="20"/>
          <w:color w:val="auto"/>
        </w:rPr>
      </w:pPr>
    </w:p>
    <w:p>
      <w:pPr>
        <w:ind w:right="80" w:firstLine="346"/>
        <w:spacing w:after="0" w:line="260" w:lineRule="auto"/>
        <w:rPr>
          <w:sz w:val="20"/>
          <w:szCs w:val="20"/>
          <w:color w:val="auto"/>
        </w:rPr>
      </w:pPr>
      <w:r>
        <w:rPr>
          <w:rFonts w:ascii="Arial" w:cs="Arial" w:eastAsia="Arial" w:hAnsi="Arial"/>
          <w:sz w:val="19"/>
          <w:szCs w:val="19"/>
          <w:color w:val="auto"/>
        </w:rPr>
        <w:t>We and our subsidiaries have incurred and may need to incur substantial additional debt in the future, subject to the restrictions contained in our debt instruments, some of which may be secured debt. The ABL Credit Facility and Certificate of Designations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73" w:lineRule="exact"/>
        <w:rPr>
          <w:sz w:val="20"/>
          <w:szCs w:val="20"/>
          <w:color w:val="auto"/>
        </w:rPr>
      </w:pPr>
    </w:p>
    <w:p>
      <w:pPr>
        <w:ind w:right="80" w:firstLine="346"/>
        <w:spacing w:after="0" w:line="292" w:lineRule="auto"/>
        <w:rPr>
          <w:sz w:val="20"/>
          <w:szCs w:val="20"/>
          <w:color w:val="auto"/>
        </w:rPr>
      </w:pPr>
      <w:r>
        <w:rPr>
          <w:rFonts w:ascii="Arial" w:cs="Arial" w:eastAsia="Arial" w:hAnsi="Arial"/>
          <w:sz w:val="17"/>
          <w:szCs w:val="17"/>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64"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i w:val="1"/>
          <w:iCs w:val="1"/>
          <w:color w:val="auto"/>
        </w:rPr>
        <w:t>We may be unable to raise the funds necessary to repurchase the 2026 Notes for cash following a fundamental change, or to pay any cash amounts due upon conversion, and our other indebtedness may limit our ability to repurchase the 2026 Notes or pay cash upon their conversion.</w:t>
      </w:r>
    </w:p>
    <w:p>
      <w:pPr>
        <w:spacing w:after="0" w:line="184" w:lineRule="exact"/>
        <w:rPr>
          <w:sz w:val="20"/>
          <w:szCs w:val="20"/>
          <w:color w:val="auto"/>
        </w:rPr>
      </w:pPr>
    </w:p>
    <w:p>
      <w:pPr>
        <w:ind w:right="20" w:firstLine="346"/>
        <w:spacing w:after="0" w:line="290" w:lineRule="auto"/>
        <w:rPr>
          <w:sz w:val="20"/>
          <w:szCs w:val="20"/>
          <w:color w:val="auto"/>
        </w:rPr>
      </w:pPr>
      <w:r>
        <w:rPr>
          <w:rFonts w:ascii="Arial" w:cs="Arial" w:eastAsia="Arial" w:hAnsi="Arial"/>
          <w:sz w:val="17"/>
          <w:szCs w:val="17"/>
          <w:color w:val="auto"/>
        </w:rPr>
        <w:t>Noteholders may, subject to a limited exception, require us to repurchase their 2026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and Certificate of Designations,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66" w:lineRule="exact"/>
        <w:rPr>
          <w:sz w:val="20"/>
          <w:szCs w:val="20"/>
          <w:color w:val="auto"/>
        </w:rPr>
      </w:pPr>
    </w:p>
    <w:p>
      <w:pPr>
        <w:ind w:right="20"/>
        <w:spacing w:after="0" w:line="328" w:lineRule="auto"/>
        <w:rPr>
          <w:sz w:val="20"/>
          <w:szCs w:val="20"/>
          <w:color w:val="auto"/>
        </w:rPr>
      </w:pPr>
      <w:r>
        <w:rPr>
          <w:rFonts w:ascii="Arial" w:cs="Arial" w:eastAsia="Arial" w:hAnsi="Arial"/>
          <w:sz w:val="18"/>
          <w:szCs w:val="18"/>
          <w:b w:val="1"/>
          <w:bCs w:val="1"/>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p>
    <w:p>
      <w:pPr>
        <w:spacing w:after="0" w:line="134" w:lineRule="exact"/>
        <w:rPr>
          <w:sz w:val="20"/>
          <w:szCs w:val="20"/>
          <w:color w:val="auto"/>
        </w:rPr>
      </w:pPr>
    </w:p>
    <w:p>
      <w:pPr>
        <w:ind w:firstLine="346"/>
        <w:spacing w:after="0" w:line="291" w:lineRule="auto"/>
        <w:rPr>
          <w:sz w:val="20"/>
          <w:szCs w:val="20"/>
          <w:color w:val="auto"/>
        </w:rPr>
      </w:pPr>
      <w:r>
        <w:rPr>
          <w:rFonts w:ascii="Arial" w:cs="Arial" w:eastAsia="Arial" w:hAnsi="Arial"/>
          <w:sz w:val="17"/>
          <w:szCs w:val="17"/>
          <w:color w:val="auto"/>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spacing w:after="0" w:line="172" w:lineRule="exact"/>
        <w:rPr>
          <w:sz w:val="20"/>
          <w:szCs w:val="20"/>
          <w:color w:val="auto"/>
        </w:rPr>
      </w:pPr>
    </w:p>
    <w:p>
      <w:pPr>
        <w:ind w:right="200" w:firstLine="346"/>
        <w:spacing w:after="0" w:line="282" w:lineRule="auto"/>
        <w:rPr>
          <w:sz w:val="20"/>
          <w:szCs w:val="20"/>
          <w:color w:val="auto"/>
        </w:rPr>
      </w:pPr>
      <w:r>
        <w:rPr>
          <w:rFonts w:ascii="Arial" w:cs="Arial" w:eastAsia="Arial" w:hAnsi="Arial"/>
          <w:sz w:val="17"/>
          <w:szCs w:val="17"/>
          <w:color w:val="auto"/>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Arial" w:cs="Arial" w:eastAsia="Arial" w:hAnsi="Arial"/>
          <w:sz w:val="17"/>
          <w:szCs w:val="17"/>
          <w:b w:val="1"/>
          <w:bCs w:val="1"/>
          <w:i w:val="1"/>
          <w:iCs w:val="1"/>
          <w:color w:val="auto"/>
        </w:rPr>
        <w:t>The settlement of our obligations upon conversion, optional redemption or required repurchase of our Redeemable Convertible Preferred</w:t>
      </w:r>
    </w:p>
    <w:p>
      <w:pPr>
        <w:spacing w:after="0" w:line="3" w:lineRule="exact"/>
        <w:rPr>
          <w:sz w:val="20"/>
          <w:szCs w:val="20"/>
          <w:color w:val="auto"/>
        </w:rPr>
      </w:pPr>
    </w:p>
    <w:p>
      <w:pPr>
        <w:ind w:right="700"/>
        <w:spacing w:after="0" w:line="292" w:lineRule="auto"/>
        <w:rPr>
          <w:sz w:val="20"/>
          <w:szCs w:val="20"/>
          <w:color w:val="auto"/>
        </w:rPr>
      </w:pPr>
      <w:r>
        <w:rPr>
          <w:rFonts w:ascii="Arial" w:cs="Arial" w:eastAsia="Arial" w:hAnsi="Arial"/>
          <w:sz w:val="19"/>
          <w:szCs w:val="19"/>
          <w:b w:val="1"/>
          <w:bCs w:val="1"/>
          <w:i w:val="1"/>
          <w:iCs w:val="1"/>
          <w:color w:val="auto"/>
        </w:rPr>
        <w:t>Stock is expected to dilute the ownership of common stockholders and the number of shares of common stock issuable upon mandatory conversion, optional redemption or fundamental change is presently indeterminable</w:t>
      </w:r>
      <w:r>
        <w:rPr>
          <w:rFonts w:ascii="Arial" w:cs="Arial" w:eastAsia="Arial" w:hAnsi="Arial"/>
          <w:sz w:val="19"/>
          <w:szCs w:val="19"/>
          <w:color w:val="auto"/>
        </w:rPr>
        <w:t>.”</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1080"/>
          </w:cols>
          <w:pgMar w:left="400" w:top="755" w:right="400" w:bottom="0" w:gutter="0" w:footer="0" w:header="0"/>
          <w:type w:val="continuous"/>
        </w:sectPr>
      </w:pPr>
    </w:p>
    <w:bookmarkStart w:id="183" w:name="page184"/>
    <w:bookmarkEnd w:id="183"/>
    <w:p>
      <w:pPr>
        <w:ind w:right="340"/>
        <w:spacing w:after="0" w:line="318" w:lineRule="auto"/>
        <w:rPr>
          <w:sz w:val="20"/>
          <w:szCs w:val="20"/>
          <w:color w:val="auto"/>
        </w:rPr>
      </w:pPr>
      <w:r>
        <w:rPr>
          <w:rFonts w:ascii="Arial" w:cs="Arial" w:eastAsia="Arial" w:hAnsi="Arial"/>
          <w:sz w:val="17"/>
          <w:szCs w:val="17"/>
          <w:b w:val="1"/>
          <w:bCs w:val="1"/>
          <w:i w:val="1"/>
          <w:iCs w:val="1"/>
          <w:color w:val="auto"/>
        </w:rPr>
        <w:t>The settlement of our obligations upon conversion, optional redemption or required repurchase of our Series A or Series B Redeemable Convertible Preferred Stock is expected to dilute the ownership of common stockholders and the number of shares of common stock issuable upon mandatory conversion, optional redemption or fundamental change is presently indeterminable.</w:t>
      </w:r>
    </w:p>
    <w:p>
      <w:pPr>
        <w:spacing w:after="0" w:line="150" w:lineRule="exact"/>
        <w:rPr>
          <w:sz w:val="20"/>
          <w:szCs w:val="20"/>
          <w:color w:val="auto"/>
        </w:rPr>
      </w:pPr>
    </w:p>
    <w:p>
      <w:pPr>
        <w:ind w:firstLine="346"/>
        <w:spacing w:after="0" w:line="286" w:lineRule="auto"/>
        <w:rPr>
          <w:sz w:val="20"/>
          <w:szCs w:val="20"/>
          <w:color w:val="auto"/>
        </w:rPr>
      </w:pPr>
      <w:r>
        <w:rPr>
          <w:rFonts w:ascii="Arial" w:cs="Arial" w:eastAsia="Arial" w:hAnsi="Arial"/>
          <w:sz w:val="17"/>
          <w:szCs w:val="17"/>
          <w:color w:val="auto"/>
        </w:rPr>
        <w:t>The Series A Redeemable Convertible Preferred Stock and the Series B Redeemable Convertible Preferred Stock are convertible into our common stock at an initial conversion price of $3.5952 per share and $4.3799 per share, respectively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 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Arial" w:cs="Arial" w:eastAsia="Arial" w:hAnsi="Arial"/>
          <w:sz w:val="17"/>
          <w:szCs w:val="17"/>
          <w:b w:val="1"/>
          <w:bCs w:val="1"/>
          <w:i w:val="1"/>
          <w:iCs w:val="1"/>
          <w:color w:val="auto"/>
        </w:rPr>
        <w:t>We may be unable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raise the funds necessary should any cash amounts become payable upon mandatory conversion or in connection with a fundamental change in relation to our Redeemable Convertible Preferred Stock, or to optionally redeem our Redeemable Convertible Preferred Stock</w:t>
      </w:r>
      <w:r>
        <w:rPr>
          <w:rFonts w:ascii="Arial" w:cs="Arial" w:eastAsia="Arial" w:hAnsi="Arial"/>
          <w:sz w:val="17"/>
          <w:szCs w:val="17"/>
          <w:color w:val="auto"/>
        </w:rPr>
        <w: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of the Redeemable Convertible Preferred Stock will also increase the number of shares of our common stock available for public trading, which could adversely affect prevailing market prices of our common stock.</w:t>
      </w:r>
    </w:p>
    <w:p>
      <w:pPr>
        <w:spacing w:after="0" w:line="175" w:lineRule="exact"/>
        <w:rPr>
          <w:sz w:val="20"/>
          <w:szCs w:val="20"/>
          <w:color w:val="auto"/>
        </w:rPr>
      </w:pPr>
    </w:p>
    <w:p>
      <w:pPr>
        <w:ind w:right="160" w:firstLine="346"/>
        <w:spacing w:after="0" w:line="271" w:lineRule="auto"/>
        <w:rPr>
          <w:sz w:val="20"/>
          <w:szCs w:val="20"/>
          <w:color w:val="auto"/>
        </w:rPr>
      </w:pPr>
      <w:r>
        <w:rPr>
          <w:rFonts w:ascii="Arial" w:cs="Arial" w:eastAsia="Arial" w:hAnsi="Arial"/>
          <w:sz w:val="18"/>
          <w:szCs w:val="18"/>
          <w:color w:val="auto"/>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spacing w:after="0" w:line="184" w:lineRule="exact"/>
        <w:rPr>
          <w:sz w:val="20"/>
          <w:szCs w:val="20"/>
          <w:color w:val="auto"/>
        </w:rPr>
      </w:pPr>
    </w:p>
    <w:p>
      <w:pPr>
        <w:ind w:right="160"/>
        <w:spacing w:after="0" w:line="320" w:lineRule="auto"/>
        <w:rPr>
          <w:sz w:val="20"/>
          <w:szCs w:val="20"/>
          <w:color w:val="auto"/>
        </w:rPr>
      </w:pPr>
      <w:r>
        <w:rPr>
          <w:rFonts w:ascii="Arial" w:cs="Arial" w:eastAsia="Arial" w:hAnsi="Arial"/>
          <w:sz w:val="18"/>
          <w:szCs w:val="18"/>
          <w:b w:val="1"/>
          <w:bCs w:val="1"/>
          <w:i w:val="1"/>
          <w:iCs w:val="1"/>
          <w:color w:val="auto"/>
        </w:rPr>
        <w:t>The holders of our Redeemable Convertible Preferred Stock are entitled to vote on an as-converted to common stock basis and have rights to approve certain actions, which reduces the relative voting power of the holders of our common stock.</w:t>
      </w:r>
    </w:p>
    <w:p>
      <w:pPr>
        <w:spacing w:after="0" w:line="144" w:lineRule="exact"/>
        <w:rPr>
          <w:sz w:val="20"/>
          <w:szCs w:val="20"/>
          <w:color w:val="auto"/>
        </w:rPr>
      </w:pPr>
    </w:p>
    <w:p>
      <w:pPr>
        <w:ind w:right="120" w:firstLine="346"/>
        <w:spacing w:after="0" w:line="305" w:lineRule="auto"/>
        <w:rPr>
          <w:sz w:val="20"/>
          <w:szCs w:val="20"/>
          <w:color w:val="auto"/>
        </w:rPr>
      </w:pPr>
      <w:r>
        <w:rPr>
          <w:rFonts w:ascii="Arial" w:cs="Arial" w:eastAsia="Arial" w:hAnsi="Arial"/>
          <w:sz w:val="17"/>
          <w:szCs w:val="17"/>
          <w:color w:val="auto"/>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spacing w:after="0" w:line="159" w:lineRule="exact"/>
        <w:rPr>
          <w:sz w:val="20"/>
          <w:szCs w:val="20"/>
          <w:color w:val="auto"/>
        </w:rPr>
      </w:pPr>
    </w:p>
    <w:p>
      <w:pPr>
        <w:ind w:right="40" w:firstLine="346"/>
        <w:spacing w:after="0" w:line="275" w:lineRule="auto"/>
        <w:rPr>
          <w:sz w:val="20"/>
          <w:szCs w:val="20"/>
          <w:color w:val="auto"/>
        </w:rPr>
      </w:pPr>
      <w:r>
        <w:rPr>
          <w:rFonts w:ascii="Arial" w:cs="Arial" w:eastAsia="Arial" w:hAnsi="Arial"/>
          <w:sz w:val="18"/>
          <w:szCs w:val="18"/>
          <w:color w:val="auto"/>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sectPr>
          <w:pgSz w:w="11880" w:h="15480" w:orient="portrait"/>
          <w:cols w:equalWidth="0" w:num="1">
            <w:col w:w="11060"/>
          </w:cols>
          <w:pgMar w:left="400" w:top="1219" w:right="42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1060"/>
          </w:cols>
          <w:pgMar w:left="400" w:top="1219" w:right="420" w:bottom="0" w:gutter="0" w:footer="0" w:header="0"/>
          <w:type w:val="continuous"/>
        </w:sectPr>
      </w:pPr>
    </w:p>
    <w:bookmarkStart w:id="184" w:name="page185"/>
    <w:bookmarkEnd w:id="184"/>
    <w:p>
      <w:pPr>
        <w:ind w:firstLine="346"/>
        <w:spacing w:after="0" w:line="271" w:lineRule="auto"/>
        <w:rPr>
          <w:sz w:val="20"/>
          <w:szCs w:val="20"/>
          <w:color w:val="auto"/>
        </w:rPr>
      </w:pPr>
      <w:r>
        <w:rPr>
          <w:rFonts w:ascii="Arial" w:cs="Arial" w:eastAsia="Arial" w:hAnsi="Arial"/>
          <w:sz w:val="19"/>
          <w:szCs w:val="19"/>
          <w:color w:val="auto"/>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spacing w:after="0" w:line="174" w:lineRule="exact"/>
        <w:rPr>
          <w:sz w:val="20"/>
          <w:szCs w:val="20"/>
          <w:color w:val="auto"/>
        </w:rPr>
      </w:pPr>
    </w:p>
    <w:p>
      <w:pPr>
        <w:ind w:right="80"/>
        <w:spacing w:after="0" w:line="294" w:lineRule="auto"/>
        <w:rPr>
          <w:sz w:val="20"/>
          <w:szCs w:val="20"/>
          <w:color w:val="auto"/>
        </w:rPr>
      </w:pPr>
      <w:r>
        <w:rPr>
          <w:rFonts w:ascii="Arial" w:cs="Arial" w:eastAsia="Arial" w:hAnsi="Arial"/>
          <w:sz w:val="19"/>
          <w:szCs w:val="19"/>
          <w:b w:val="1"/>
          <w:bCs w:val="1"/>
          <w:i w:val="1"/>
          <w:iCs w:val="1"/>
          <w:color w:val="auto"/>
        </w:rPr>
        <w:t>Our Redeemable Convertible Preferred Stock has rights, preferences and privileges that are not held by, and are senior to the rights of, our common stockholders.</w:t>
      </w:r>
    </w:p>
    <w:p>
      <w:pPr>
        <w:spacing w:after="0" w:line="164" w:lineRule="exact"/>
        <w:rPr>
          <w:sz w:val="20"/>
          <w:szCs w:val="20"/>
          <w:color w:val="auto"/>
        </w:rPr>
      </w:pPr>
    </w:p>
    <w:p>
      <w:pPr>
        <w:ind w:right="40" w:firstLine="346"/>
        <w:spacing w:after="0" w:line="274" w:lineRule="auto"/>
        <w:rPr>
          <w:sz w:val="20"/>
          <w:szCs w:val="20"/>
          <w:color w:val="auto"/>
        </w:rPr>
      </w:pPr>
      <w:r>
        <w:rPr>
          <w:rFonts w:ascii="Arial" w:cs="Arial" w:eastAsia="Arial" w:hAnsi="Arial"/>
          <w:sz w:val="18"/>
          <w:szCs w:val="18"/>
          <w:color w:val="auto"/>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spacing w:after="0" w:line="184" w:lineRule="exact"/>
        <w:rPr>
          <w:sz w:val="20"/>
          <w:szCs w:val="20"/>
          <w:color w:val="auto"/>
        </w:rPr>
      </w:pPr>
    </w:p>
    <w:p>
      <w:pPr>
        <w:ind w:firstLine="346"/>
        <w:spacing w:after="0" w:line="308" w:lineRule="auto"/>
        <w:rPr>
          <w:sz w:val="20"/>
          <w:szCs w:val="20"/>
          <w:color w:val="auto"/>
        </w:rPr>
      </w:pPr>
      <w:r>
        <w:rPr>
          <w:rFonts w:ascii="Arial" w:cs="Arial" w:eastAsia="Arial" w:hAnsi="Arial"/>
          <w:sz w:val="16"/>
          <w:szCs w:val="16"/>
          <w:color w:val="auto"/>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Arial" w:cs="Arial" w:eastAsia="Arial" w:hAnsi="Arial"/>
          <w:sz w:val="16"/>
          <w:szCs w:val="16"/>
          <w:b w:val="1"/>
          <w:bCs w:val="1"/>
          <w:i w:val="1"/>
          <w:iCs w:val="1"/>
          <w:color w:val="auto"/>
        </w:rPr>
        <w:t>The settlement of our obligations upon conversion, optional redemption or required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holders of our Redeemable Convertible Preferred Stock have the right to receive payment in cash upon a mandatory conversion, optional redemption or a fundamental change if certain liquidity conditions are not satisfied. See “—</w:t>
      </w:r>
      <w:r>
        <w:rPr>
          <w:rFonts w:ascii="Arial" w:cs="Arial" w:eastAsia="Arial" w:hAnsi="Arial"/>
          <w:sz w:val="16"/>
          <w:szCs w:val="16"/>
          <w:b w:val="1"/>
          <w:bCs w:val="1"/>
          <w:i w:val="1"/>
          <w:iCs w:val="1"/>
          <w:color w:val="auto"/>
        </w:rPr>
        <w:t>Servicing our current and future debt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potential payment obligations in certain circumstances under our Redeemable Convertible Preferred Stock may require a significant amount of cash, and we may not have sufficient cash flow from our business to pay our indebtedness.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r>
        <w:rPr>
          <w:rFonts w:ascii="Arial" w:cs="Arial" w:eastAsia="Arial" w:hAnsi="Arial"/>
          <w:sz w:val="16"/>
          <w:szCs w:val="16"/>
          <w:color w:val="auto"/>
        </w:rPr>
        <w:t>.”</w:t>
      </w:r>
    </w:p>
    <w:p>
      <w:pPr>
        <w:spacing w:after="0" w:line="150"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b w:val="1"/>
          <w:bCs w:val="1"/>
          <w:i w:val="1"/>
          <w:iCs w:val="1"/>
          <w:color w:val="auto"/>
        </w:rPr>
        <w:t>We may be unable to draw down the full amounts available under the ABL Credit Facility, the SIDF Loan Agreement, the 2023 Amended GIB Facility Agreement or the DDTL Credit Facility.</w:t>
      </w:r>
    </w:p>
    <w:p>
      <w:pPr>
        <w:spacing w:after="0" w:line="164" w:lineRule="exact"/>
        <w:rPr>
          <w:sz w:val="20"/>
          <w:szCs w:val="20"/>
          <w:color w:val="auto"/>
        </w:rPr>
      </w:pPr>
    </w:p>
    <w:p>
      <w:pPr>
        <w:ind w:right="40" w:firstLine="346"/>
        <w:spacing w:after="0" w:line="273" w:lineRule="auto"/>
        <w:rPr>
          <w:sz w:val="20"/>
          <w:szCs w:val="20"/>
          <w:color w:val="auto"/>
        </w:rPr>
      </w:pPr>
      <w:r>
        <w:rPr>
          <w:rFonts w:ascii="Arial" w:cs="Arial" w:eastAsia="Arial" w:hAnsi="Arial"/>
          <w:sz w:val="18"/>
          <w:szCs w:val="18"/>
          <w:color w:val="auto"/>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2023 Amended GIB Facility Agreement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 adverse effect on our cash flows and liquidity.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identify adequate strategic relationship opportunities or form strategic relationships, in the future.</w:t>
      </w:r>
    </w:p>
    <w:p>
      <w:pPr>
        <w:spacing w:after="0" w:line="250" w:lineRule="exact"/>
        <w:rPr>
          <w:sz w:val="20"/>
          <w:szCs w:val="20"/>
          <w:color w:val="auto"/>
        </w:rPr>
      </w:pPr>
    </w:p>
    <w:p>
      <w:pPr>
        <w:ind w:firstLine="346"/>
        <w:spacing w:after="0" w:line="287" w:lineRule="auto"/>
        <w:rPr>
          <w:sz w:val="20"/>
          <w:szCs w:val="20"/>
          <w:color w:val="auto"/>
        </w:rPr>
      </w:pPr>
      <w:r>
        <w:rPr>
          <w:rFonts w:ascii="Arial" w:cs="Arial" w:eastAsia="Arial" w:hAnsi="Arial"/>
          <w:sz w:val="17"/>
          <w:szCs w:val="17"/>
          <w:color w:val="auto"/>
        </w:rPr>
        <w:t>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we will be able to maintain such relationships. In addition,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ectPr>
          <w:pgSz w:w="11880" w:h="15480" w:orient="portrait"/>
          <w:cols w:equalWidth="0" w:num="1">
            <w:col w:w="11060"/>
          </w:cols>
          <w:pgMar w:left="400" w:top="763" w:right="420"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1060"/>
          </w:cols>
          <w:pgMar w:left="400" w:top="763" w:right="420" w:bottom="0" w:gutter="0" w:footer="0" w:header="0"/>
          <w:type w:val="continuous"/>
        </w:sectPr>
      </w:pPr>
    </w:p>
    <w:bookmarkStart w:id="185" w:name="page186"/>
    <w:bookmarkEnd w:id="185"/>
    <w:p>
      <w:pPr>
        <w:ind w:right="60" w:firstLine="346"/>
        <w:spacing w:after="0" w:line="265" w:lineRule="auto"/>
        <w:rPr>
          <w:sz w:val="20"/>
          <w:szCs w:val="20"/>
          <w:color w:val="auto"/>
        </w:rPr>
      </w:pPr>
      <w:r>
        <w:rPr>
          <w:rFonts w:ascii="Arial" w:cs="Arial" w:eastAsia="Arial" w:hAnsi="Arial"/>
          <w:sz w:val="19"/>
          <w:szCs w:val="19"/>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80"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64" w:lineRule="exact"/>
        <w:rPr>
          <w:sz w:val="20"/>
          <w:szCs w:val="20"/>
          <w:color w:val="auto"/>
        </w:rPr>
      </w:pPr>
    </w:p>
    <w:p>
      <w:pPr>
        <w:ind w:right="20" w:firstLine="346"/>
        <w:spacing w:after="0" w:line="271" w:lineRule="auto"/>
        <w:rPr>
          <w:sz w:val="20"/>
          <w:szCs w:val="20"/>
          <w:color w:val="auto"/>
        </w:rPr>
      </w:pPr>
      <w:r>
        <w:rPr>
          <w:rFonts w:ascii="Arial" w:cs="Arial" w:eastAsia="Arial" w:hAnsi="Arial"/>
          <w:sz w:val="18"/>
          <w:szCs w:val="18"/>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78" w:lineRule="exact"/>
        <w:rPr>
          <w:sz w:val="20"/>
          <w:szCs w:val="20"/>
          <w:color w:val="auto"/>
        </w:rPr>
      </w:pPr>
    </w:p>
    <w:p>
      <w:pPr>
        <w:ind w:right="420"/>
        <w:spacing w:after="0" w:line="294" w:lineRule="auto"/>
        <w:rPr>
          <w:sz w:val="20"/>
          <w:szCs w:val="20"/>
          <w:color w:val="auto"/>
        </w:rPr>
      </w:pPr>
      <w:r>
        <w:rPr>
          <w:rFonts w:ascii="Arial" w:cs="Arial" w:eastAsia="Arial" w:hAnsi="Arial"/>
          <w:sz w:val="19"/>
          <w:szCs w:val="19"/>
          <w:b w:val="1"/>
          <w:bCs w:val="1"/>
          <w:i w:val="1"/>
          <w:iCs w:val="1"/>
          <w:color w:val="auto"/>
        </w:rPr>
        <w:t>Our financial results may vary significantly from period-to-period due to fluctuations in our production levels, operating costs, product demand and other factors.</w:t>
      </w:r>
    </w:p>
    <w:p>
      <w:pPr>
        <w:spacing w:after="0" w:line="164" w:lineRule="exact"/>
        <w:rPr>
          <w:sz w:val="20"/>
          <w:szCs w:val="20"/>
          <w:color w:val="auto"/>
        </w:rPr>
      </w:pPr>
    </w:p>
    <w:p>
      <w:pPr>
        <w:ind w:right="20" w:firstLine="346"/>
        <w:spacing w:after="0" w:line="287" w:lineRule="auto"/>
        <w:rPr>
          <w:sz w:val="20"/>
          <w:szCs w:val="20"/>
          <w:color w:val="auto"/>
        </w:rPr>
      </w:pPr>
      <w:r>
        <w:rPr>
          <w:rFonts w:ascii="Arial" w:cs="Arial" w:eastAsia="Arial" w:hAnsi="Arial"/>
          <w:sz w:val="17"/>
          <w:szCs w:val="17"/>
          <w:color w:val="auto"/>
        </w:rPr>
        <w:t>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In addition, automotive manufacturers typically experience significant seasonality, with 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negative publicity relating to our vehicles; changes in consumer preferences and competitive conditions; investment in expansion to new markets; or increase in our sales, service and marketing activities. As a result of these factors, we believe that quarter-to-quarter comparisons of our financial results, especially in the short-term, may have limited utility as an indicator of future performance. Significant variation in our quarterly performance could significantly and adversely affect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Tax</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use net operating loss carryforwards and certain other tax attributes may be limited.</w:t>
      </w:r>
    </w:p>
    <w:p>
      <w:pPr>
        <w:spacing w:after="0" w:line="250" w:lineRule="exact"/>
        <w:rPr>
          <w:sz w:val="20"/>
          <w:szCs w:val="20"/>
          <w:color w:val="auto"/>
        </w:rPr>
      </w:pPr>
    </w:p>
    <w:p>
      <w:pPr>
        <w:ind w:firstLine="346"/>
        <w:spacing w:after="0" w:line="275" w:lineRule="auto"/>
        <w:rPr>
          <w:sz w:val="20"/>
          <w:szCs w:val="20"/>
          <w:color w:val="auto"/>
        </w:rPr>
      </w:pPr>
      <w:r>
        <w:rPr>
          <w:rFonts w:ascii="Arial" w:cs="Arial" w:eastAsia="Arial" w:hAnsi="Arial"/>
          <w:sz w:val="18"/>
          <w:szCs w:val="18"/>
          <w:color w:val="auto"/>
        </w:rPr>
        <w:t>We have accumulated U.S. federal and state net operating loss (“NOL”) carryforwards and research and development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December 31, 2024, we also had U.S. federal research and development credit carryforwards which will begin to expire in 2036 and state research and development credit carryforwards with no expiration. As of December 31, 2024, we have foreign net operating loss carryforwards, the majority of which will begin to expire in 2043. As of December 31, 2024, we maintain a full valuation allowance for our U.S. and the majority of our non-U.S. net deferred tax assets.</w:t>
      </w:r>
    </w:p>
    <w:p>
      <w:pPr>
        <w:spacing w:after="0" w:line="184" w:lineRule="exact"/>
        <w:rPr>
          <w:sz w:val="20"/>
          <w:szCs w:val="20"/>
          <w:color w:val="auto"/>
        </w:rPr>
      </w:pPr>
    </w:p>
    <w:p>
      <w:pPr>
        <w:ind w:right="220" w:firstLine="346"/>
        <w:spacing w:after="0" w:line="265" w:lineRule="auto"/>
        <w:rPr>
          <w:sz w:val="20"/>
          <w:szCs w:val="20"/>
          <w:color w:val="auto"/>
        </w:rPr>
      </w:pPr>
      <w:r>
        <w:rPr>
          <w:rFonts w:ascii="Arial" w:cs="Arial" w:eastAsia="Arial" w:hAnsi="Arial"/>
          <w:sz w:val="19"/>
          <w:szCs w:val="19"/>
          <w:color w:val="auto"/>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ectPr>
          <w:pgSz w:w="11880" w:h="15480" w:orient="portrait"/>
          <w:cols w:equalWidth="0" w:num="1">
            <w:col w:w="11080"/>
          </w:cols>
          <w:pgMar w:left="400" w:top="763" w:right="400" w:bottom="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1080"/>
          </w:cols>
          <w:pgMar w:left="400" w:top="763" w:right="400" w:bottom="0" w:gutter="0" w:footer="0" w:header="0"/>
          <w:type w:val="continuous"/>
        </w:sectPr>
      </w:pPr>
    </w:p>
    <w:bookmarkStart w:id="186" w:name="page187"/>
    <w:bookmarkEnd w:id="186"/>
    <w:p>
      <w:pPr>
        <w:ind w:right="20" w:firstLine="346"/>
        <w:spacing w:after="0" w:line="300"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spacing w:after="0" w:line="162" w:lineRule="exact"/>
        <w:rPr>
          <w:sz w:val="20"/>
          <w:szCs w:val="20"/>
          <w:color w:val="auto"/>
        </w:rPr>
      </w:pPr>
    </w:p>
    <w:p>
      <w:pPr>
        <w:ind w:right="60" w:firstLine="346"/>
        <w:spacing w:after="0" w:line="300" w:lineRule="auto"/>
        <w:rPr>
          <w:sz w:val="20"/>
          <w:szCs w:val="20"/>
          <w:color w:val="auto"/>
        </w:rPr>
      </w:pPr>
      <w:r>
        <w:rPr>
          <w:rFonts w:ascii="Arial" w:cs="Arial" w:eastAsia="Arial" w:hAnsi="Arial"/>
          <w:sz w:val="17"/>
          <w:szCs w:val="17"/>
          <w:color w:val="auto"/>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62" w:lineRule="exact"/>
        <w:rPr>
          <w:sz w:val="20"/>
          <w:szCs w:val="20"/>
          <w:color w:val="auto"/>
        </w:rPr>
      </w:pPr>
    </w:p>
    <w:p>
      <w:pPr>
        <w:ind w:right="140" w:firstLine="346"/>
        <w:spacing w:after="0" w:line="289" w:lineRule="auto"/>
        <w:rPr>
          <w:sz w:val="20"/>
          <w:szCs w:val="20"/>
          <w:color w:val="auto"/>
        </w:rPr>
      </w:pPr>
      <w:r>
        <w:rPr>
          <w:rFonts w:ascii="Arial" w:cs="Arial" w:eastAsia="Arial" w:hAnsi="Arial"/>
          <w:sz w:val="19"/>
          <w:szCs w:val="19"/>
          <w:color w:val="auto"/>
        </w:rPr>
        <w:t>It is possible that we will not generate taxable income in time to use any of our NOL carryforwards and research and development credits before their expiration.</w:t>
      </w:r>
    </w:p>
    <w:p>
      <w:pPr>
        <w:spacing w:after="0" w:line="158" w:lineRule="exact"/>
        <w:rPr>
          <w:sz w:val="20"/>
          <w:szCs w:val="20"/>
          <w:color w:val="auto"/>
        </w:rPr>
      </w:pPr>
    </w:p>
    <w:p>
      <w:pPr>
        <w:ind w:right="740"/>
        <w:spacing w:after="0" w:line="294" w:lineRule="auto"/>
        <w:rPr>
          <w:sz w:val="20"/>
          <w:szCs w:val="20"/>
          <w:color w:val="auto"/>
        </w:rPr>
      </w:pPr>
      <w:r>
        <w:rPr>
          <w:rFonts w:ascii="Arial" w:cs="Arial" w:eastAsia="Arial" w:hAnsi="Arial"/>
          <w:sz w:val="19"/>
          <w:szCs w:val="19"/>
          <w:b w:val="1"/>
          <w:bCs w:val="1"/>
          <w:i w:val="1"/>
          <w:iCs w:val="1"/>
          <w:color w:val="auto"/>
        </w:rPr>
        <w:t>Unanticipated tax laws or any change in the application of existing tax laws to us or our customers or any change to our corporate structure may adversely impact our profitability and business.</w:t>
      </w:r>
    </w:p>
    <w:p>
      <w:pPr>
        <w:spacing w:after="0" w:line="164" w:lineRule="exact"/>
        <w:rPr>
          <w:sz w:val="20"/>
          <w:szCs w:val="20"/>
          <w:color w:val="auto"/>
        </w:rPr>
      </w:pPr>
    </w:p>
    <w:p>
      <w:pPr>
        <w:ind w:firstLine="346"/>
        <w:spacing w:after="0" w:line="277" w:lineRule="auto"/>
        <w:rPr>
          <w:sz w:val="20"/>
          <w:szCs w:val="20"/>
          <w:color w:val="auto"/>
        </w:rPr>
      </w:pPr>
      <w:r>
        <w:rPr>
          <w:rFonts w:ascii="Arial" w:cs="Arial" w:eastAsia="Arial" w:hAnsi="Arial"/>
          <w:sz w:val="18"/>
          <w:szCs w:val="18"/>
          <w:color w:val="auto"/>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0" w:lineRule="exact"/>
        <w:rPr>
          <w:sz w:val="20"/>
          <w:szCs w:val="20"/>
          <w:color w:val="auto"/>
        </w:rPr>
      </w:pPr>
    </w:p>
    <w:p>
      <w:pPr>
        <w:ind w:right="60" w:firstLine="346"/>
        <w:spacing w:after="0" w:line="274" w:lineRule="auto"/>
        <w:rPr>
          <w:sz w:val="20"/>
          <w:szCs w:val="20"/>
          <w:color w:val="auto"/>
        </w:rPr>
      </w:pPr>
      <w:r>
        <w:rPr>
          <w:rFonts w:ascii="Arial" w:cs="Arial" w:eastAsia="Arial" w:hAnsi="Arial"/>
          <w:sz w:val="18"/>
          <w:szCs w:val="18"/>
          <w:color w:val="auto"/>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spacing w:after="0" w:line="184" w:lineRule="exact"/>
        <w:rPr>
          <w:sz w:val="20"/>
          <w:szCs w:val="20"/>
          <w:color w:val="auto"/>
        </w:rPr>
      </w:pPr>
    </w:p>
    <w:p>
      <w:pPr>
        <w:ind w:right="60" w:firstLine="346"/>
        <w:spacing w:after="0" w:line="271" w:lineRule="auto"/>
        <w:rPr>
          <w:sz w:val="20"/>
          <w:szCs w:val="20"/>
          <w:color w:val="auto"/>
        </w:rPr>
      </w:pPr>
      <w:r>
        <w:rPr>
          <w:rFonts w:ascii="Arial" w:cs="Arial" w:eastAsia="Arial" w:hAnsi="Arial"/>
          <w:sz w:val="19"/>
          <w:szCs w:val="19"/>
          <w:color w:val="auto"/>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2" w:lineRule="exact"/>
        <w:rPr>
          <w:sz w:val="20"/>
          <w:szCs w:val="20"/>
          <w:color w:val="auto"/>
        </w:rPr>
      </w:pPr>
    </w:p>
    <w:p>
      <w:pPr>
        <w:ind w:right="500" w:firstLine="346"/>
        <w:spacing w:after="0" w:line="318" w:lineRule="auto"/>
        <w:rPr>
          <w:sz w:val="20"/>
          <w:szCs w:val="20"/>
          <w:color w:val="auto"/>
        </w:rPr>
      </w:pPr>
      <w:r>
        <w:rPr>
          <w:rFonts w:ascii="Arial" w:cs="Arial" w:eastAsia="Arial" w:hAnsi="Arial"/>
          <w:sz w:val="18"/>
          <w:szCs w:val="18"/>
          <w:color w:val="auto"/>
        </w:rPr>
        <w:t>We may change our corporate structure, our business operations or certain agreements that we have entered into relating to taxes in a particular jurisdiction. These changes may materially and adversely impact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285" w:lineRule="exact"/>
        <w:rPr>
          <w:sz w:val="20"/>
          <w:szCs w:val="20"/>
          <w:color w:val="auto"/>
        </w:rPr>
      </w:pPr>
    </w:p>
    <w:p>
      <w:pPr>
        <w:ind w:right="20" w:firstLine="346"/>
        <w:spacing w:after="0" w:line="271"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1060"/>
          </w:cols>
          <w:pgMar w:left="400" w:top="763" w:right="420" w:bottom="0" w:gutter="0" w:footer="0" w:header="0"/>
          <w:type w:val="continuous"/>
        </w:sectPr>
      </w:pPr>
    </w:p>
    <w:bookmarkStart w:id="187" w:name="page188"/>
    <w:bookmarkEnd w:id="187"/>
    <w:p>
      <w:pPr>
        <w:ind w:right="20" w:firstLine="346"/>
        <w:spacing w:after="0" w:line="262" w:lineRule="auto"/>
        <w:rPr>
          <w:sz w:val="20"/>
          <w:szCs w:val="20"/>
          <w:color w:val="auto"/>
        </w:rPr>
      </w:pPr>
      <w:r>
        <w:rPr>
          <w:rFonts w:ascii="Arial" w:cs="Arial" w:eastAsia="Arial" w:hAnsi="Arial"/>
          <w:sz w:val="19"/>
          <w:szCs w:val="19"/>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Public Company Requirements</w:t>
      </w:r>
    </w:p>
    <w:p>
      <w:pPr>
        <w:spacing w:after="0" w:line="241" w:lineRule="exact"/>
        <w:rPr>
          <w:sz w:val="20"/>
          <w:szCs w:val="20"/>
          <w:color w:val="auto"/>
        </w:rPr>
      </w:pPr>
    </w:p>
    <w:p>
      <w:pPr>
        <w:ind w:right="560"/>
        <w:spacing w:after="0" w:line="294" w:lineRule="auto"/>
        <w:rPr>
          <w:sz w:val="20"/>
          <w:szCs w:val="20"/>
          <w:color w:val="auto"/>
        </w:rPr>
      </w:pPr>
      <w:r>
        <w:rPr>
          <w:rFonts w:ascii="Arial" w:cs="Arial" w:eastAsia="Arial" w:hAnsi="Arial"/>
          <w:sz w:val="19"/>
          <w:szCs w:val="19"/>
          <w:b w:val="1"/>
          <w:bCs w:val="1"/>
          <w:i w:val="1"/>
          <w:iCs w:val="1"/>
          <w:color w:val="auto"/>
        </w:rPr>
        <w:t>The requirements of being a public company may strain our resources and distract our management, which could make it difficult to manage our business.</w:t>
      </w:r>
    </w:p>
    <w:p>
      <w:pPr>
        <w:spacing w:after="0" w:line="164" w:lineRule="exact"/>
        <w:rPr>
          <w:sz w:val="20"/>
          <w:szCs w:val="20"/>
          <w:color w:val="auto"/>
        </w:rPr>
      </w:pPr>
    </w:p>
    <w:p>
      <w:pPr>
        <w:ind w:right="180" w:firstLine="346"/>
        <w:spacing w:after="0" w:line="274" w:lineRule="auto"/>
        <w:rPr>
          <w:sz w:val="20"/>
          <w:szCs w:val="20"/>
          <w:color w:val="auto"/>
        </w:rPr>
      </w:pPr>
      <w:r>
        <w:rPr>
          <w:rFonts w:ascii="Arial" w:cs="Arial" w:eastAsia="Arial" w:hAnsi="Arial"/>
          <w:sz w:val="18"/>
          <w:szCs w:val="18"/>
          <w:color w:val="auto"/>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4" w:lineRule="exact"/>
        <w:rPr>
          <w:sz w:val="20"/>
          <w:szCs w:val="20"/>
          <w:color w:val="auto"/>
        </w:rPr>
      </w:pPr>
    </w:p>
    <w:p>
      <w:pPr>
        <w:ind w:right="100" w:firstLine="346"/>
        <w:spacing w:after="0" w:line="273" w:lineRule="auto"/>
        <w:rPr>
          <w:sz w:val="20"/>
          <w:szCs w:val="20"/>
          <w:color w:val="auto"/>
        </w:rPr>
      </w:pPr>
      <w:r>
        <w:rPr>
          <w:rFonts w:ascii="Arial" w:cs="Arial" w:eastAsia="Arial" w:hAnsi="Arial"/>
          <w:sz w:val="18"/>
          <w:szCs w:val="18"/>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6" w:lineRule="exact"/>
        <w:rPr>
          <w:sz w:val="20"/>
          <w:szCs w:val="20"/>
          <w:color w:val="auto"/>
        </w:rPr>
      </w:pPr>
    </w:p>
    <w:p>
      <w:pPr>
        <w:ind w:right="100" w:firstLine="346"/>
        <w:spacing w:after="0" w:line="258" w:lineRule="auto"/>
        <w:rPr>
          <w:sz w:val="20"/>
          <w:szCs w:val="20"/>
          <w:color w:val="auto"/>
        </w:rPr>
      </w:pPr>
      <w:r>
        <w:rPr>
          <w:rFonts w:ascii="Arial" w:cs="Arial" w:eastAsia="Arial" w:hAnsi="Arial"/>
          <w:sz w:val="19"/>
          <w:szCs w:val="19"/>
          <w:color w:val="auto"/>
        </w:rPr>
        <w:t>To implement, maintain and improve the effectiveness of our disclosure controls and procedures, we will need to commit significant resources, hire additional staff and provide additional management oversight. To comply with the requirements of being a public company, we have undertaken, and expect to continue to further undertake in the future, various actions, such as hiring additional accounting staff and implementing new internal controls and procedures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8" w:lineRule="exact"/>
        <w:rPr>
          <w:sz w:val="20"/>
          <w:szCs w:val="20"/>
          <w:color w:val="auto"/>
        </w:rPr>
      </w:pPr>
    </w:p>
    <w:p>
      <w:pPr>
        <w:jc w:val="both"/>
        <w:ind w:right="100"/>
        <w:spacing w:after="0" w:line="273" w:lineRule="auto"/>
        <w:rPr>
          <w:sz w:val="20"/>
          <w:szCs w:val="20"/>
          <w:color w:val="auto"/>
        </w:rPr>
      </w:pPr>
      <w:r>
        <w:rPr>
          <w:rFonts w:ascii="Arial" w:cs="Arial" w:eastAsia="Arial" w:hAnsi="Arial"/>
          <w:sz w:val="19"/>
          <w:szCs w:val="19"/>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4" w:lineRule="exact"/>
        <w:rPr>
          <w:sz w:val="20"/>
          <w:szCs w:val="20"/>
          <w:color w:val="auto"/>
        </w:rPr>
      </w:pPr>
    </w:p>
    <w:p>
      <w:pPr>
        <w:ind w:right="60" w:firstLine="346"/>
        <w:spacing w:after="0" w:line="289" w:lineRule="auto"/>
        <w:rPr>
          <w:sz w:val="20"/>
          <w:szCs w:val="20"/>
          <w:color w:val="auto"/>
        </w:rPr>
      </w:pPr>
      <w:r>
        <w:rPr>
          <w:rFonts w:ascii="Arial" w:cs="Arial" w:eastAsia="Arial" w:hAnsi="Arial"/>
          <w:sz w:val="19"/>
          <w:szCs w:val="19"/>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65" w:lineRule="exact"/>
        <w:rPr>
          <w:sz w:val="20"/>
          <w:szCs w:val="20"/>
          <w:color w:val="auto"/>
        </w:rPr>
      </w:pPr>
    </w:p>
    <w:p>
      <w:pPr>
        <w:jc w:val="both"/>
        <w:ind w:firstLine="346"/>
        <w:spacing w:after="0" w:line="271" w:lineRule="auto"/>
        <w:rPr>
          <w:sz w:val="20"/>
          <w:szCs w:val="20"/>
          <w:color w:val="auto"/>
        </w:rPr>
      </w:pPr>
      <w:r>
        <w:rPr>
          <w:rFonts w:ascii="Arial" w:cs="Arial" w:eastAsia="Arial" w:hAnsi="Arial"/>
          <w:sz w:val="19"/>
          <w:szCs w:val="19"/>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82" w:lineRule="exact"/>
        <w:rPr>
          <w:sz w:val="20"/>
          <w:szCs w:val="20"/>
          <w:color w:val="auto"/>
        </w:rPr>
      </w:pPr>
    </w:p>
    <w:p>
      <w:pPr>
        <w:ind w:firstLine="346"/>
        <w:spacing w:after="0" w:line="290"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ectPr>
          <w:pgSz w:w="11880" w:h="15480" w:orient="portrait"/>
          <w:cols w:equalWidth="0" w:num="1">
            <w:col w:w="11060"/>
          </w:cols>
          <w:pgMar w:left="400" w:top="763" w:right="420" w:bottom="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1060"/>
          </w:cols>
          <w:pgMar w:left="400" w:top="763" w:right="420" w:bottom="0" w:gutter="0" w:footer="0" w:header="0"/>
          <w:type w:val="continuous"/>
        </w:sectPr>
      </w:pPr>
    </w:p>
    <w:bookmarkStart w:id="188" w:name="page189"/>
    <w:bookmarkEnd w:id="188"/>
    <w:p>
      <w:pPr>
        <w:ind w:right="60"/>
        <w:spacing w:after="0" w:line="273" w:lineRule="auto"/>
        <w:rPr>
          <w:sz w:val="20"/>
          <w:szCs w:val="20"/>
          <w:color w:val="auto"/>
        </w:rPr>
      </w:pPr>
      <w:r>
        <w:rPr>
          <w:rFonts w:ascii="Arial" w:cs="Arial" w:eastAsia="Arial" w:hAnsi="Arial"/>
          <w:sz w:val="19"/>
          <w:szCs w:val="19"/>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spacing w:after="0" w:line="184" w:lineRule="exact"/>
        <w:rPr>
          <w:sz w:val="20"/>
          <w:szCs w:val="20"/>
          <w:color w:val="auto"/>
        </w:rPr>
      </w:pPr>
    </w:p>
    <w:p>
      <w:pPr>
        <w:ind w:right="40" w:firstLine="346"/>
        <w:spacing w:after="0" w:line="265" w:lineRule="auto"/>
        <w:rPr>
          <w:sz w:val="20"/>
          <w:szCs w:val="20"/>
          <w:color w:val="auto"/>
        </w:rPr>
      </w:pPr>
      <w:r>
        <w:rPr>
          <w:rFonts w:ascii="Arial" w:cs="Arial" w:eastAsia="Arial" w:hAnsi="Arial"/>
          <w:sz w:val="19"/>
          <w:szCs w:val="19"/>
          <w:color w:val="auto"/>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Common Stock</w:t>
      </w:r>
    </w:p>
    <w:p>
      <w:pPr>
        <w:spacing w:after="0" w:line="241"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b w:val="1"/>
          <w:bCs w:val="1"/>
          <w:i w:val="1"/>
          <w:iCs w:val="1"/>
          <w:color w:val="auto"/>
        </w:rPr>
        <w:t>The price of our common stock has been, and may continue to be, volatile, and this volatility may negatively impact the trading price of our common stock and the 2026 Notes.</w:t>
      </w:r>
    </w:p>
    <w:p>
      <w:pPr>
        <w:spacing w:after="0" w:line="164" w:lineRule="exact"/>
        <w:rPr>
          <w:sz w:val="20"/>
          <w:szCs w:val="20"/>
          <w:color w:val="auto"/>
        </w:rPr>
      </w:pPr>
    </w:p>
    <w:p>
      <w:pPr>
        <w:ind w:right="80" w:firstLine="346"/>
        <w:spacing w:after="0" w:line="277"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Factors affecting the trading price of our securities may include:</w:t>
      </w:r>
    </w:p>
    <w:p>
      <w:pPr>
        <w:spacing w:after="0" w:line="127" w:lineRule="exact"/>
        <w:rPr>
          <w:sz w:val="20"/>
          <w:szCs w:val="20"/>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market conditions in the broader stock market in general, or in our industry in particular;</w:t>
      </w:r>
    </w:p>
    <w:p>
      <w:pPr>
        <w:spacing w:after="0" w:line="127" w:lineRule="exact"/>
        <w:rPr>
          <w:rFonts w:ascii="Arial" w:cs="Arial" w:eastAsia="Arial" w:hAnsi="Arial"/>
          <w:sz w:val="19"/>
          <w:szCs w:val="19"/>
          <w:color w:val="auto"/>
        </w:rPr>
      </w:pPr>
    </w:p>
    <w:p>
      <w:pPr>
        <w:ind w:left="700" w:right="680" w:hanging="347"/>
        <w:spacing w:after="0" w:line="289" w:lineRule="auto"/>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actual or anticipated fluctuations in our quarterly financial or operating results or the quarterly financial or operating results of companies perceived to be similar to ours;</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changes in the market’s expectations about our operating results;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public’s reaction to our press releases, other public announcements and filings with the SEC;</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public’s reaction to financial projections and any other guidance or metrics that we may publicly disclose from time-to-time;</w:t>
      </w:r>
    </w:p>
    <w:p>
      <w:pPr>
        <w:spacing w:after="0" w:line="138" w:lineRule="exact"/>
        <w:rPr>
          <w:rFonts w:ascii="Arial" w:cs="Arial" w:eastAsia="Arial" w:hAnsi="Arial"/>
          <w:sz w:val="18"/>
          <w:szCs w:val="18"/>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speculation in the press or investment community;</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competitors’ businesses or the competitive landscape generally;</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operating results failing to meet the expectation of securities analysts or investors in a particular period;</w:t>
      </w:r>
    </w:p>
    <w:p>
      <w:pPr>
        <w:spacing w:after="0" w:line="127" w:lineRule="exact"/>
        <w:rPr>
          <w:rFonts w:ascii="Arial" w:cs="Arial" w:eastAsia="Arial" w:hAnsi="Arial"/>
          <w:sz w:val="19"/>
          <w:szCs w:val="19"/>
          <w:color w:val="auto"/>
        </w:rPr>
      </w:pPr>
    </w:p>
    <w:p>
      <w:pPr>
        <w:ind w:left="700" w:right="620" w:hanging="347"/>
        <w:spacing w:after="0" w:line="289" w:lineRule="auto"/>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timing of the achievement of objectives under our business plan and the timing and amount of costs we incur in connection therewith;</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changes in financial estimates and recommendations by securities analysts concerning us or the market in general;</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operating and stock price performance of other companies that investors deem comparable to ours;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changes in laws and regulations affecting our business;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commencement of, or involvement in, litigation or investigations involving us;</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changes in our capital structure, such as future issuances of securities or the incurrence of additional debt;</w:t>
      </w:r>
    </w:p>
    <w:p>
      <w:pPr>
        <w:spacing w:after="0" w:line="127" w:lineRule="exact"/>
        <w:rPr>
          <w:rFonts w:ascii="Arial" w:cs="Arial" w:eastAsia="Arial" w:hAnsi="Arial"/>
          <w:sz w:val="19"/>
          <w:szCs w:val="19"/>
          <w:color w:val="auto"/>
        </w:rPr>
      </w:pPr>
    </w:p>
    <w:p>
      <w:pPr>
        <w:ind w:left="700" w:right="240" w:hanging="347"/>
        <w:spacing w:after="0" w:line="289" w:lineRule="auto"/>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volume of our common stock available for public sale, including as a result of conversion of our 2026 Notes or our Redeemable Convertible Preferred Stock;</w:t>
      </w:r>
    </w:p>
    <w:p>
      <w:pPr>
        <w:spacing w:after="0" w:line="50"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major change in our Board or management;</w:t>
      </w:r>
    </w:p>
    <w:p>
      <w:pPr>
        <w:spacing w:after="0" w:line="127" w:lineRule="exact"/>
        <w:rPr>
          <w:rFonts w:ascii="Arial" w:cs="Arial" w:eastAsia="Arial" w:hAnsi="Arial"/>
          <w:sz w:val="19"/>
          <w:szCs w:val="19"/>
          <w:color w:val="auto"/>
        </w:rPr>
      </w:pPr>
    </w:p>
    <w:p>
      <w:pPr>
        <w:ind w:left="700" w:hanging="347"/>
        <w:spacing w:after="0" w:line="289" w:lineRule="auto"/>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sales of substantial amounts of our common stock by our directors, officers or significant stockholders or the perception that such sales could occur;</w:t>
      </w:r>
    </w:p>
    <w:p>
      <w:pPr>
        <w:spacing w:after="0" w:line="50" w:lineRule="exact"/>
        <w:rPr>
          <w:rFonts w:ascii="Arial" w:cs="Arial" w:eastAsia="Arial" w:hAnsi="Arial"/>
          <w:sz w:val="19"/>
          <w:szCs w:val="19"/>
          <w:color w:val="auto"/>
        </w:rPr>
      </w:pPr>
    </w:p>
    <w:p>
      <w:pPr>
        <w:ind w:left="700" w:right="120" w:hanging="347"/>
        <w:spacing w:after="0" w:line="271" w:lineRule="auto"/>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spacing w:after="0" w:line="66" w:lineRule="exact"/>
        <w:rPr>
          <w:rFonts w:ascii="Arial" w:cs="Arial" w:eastAsia="Arial" w:hAnsi="Arial"/>
          <w:sz w:val="19"/>
          <w:szCs w:val="19"/>
          <w:color w:val="auto"/>
        </w:rPr>
      </w:pPr>
    </w:p>
    <w:p>
      <w:pPr>
        <w:ind w:left="700" w:hanging="347"/>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other risk factors listed in this section “Risk Factors.”</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1060"/>
          </w:cols>
          <w:pgMar w:left="400" w:top="755" w:right="420" w:bottom="0" w:gutter="0" w:footer="0" w:header="0"/>
          <w:type w:val="continuous"/>
        </w:sectPr>
      </w:pPr>
    </w:p>
    <w:bookmarkStart w:id="189" w:name="page190"/>
    <w:bookmarkEnd w:id="189"/>
    <w:p>
      <w:pPr>
        <w:ind w:right="40" w:firstLine="346"/>
        <w:spacing w:after="0" w:line="290"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74" w:lineRule="exact"/>
        <w:rPr>
          <w:sz w:val="20"/>
          <w:szCs w:val="20"/>
          <w:color w:val="auto"/>
        </w:rPr>
      </w:pPr>
    </w:p>
    <w:p>
      <w:pPr>
        <w:ind w:right="40" w:firstLine="346"/>
        <w:spacing w:after="0" w:line="274"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84" w:lineRule="exact"/>
        <w:rPr>
          <w:sz w:val="20"/>
          <w:szCs w:val="20"/>
          <w:color w:val="auto"/>
        </w:rPr>
      </w:pPr>
    </w:p>
    <w:p>
      <w:pPr>
        <w:ind w:right="100" w:firstLine="346"/>
        <w:spacing w:after="0" w:line="28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65" w:lineRule="exact"/>
        <w:rPr>
          <w:sz w:val="20"/>
          <w:szCs w:val="20"/>
          <w:color w:val="auto"/>
        </w:rPr>
      </w:pPr>
    </w:p>
    <w:p>
      <w:pPr>
        <w:ind w:right="280"/>
        <w:spacing w:after="0" w:line="294" w:lineRule="auto"/>
        <w:rPr>
          <w:sz w:val="20"/>
          <w:szCs w:val="20"/>
          <w:color w:val="auto"/>
        </w:rPr>
      </w:pPr>
      <w:r>
        <w:rPr>
          <w:rFonts w:ascii="Arial" w:cs="Arial" w:eastAsia="Arial" w:hAnsi="Arial"/>
          <w:sz w:val="19"/>
          <w:szCs w:val="19"/>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64" w:lineRule="exact"/>
        <w:rPr>
          <w:sz w:val="20"/>
          <w:szCs w:val="20"/>
          <w:color w:val="auto"/>
        </w:rPr>
      </w:pPr>
    </w:p>
    <w:p>
      <w:pPr>
        <w:ind w:right="40" w:firstLine="346"/>
        <w:spacing w:after="0" w:line="257" w:lineRule="auto"/>
        <w:rPr>
          <w:sz w:val="20"/>
          <w:szCs w:val="20"/>
          <w:color w:val="auto"/>
        </w:rPr>
      </w:pPr>
      <w:r>
        <w:rPr>
          <w:rFonts w:ascii="Arial" w:cs="Arial" w:eastAsia="Arial" w:hAnsi="Arial"/>
          <w:sz w:val="19"/>
          <w:szCs w:val="19"/>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and/or the conversion of our 2026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200" w:lineRule="exact"/>
        <w:rPr>
          <w:sz w:val="20"/>
          <w:szCs w:val="20"/>
          <w:color w:val="auto"/>
        </w:rPr>
      </w:pPr>
    </w:p>
    <w:p>
      <w:pPr>
        <w:ind w:firstLine="346"/>
        <w:spacing w:after="0" w:line="271" w:lineRule="auto"/>
        <w:rPr>
          <w:sz w:val="20"/>
          <w:szCs w:val="20"/>
          <w:color w:val="auto"/>
        </w:rPr>
      </w:pPr>
      <w:r>
        <w:rPr>
          <w:rFonts w:ascii="Arial" w:cs="Arial" w:eastAsia="Arial" w:hAnsi="Arial"/>
          <w:sz w:val="19"/>
          <w:szCs w:val="19"/>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2" w:lineRule="exact"/>
        <w:rPr>
          <w:sz w:val="20"/>
          <w:szCs w:val="20"/>
          <w:color w:val="auto"/>
        </w:rPr>
      </w:pPr>
    </w:p>
    <w:p>
      <w:pPr>
        <w:ind w:firstLine="346"/>
        <w:spacing w:after="0" w:line="273" w:lineRule="auto"/>
        <w:rPr>
          <w:sz w:val="20"/>
          <w:szCs w:val="20"/>
          <w:color w:val="auto"/>
        </w:rPr>
      </w:pPr>
      <w:r>
        <w:rPr>
          <w:rFonts w:ascii="Arial" w:cs="Arial" w:eastAsia="Arial" w:hAnsi="Arial"/>
          <w:sz w:val="18"/>
          <w:szCs w:val="18"/>
          <w:color w:val="auto"/>
        </w:rPr>
        <w:t>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186" w:lineRule="exact"/>
        <w:rPr>
          <w:sz w:val="20"/>
          <w:szCs w:val="20"/>
          <w:color w:val="auto"/>
        </w:rPr>
      </w:pPr>
    </w:p>
    <w:p>
      <w:pPr>
        <w:ind w:right="60" w:firstLine="346"/>
        <w:spacing w:after="0" w:line="260" w:lineRule="auto"/>
        <w:rPr>
          <w:sz w:val="20"/>
          <w:szCs w:val="20"/>
          <w:color w:val="auto"/>
        </w:rPr>
      </w:pPr>
      <w:r>
        <w:rPr>
          <w:rFonts w:ascii="Arial" w:cs="Arial" w:eastAsia="Arial" w:hAnsi="Arial"/>
          <w:sz w:val="19"/>
          <w:szCs w:val="19"/>
          <w:color w:val="auto"/>
        </w:rPr>
        <w:t>Pursuant to the Series A Subscription Agreement and the Series B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In addition, pursuant to the 2024 Subscription Agreement, Ayar has agreed to restrictions on the sale or transfer of shares of our common stock for a period of 120 days after the closing of the transaction. However, following the expiration of the respective lock-up period, Ayar will not be restricted from selling applicable securities, other than by applicable securities laws.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1060"/>
          </w:cols>
          <w:pgMar w:left="400" w:top="763" w:right="420" w:bottom="0" w:gutter="0" w:footer="0" w:header="0"/>
          <w:type w:val="continuous"/>
        </w:sectPr>
      </w:pPr>
    </w:p>
    <w:bookmarkStart w:id="190" w:name="page191"/>
    <w:bookmarkEnd w:id="190"/>
    <w:p>
      <w:pPr>
        <w:ind w:right="40"/>
        <w:spacing w:after="0" w:line="273" w:lineRule="auto"/>
        <w:rPr>
          <w:sz w:val="20"/>
          <w:szCs w:val="20"/>
          <w:color w:val="auto"/>
        </w:rPr>
      </w:pPr>
      <w:r>
        <w:rPr>
          <w:rFonts w:ascii="Arial" w:cs="Arial" w:eastAsia="Arial" w:hAnsi="Arial"/>
          <w:sz w:val="19"/>
          <w:szCs w:val="19"/>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right="60" w:firstLine="346"/>
        <w:spacing w:after="0" w:line="289" w:lineRule="auto"/>
        <w:rPr>
          <w:sz w:val="20"/>
          <w:szCs w:val="20"/>
          <w:color w:val="auto"/>
        </w:rPr>
      </w:pPr>
      <w:r>
        <w:rPr>
          <w:rFonts w:ascii="Arial" w:cs="Arial" w:eastAsia="Arial" w:hAnsi="Arial"/>
          <w:sz w:val="17"/>
          <w:szCs w:val="17"/>
          <w:color w:val="auto"/>
        </w:rPr>
        <w:t>As of December 31, 2024, the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177" w:lineRule="exact"/>
        <w:rPr>
          <w:sz w:val="20"/>
          <w:szCs w:val="20"/>
          <w:color w:val="auto"/>
        </w:rPr>
      </w:pPr>
    </w:p>
    <w:p>
      <w:pPr>
        <w:ind w:right="80" w:firstLine="346"/>
        <w:spacing w:after="0" w:line="294" w:lineRule="auto"/>
        <w:rPr>
          <w:sz w:val="20"/>
          <w:szCs w:val="20"/>
          <w:color w:val="auto"/>
        </w:rPr>
      </w:pPr>
      <w:r>
        <w:rPr>
          <w:rFonts w:ascii="Arial" w:cs="Arial" w:eastAsia="Arial" w:hAnsi="Arial"/>
          <w:sz w:val="17"/>
          <w:szCs w:val="17"/>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168" w:lineRule="exact"/>
        <w:rPr>
          <w:sz w:val="20"/>
          <w:szCs w:val="20"/>
          <w:color w:val="auto"/>
        </w:rPr>
      </w:pPr>
    </w:p>
    <w:p>
      <w:pPr>
        <w:ind w:right="120" w:firstLine="346"/>
        <w:spacing w:after="0" w:line="280" w:lineRule="auto"/>
        <w:rPr>
          <w:sz w:val="20"/>
          <w:szCs w:val="20"/>
          <w:color w:val="auto"/>
        </w:rPr>
      </w:pPr>
      <w:r>
        <w:rPr>
          <w:rFonts w:ascii="Arial" w:cs="Arial" w:eastAsia="Arial" w:hAnsi="Arial"/>
          <w:sz w:val="18"/>
          <w:szCs w:val="18"/>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PIF and Ayar beneficially own a significant equity interest in us and may take actions that conflict with other stockholders’ interests.</w:t>
      </w:r>
    </w:p>
    <w:p>
      <w:pPr>
        <w:spacing w:after="0" w:line="273" w:lineRule="exact"/>
        <w:rPr>
          <w:sz w:val="20"/>
          <w:szCs w:val="20"/>
          <w:color w:val="auto"/>
        </w:rPr>
      </w:pPr>
    </w:p>
    <w:p>
      <w:pPr>
        <w:ind w:right="80" w:firstLine="346"/>
        <w:spacing w:after="0" w:line="284" w:lineRule="auto"/>
        <w:rPr>
          <w:sz w:val="20"/>
          <w:szCs w:val="20"/>
          <w:color w:val="auto"/>
        </w:rPr>
      </w:pPr>
      <w:r>
        <w:rPr>
          <w:rFonts w:ascii="Arial" w:cs="Arial" w:eastAsia="Arial" w:hAnsi="Arial"/>
          <w:sz w:val="18"/>
          <w:szCs w:val="18"/>
          <w:color w:val="auto"/>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complementary to our business and, as a result, those acquisition opportunities may not be available to us.</w:t>
      </w:r>
    </w:p>
    <w:p>
      <w:pPr>
        <w:spacing w:after="0" w:line="165" w:lineRule="exact"/>
        <w:rPr>
          <w:sz w:val="20"/>
          <w:szCs w:val="20"/>
          <w:color w:val="auto"/>
        </w:rPr>
      </w:pPr>
    </w:p>
    <w:p>
      <w:pPr>
        <w:jc w:val="both"/>
        <w:ind w:right="60"/>
        <w:spacing w:after="0" w:line="395" w:lineRule="auto"/>
        <w:rPr>
          <w:sz w:val="20"/>
          <w:szCs w:val="20"/>
          <w:color w:val="auto"/>
        </w:rPr>
      </w:pPr>
      <w:r>
        <w:rPr>
          <w:rFonts w:ascii="Arial" w:cs="Arial" w:eastAsia="Arial" w:hAnsi="Arial"/>
          <w:sz w:val="16"/>
          <w:szCs w:val="16"/>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94" w:lineRule="exact"/>
        <w:rPr>
          <w:sz w:val="20"/>
          <w:szCs w:val="20"/>
          <w:color w:val="auto"/>
        </w:rPr>
      </w:pPr>
    </w:p>
    <w:p>
      <w:pPr>
        <w:ind w:right="160" w:firstLine="346"/>
        <w:spacing w:after="0" w:line="280"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do not anticipate paying any cash dividends for the foreseeable future.</w:t>
      </w:r>
    </w:p>
    <w:p>
      <w:pPr>
        <w:spacing w:after="0" w:line="250" w:lineRule="exact"/>
        <w:rPr>
          <w:sz w:val="20"/>
          <w:szCs w:val="20"/>
          <w:color w:val="auto"/>
        </w:rPr>
      </w:pPr>
    </w:p>
    <w:p>
      <w:pPr>
        <w:ind w:firstLine="346"/>
        <w:spacing w:after="0" w:line="265" w:lineRule="auto"/>
        <w:rPr>
          <w:sz w:val="20"/>
          <w:szCs w:val="20"/>
          <w:color w:val="auto"/>
        </w:rPr>
      </w:pPr>
      <w:r>
        <w:rPr>
          <w:rFonts w:ascii="Arial" w:cs="Arial" w:eastAsia="Arial" w:hAnsi="Arial"/>
          <w:sz w:val="19"/>
          <w:szCs w:val="19"/>
          <w:color w:val="auto"/>
        </w:rPr>
        <w:t>We have never declared or paid cash dividends on our capital stock, and we do not anticipate paying any cash dividends in the foreseeable future. In addition, the ABL Credit Facility, the DDTL Credit Facility and our Redeemable Convertible Preferred Stock limits our and certain of our subsidiaries’ ability to pay cash dividends. We currently intend to retain our future earnings, if any, for the foreseeable future, to fund the development and growth of our business.</w:t>
      </w:r>
    </w:p>
    <w:p>
      <w:pPr>
        <w:spacing w:after="0" w:line="188" w:lineRule="exact"/>
        <w:rPr>
          <w:sz w:val="20"/>
          <w:szCs w:val="20"/>
          <w:color w:val="auto"/>
        </w:rPr>
      </w:pPr>
    </w:p>
    <w:p>
      <w:pPr>
        <w:ind w:right="160" w:firstLine="346"/>
        <w:spacing w:after="0" w:line="265" w:lineRule="auto"/>
        <w:rPr>
          <w:sz w:val="20"/>
          <w:szCs w:val="20"/>
          <w:color w:val="auto"/>
        </w:rPr>
      </w:pPr>
      <w:r>
        <w:rPr>
          <w:rFonts w:ascii="Arial" w:cs="Arial" w:eastAsia="Arial" w:hAnsi="Arial"/>
          <w:sz w:val="19"/>
          <w:szCs w:val="19"/>
          <w:color w:val="auto"/>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1060"/>
          </w:cols>
          <w:pgMar w:left="400" w:top="755" w:right="420" w:bottom="0" w:gutter="0" w:footer="0" w:header="0"/>
          <w:type w:val="continuous"/>
        </w:sectPr>
      </w:pPr>
    </w:p>
    <w:bookmarkStart w:id="191" w:name="page192"/>
    <w:bookmarkEnd w:id="191"/>
    <w:p>
      <w:pPr>
        <w:spacing w:after="0"/>
        <w:rPr>
          <w:sz w:val="20"/>
          <w:szCs w:val="20"/>
          <w:color w:val="auto"/>
        </w:rPr>
      </w:pPr>
      <w:r>
        <w:rPr>
          <w:rFonts w:ascii="Arial" w:cs="Arial" w:eastAsia="Arial" w:hAnsi="Arial"/>
          <w:sz w:val="19"/>
          <w:szCs w:val="19"/>
          <w:b w:val="1"/>
          <w:bCs w:val="1"/>
          <w:i w:val="1"/>
          <w:iCs w:val="1"/>
          <w:color w:val="auto"/>
        </w:rPr>
        <w:t>There is no guarantee that an active and liquid public market for our securities will be sustained.</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a liquid trading market for our common stock is not sustained:</w:t>
      </w:r>
    </w:p>
    <w:p>
      <w:pPr>
        <w:spacing w:after="0" w:line="127" w:lineRule="exact"/>
        <w:rPr>
          <w:sz w:val="20"/>
          <w:szCs w:val="20"/>
          <w:color w:val="auto"/>
        </w:rPr>
      </w:pPr>
    </w:p>
    <w:p>
      <w:pPr>
        <w:ind w:left="700" w:hanging="347"/>
        <w:spacing w:after="0"/>
        <w:tabs>
          <w:tab w:leader="none" w:pos="7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holders of our common stock may not be able to liquidate their investment in shares of our common stock;</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holders of our common stock may not be able to resell their shares of our common stock at favorable prices, or at all;</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market price of shares of our common stock may experience significant price volatility; and</w:t>
      </w:r>
    </w:p>
    <w:p>
      <w:pPr>
        <w:spacing w:after="0" w:line="127" w:lineRule="exact"/>
        <w:rPr>
          <w:rFonts w:ascii="Arial" w:cs="Arial" w:eastAsia="Arial" w:hAnsi="Arial"/>
          <w:sz w:val="19"/>
          <w:szCs w:val="19"/>
          <w:color w:val="auto"/>
        </w:rPr>
      </w:pPr>
    </w:p>
    <w:p>
      <w:pPr>
        <w:ind w:left="700" w:hanging="347"/>
        <w:spacing w:after="0"/>
        <w:tabs>
          <w:tab w:leader="none" w:pos="7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there may be less efficiency in carrying out purchase and sale orders with respect to our common stock.</w:t>
      </w:r>
    </w:p>
    <w:p>
      <w:pPr>
        <w:spacing w:after="0" w:line="243" w:lineRule="exact"/>
        <w:rPr>
          <w:sz w:val="20"/>
          <w:szCs w:val="20"/>
          <w:color w:val="auto"/>
        </w:rPr>
      </w:pPr>
    </w:p>
    <w:p>
      <w:pPr>
        <w:ind w:right="80" w:firstLine="346"/>
        <w:spacing w:after="0" w:line="265" w:lineRule="auto"/>
        <w:rPr>
          <w:sz w:val="20"/>
          <w:szCs w:val="20"/>
          <w:color w:val="auto"/>
        </w:rPr>
      </w:pPr>
      <w:r>
        <w:rPr>
          <w:rFonts w:ascii="Arial" w:cs="Arial" w:eastAsia="Arial" w:hAnsi="Arial"/>
          <w:sz w:val="19"/>
          <w:szCs w:val="19"/>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spacing w:after="0" w:line="180" w:lineRule="exact"/>
        <w:rPr>
          <w:sz w:val="20"/>
          <w:szCs w:val="20"/>
          <w:color w:val="auto"/>
        </w:rPr>
      </w:pPr>
    </w:p>
    <w:p>
      <w:pPr>
        <w:ind w:right="440"/>
        <w:spacing w:after="0" w:line="267" w:lineRule="auto"/>
        <w:rPr>
          <w:sz w:val="20"/>
          <w:szCs w:val="20"/>
          <w:color w:val="auto"/>
        </w:rPr>
      </w:pPr>
      <w:r>
        <w:rPr>
          <w:rFonts w:ascii="Arial" w:cs="Arial" w:eastAsia="Arial" w:hAnsi="Arial"/>
          <w:sz w:val="19"/>
          <w:szCs w:val="19"/>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88" w:lineRule="exact"/>
        <w:rPr>
          <w:sz w:val="20"/>
          <w:szCs w:val="20"/>
          <w:color w:val="auto"/>
        </w:rPr>
      </w:pPr>
    </w:p>
    <w:p>
      <w:pPr>
        <w:ind w:right="40" w:firstLine="346"/>
        <w:spacing w:after="0" w:line="271" w:lineRule="auto"/>
        <w:rPr>
          <w:sz w:val="20"/>
          <w:szCs w:val="20"/>
          <w:color w:val="auto"/>
        </w:rPr>
      </w:pPr>
      <w:r>
        <w:rPr>
          <w:rFonts w:ascii="Arial" w:cs="Arial" w:eastAsia="Arial" w:hAnsi="Arial"/>
          <w:sz w:val="19"/>
          <w:szCs w:val="19"/>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67" w:lineRule="exact"/>
        <w:rPr>
          <w:sz w:val="20"/>
          <w:szCs w:val="20"/>
          <w:color w:val="auto"/>
        </w:rPr>
      </w:pPr>
    </w:p>
    <w:p>
      <w:pPr>
        <w:ind w:left="700" w:hanging="347"/>
        <w:spacing w:after="0"/>
        <w:tabs>
          <w:tab w:leader="none" w:pos="7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any derivative action or proceeding brought on our behalf;</w:t>
      </w:r>
    </w:p>
    <w:p>
      <w:pPr>
        <w:spacing w:after="0" w:line="127" w:lineRule="exact"/>
        <w:rPr>
          <w:rFonts w:ascii="Arial" w:cs="Arial" w:eastAsia="Arial" w:hAnsi="Arial"/>
          <w:sz w:val="19"/>
          <w:szCs w:val="19"/>
          <w:color w:val="auto"/>
        </w:rPr>
      </w:pPr>
    </w:p>
    <w:p>
      <w:pPr>
        <w:ind w:left="700" w:right="1060" w:hanging="347"/>
        <w:spacing w:after="0" w:line="289" w:lineRule="auto"/>
        <w:tabs>
          <w:tab w:leader="none" w:pos="7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any action asserting a claim of breach of a fiduciary duty owed by any of our directors, officers or employees to us or our stockholders;</w:t>
      </w:r>
    </w:p>
    <w:p>
      <w:pPr>
        <w:spacing w:after="0" w:line="50" w:lineRule="exact"/>
        <w:rPr>
          <w:rFonts w:ascii="Arial" w:cs="Arial" w:eastAsia="Arial" w:hAnsi="Arial"/>
          <w:sz w:val="19"/>
          <w:szCs w:val="19"/>
          <w:color w:val="auto"/>
        </w:rPr>
      </w:pPr>
    </w:p>
    <w:p>
      <w:pPr>
        <w:ind w:left="700" w:hanging="347"/>
        <w:spacing w:after="0" w:line="271" w:lineRule="auto"/>
        <w:tabs>
          <w:tab w:leader="none" w:pos="7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spacing w:after="0" w:line="66" w:lineRule="exact"/>
        <w:rPr>
          <w:rFonts w:ascii="Arial" w:cs="Arial" w:eastAsia="Arial" w:hAnsi="Arial"/>
          <w:sz w:val="19"/>
          <w:szCs w:val="19"/>
          <w:color w:val="auto"/>
        </w:rPr>
      </w:pPr>
    </w:p>
    <w:p>
      <w:pPr>
        <w:ind w:left="700" w:hanging="347"/>
        <w:spacing w:after="0"/>
        <w:tabs>
          <w:tab w:leader="none" w:pos="7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w:t>
      </w:r>
    </w:p>
    <w:p>
      <w:pPr>
        <w:spacing w:after="0" w:line="266" w:lineRule="exact"/>
        <w:rPr>
          <w:sz w:val="20"/>
          <w:szCs w:val="20"/>
          <w:color w:val="auto"/>
        </w:rPr>
      </w:pPr>
    </w:p>
    <w:p>
      <w:pPr>
        <w:ind w:right="20" w:firstLine="346"/>
        <w:spacing w:after="0" w:line="287"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b w:val="1"/>
          <w:bCs w:val="1"/>
          <w:i w:val="1"/>
          <w:iCs w:val="1"/>
          <w:color w:val="auto"/>
        </w:rPr>
        <w:t>Some provisions of Delaware law, our current certificate of incorporation and our current bylaws, our Certificate of Designations and the indenture for the 2026 Notes may deter third parties from acquiring us and diminish the value of our common stock, the 2026 Notes and the Redeemable Convertible Preferred Stock.</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current certificate of incorporation and our current bylaws provide for, among other things:</w:t>
      </w:r>
    </w:p>
    <w:p>
      <w:pPr>
        <w:spacing w:after="0" w:line="127" w:lineRule="exact"/>
        <w:rPr>
          <w:sz w:val="20"/>
          <w:szCs w:val="20"/>
          <w:color w:val="auto"/>
        </w:rPr>
      </w:pPr>
    </w:p>
    <w:p>
      <w:pPr>
        <w:ind w:left="700" w:right="360" w:hanging="347"/>
        <w:spacing w:after="0" w:line="289" w:lineRule="auto"/>
        <w:tabs>
          <w:tab w:leader="none" w:pos="7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0" w:lineRule="exact"/>
        <w:rPr>
          <w:rFonts w:ascii="Arial" w:cs="Arial" w:eastAsia="Arial" w:hAnsi="Arial"/>
          <w:sz w:val="19"/>
          <w:szCs w:val="19"/>
          <w:color w:val="auto"/>
        </w:rPr>
      </w:pPr>
    </w:p>
    <w:p>
      <w:pPr>
        <w:ind w:left="700" w:right="100" w:hanging="347"/>
        <w:spacing w:after="0" w:line="289" w:lineRule="auto"/>
        <w:tabs>
          <w:tab w:leader="none" w:pos="7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subject to the Investor Rights Agreement, advance notice for nominations of directors by stockholders and for stockholders to include matters to be considered at stockholder meetings; and</w:t>
      </w:r>
    </w:p>
    <w:p>
      <w:pPr>
        <w:sectPr>
          <w:pgSz w:w="11880" w:h="15480" w:orient="portrait"/>
          <w:cols w:equalWidth="0" w:num="1">
            <w:col w:w="11080"/>
          </w:cols>
          <w:pgMar w:left="400" w:top="755" w:right="400" w:bottom="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1080"/>
          </w:cols>
          <w:pgMar w:left="400" w:top="755" w:right="400" w:bottom="0" w:gutter="0" w:footer="0" w:header="0"/>
          <w:type w:val="continuous"/>
        </w:sectPr>
      </w:pPr>
    </w:p>
    <w:bookmarkStart w:id="192" w:name="page193"/>
    <w:bookmarkEnd w:id="192"/>
    <w:p>
      <w:pPr>
        <w:ind w:left="700" w:hanging="347"/>
        <w:spacing w:after="0"/>
        <w:tabs>
          <w:tab w:leader="none" w:pos="7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certain limitations on convening special stockholder meetings.</w:t>
      </w:r>
    </w:p>
    <w:p>
      <w:pPr>
        <w:spacing w:after="0" w:line="243" w:lineRule="exact"/>
        <w:rPr>
          <w:sz w:val="20"/>
          <w:szCs w:val="20"/>
          <w:color w:val="auto"/>
        </w:rPr>
      </w:pPr>
    </w:p>
    <w:p>
      <w:pPr>
        <w:ind w:right="60" w:firstLine="346"/>
        <w:spacing w:after="0" w:line="271" w:lineRule="auto"/>
        <w:rPr>
          <w:sz w:val="20"/>
          <w:szCs w:val="20"/>
          <w:color w:val="auto"/>
        </w:rPr>
      </w:pPr>
      <w:r>
        <w:rPr>
          <w:rFonts w:ascii="Arial" w:cs="Arial" w:eastAsia="Arial" w:hAnsi="Arial"/>
          <w:sz w:val="19"/>
          <w:szCs w:val="19"/>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7" w:lineRule="exact"/>
        <w:rPr>
          <w:sz w:val="20"/>
          <w:szCs w:val="20"/>
          <w:color w:val="auto"/>
        </w:rPr>
      </w:pPr>
    </w:p>
    <w:p>
      <w:pPr>
        <w:ind w:left="700" w:right="60" w:hanging="347"/>
        <w:spacing w:after="0" w:line="289" w:lineRule="auto"/>
        <w:tabs>
          <w:tab w:leader="none" w:pos="7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prior to such time, the Board approved either the business combination or the transaction that resulted in the stockholder becoming an interested stockholder;</w:t>
      </w:r>
    </w:p>
    <w:p>
      <w:pPr>
        <w:spacing w:after="0" w:line="50" w:lineRule="exact"/>
        <w:rPr>
          <w:rFonts w:ascii="Arial" w:cs="Arial" w:eastAsia="Arial" w:hAnsi="Arial"/>
          <w:sz w:val="19"/>
          <w:szCs w:val="19"/>
          <w:color w:val="auto"/>
        </w:rPr>
      </w:pPr>
    </w:p>
    <w:p>
      <w:pPr>
        <w:ind w:left="700" w:right="140" w:hanging="347"/>
        <w:spacing w:after="0" w:line="318" w:lineRule="auto"/>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27" w:lineRule="exact"/>
        <w:rPr>
          <w:rFonts w:ascii="Arial" w:cs="Arial" w:eastAsia="Arial" w:hAnsi="Arial"/>
          <w:sz w:val="18"/>
          <w:szCs w:val="18"/>
          <w:color w:val="auto"/>
        </w:rPr>
      </w:pPr>
    </w:p>
    <w:p>
      <w:pPr>
        <w:ind w:left="700" w:hanging="347"/>
        <w:spacing w:after="0" w:line="289" w:lineRule="auto"/>
        <w:tabs>
          <w:tab w:leader="none" w:pos="7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5" w:lineRule="exact"/>
        <w:rPr>
          <w:sz w:val="20"/>
          <w:szCs w:val="20"/>
          <w:color w:val="auto"/>
        </w:rPr>
      </w:pPr>
    </w:p>
    <w:p>
      <w:pPr>
        <w:ind w:right="420" w:firstLine="346"/>
        <w:spacing w:after="0" w:line="284"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73" w:lineRule="exact"/>
        <w:rPr>
          <w:sz w:val="20"/>
          <w:szCs w:val="20"/>
          <w:color w:val="auto"/>
        </w:rPr>
      </w:pPr>
    </w:p>
    <w:p>
      <w:pPr>
        <w:ind w:firstLine="346"/>
        <w:spacing w:after="0" w:line="260" w:lineRule="auto"/>
        <w:rPr>
          <w:sz w:val="20"/>
          <w:szCs w:val="20"/>
          <w:color w:val="auto"/>
        </w:rPr>
      </w:pPr>
      <w:r>
        <w:rPr>
          <w:rFonts w:ascii="Arial" w:cs="Arial" w:eastAsia="Arial" w:hAnsi="Arial"/>
          <w:sz w:val="19"/>
          <w:szCs w:val="19"/>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94" w:lineRule="exact"/>
        <w:rPr>
          <w:sz w:val="20"/>
          <w:szCs w:val="20"/>
          <w:color w:val="auto"/>
        </w:rPr>
      </w:pPr>
    </w:p>
    <w:p>
      <w:pPr>
        <w:ind w:right="100" w:firstLine="346"/>
        <w:spacing w:after="0" w:line="272" w:lineRule="auto"/>
        <w:rPr>
          <w:sz w:val="20"/>
          <w:szCs w:val="20"/>
          <w:color w:val="auto"/>
        </w:rPr>
      </w:pPr>
      <w:r>
        <w:rPr>
          <w:rFonts w:ascii="Arial" w:cs="Arial" w:eastAsia="Arial" w:hAnsi="Arial"/>
          <w:sz w:val="18"/>
          <w:szCs w:val="18"/>
          <w:color w:val="auto"/>
        </w:rPr>
        <w:t>In addition, certain terms of our Redeemable Convertible Preferred Stock and the 2026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Arial" w:cs="Arial" w:eastAsia="Arial" w:hAnsi="Arial"/>
          <w:sz w:val="18"/>
          <w:szCs w:val="18"/>
          <w:b w:val="1"/>
          <w:bCs w:val="1"/>
          <w:i w:val="1"/>
          <w:iCs w:val="1"/>
          <w:color w:val="auto"/>
        </w:rPr>
        <w:t>Our Redeemable Convertible Preferred Stock has rights, preferences and privileges that are not held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by, and are senior to the rights of, our common stockholders</w:t>
      </w:r>
      <w:r>
        <w:rPr>
          <w:rFonts w:ascii="Arial" w:cs="Arial" w:eastAsia="Arial" w:hAnsi="Arial"/>
          <w:sz w:val="18"/>
          <w:szCs w:val="18"/>
          <w:color w:val="auto"/>
        </w:rPr>
        <w:t>.” Similarly, the indenture governing the 2026 Notes generally requires us,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of the holders, to repurchase the 2026 Notes for cash upon the occurrence of a fundamental change and, in certain circumstances, to increase the conversion rate for a holder that converts its 2026 Notes in connection with a make-whole fundamental change, as defined in the indenture for the 2026 Notes. These provisions may make it more costly for a potential acquirer to engage in a business combination transaction with us.</w:t>
      </w:r>
    </w:p>
    <w:p>
      <w:pPr>
        <w:spacing w:after="0" w:line="186" w:lineRule="exact"/>
        <w:rPr>
          <w:sz w:val="20"/>
          <w:szCs w:val="20"/>
          <w:color w:val="auto"/>
        </w:rPr>
      </w:pPr>
    </w:p>
    <w:p>
      <w:pPr>
        <w:ind w:firstLine="346"/>
        <w:spacing w:after="0" w:line="275" w:lineRule="auto"/>
        <w:rPr>
          <w:sz w:val="20"/>
          <w:szCs w:val="20"/>
          <w:color w:val="auto"/>
        </w:rPr>
      </w:pPr>
      <w:r>
        <w:rPr>
          <w:rFonts w:ascii="Arial" w:cs="Arial" w:eastAsia="Arial" w:hAnsi="Arial"/>
          <w:sz w:val="18"/>
          <w:szCs w:val="18"/>
          <w:color w:val="auto"/>
        </w:rPr>
        <w:t>These provisions in our current certificate of incorporation, our current bylaws, our Certificate of Designations and the indenture for the 2026 Notes as well as Delaware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2026 Notes or the Redeemable 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2026 Notes or the Redeemable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11040"/>
          </w:cols>
          <w:pgMar w:left="400" w:top="763"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1040"/>
          </w:cols>
          <w:pgMar w:left="400" w:top="763" w:right="440"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19"/>
          <w:szCs w:val="19"/>
          <w:b w:val="1"/>
          <w:bCs w:val="1"/>
          <w:color w:val="auto"/>
        </w:rPr>
        <w:t>Item 1C. Cybersecurity.</w:t>
      </w:r>
    </w:p>
    <w:p>
      <w:pPr>
        <w:spacing w:after="0" w:line="249"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At Lucid, cybersecurity risk management is an integral part of our overall enterprise risk management program. We have made significant investments in people, processes, and technology to protect Lucid’s connected vehicles, services, confidential business information, and employee and consumer personal data. We have implemented multiple and varied processes and technologies for the avoidance, identification, assessment, mitigation, and remediation of risks from cybersecurity threats and incidents designated to protect against the cybersecurity risk landscape. We regularly assess and enhance our protection, detection, response, and recovery capabilities and engage with the cybersecurity communities including Auto-ISAC, third-party cybersecurity and compliance partners, internal stakeholders, and organizations leading best practices, to support our goals and objectives. Our cybersecurity risk management program integrates multiple teams across the organization, including our IT, digital and physical product, infrastructure, and legal teams, with leadership and oversight by executive management, the Audit Committee of the Board of Directors (“Audit Committee”), and the Board of Directors (“Board”).</w:t>
      </w:r>
    </w:p>
    <w:p>
      <w:pPr>
        <w:spacing w:after="0" w:line="186" w:lineRule="exact"/>
        <w:rPr>
          <w:sz w:val="20"/>
          <w:szCs w:val="20"/>
          <w:color w:val="auto"/>
        </w:rPr>
      </w:pPr>
    </w:p>
    <w:p>
      <w:pPr>
        <w:jc w:val="both"/>
        <w:ind w:right="660"/>
        <w:spacing w:after="0" w:line="293" w:lineRule="auto"/>
        <w:rPr>
          <w:sz w:val="20"/>
          <w:szCs w:val="20"/>
          <w:color w:val="auto"/>
        </w:rPr>
      </w:pPr>
      <w:r>
        <w:rPr>
          <w:rFonts w:ascii="Arial" w:cs="Arial" w:eastAsia="Arial" w:hAnsi="Arial"/>
          <w:sz w:val="18"/>
          <w:szCs w:val="18"/>
          <w:color w:val="auto"/>
        </w:rPr>
        <w:t>To date, Lucid is not aware of risks from cybersecurity threats, including as a result of any previous cybersecurity incidents, that have materially affected or are reasonably likely to materially affect Lucid, including our business strategy, results of operations or financial condition. See Item 1A. “Risk Factors” of this Annual Report for further information about our cybersecurity risk.</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Governance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Board and Committee Oversight</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Our Board has oversight responsibility for our overall enterprise risk management and delegates cybersecurity risk management oversight to the Audit Committee. The Audit Committee oversees Lucid’s policies and practices with respect to risk assessment and risk management, including discussing with management (i) Lucid’s major financial, cybersecurity, privacy and other information technology risk exposures; (ii) the steps that have been taken to monitor and control such exposures; and (iii) any material cybersecurity threats or incidents. The Audit Committee and the Board receive regular reporting from Lucid’s management, including the leadership of our enterprise IT security and product cybersecurity departments (“Cybersecurity Leaders”) on the status of our cybersecurity program and ad hoc reporting on material cybersecurity threats and incidents.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Management’s Role</w:t>
      </w:r>
    </w:p>
    <w:p>
      <w:pPr>
        <w:spacing w:after="0" w:line="24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At the management level, our Information Security Steering Committee (“ISSC”), with oversight by our VP of IT and General Counsel, is responsible for leading our cybersecurity risk management program and enterprise cybersecurity matters. Under the ISSC, we have various cybersecurity working committees, led by our Cybersecurity Leaders, which are primarily responsible for operational review of cybersecurity threats and incidents as part of our incident response process. Cybersecurity Leaders receive reports from our cybersecurity team and monitors the prevention, detection, mitigation, and remediation of cybersecurity threats and incidents. For potentially material cybersecurity threats and incidents, we escalate these to the ISSC, which, with additional oversight and support from our interim CEO, would raise such threats and incidents to our Audit Committee Chair and, as appropriate, to our Board as they arise. If the cybersecurity incident is determined to be material, disclosure would be filed with the SEC within four business days of determination.</w:t>
      </w:r>
    </w:p>
    <w:p>
      <w:pPr>
        <w:spacing w:after="0" w:line="184" w:lineRule="exact"/>
        <w:rPr>
          <w:sz w:val="20"/>
          <w:szCs w:val="20"/>
          <w:color w:val="auto"/>
        </w:rPr>
      </w:pPr>
    </w:p>
    <w:p>
      <w:pPr>
        <w:ind w:right="260"/>
        <w:spacing w:after="0" w:line="265" w:lineRule="auto"/>
        <w:rPr>
          <w:sz w:val="20"/>
          <w:szCs w:val="20"/>
          <w:color w:val="auto"/>
        </w:rPr>
      </w:pPr>
      <w:r>
        <w:rPr>
          <w:rFonts w:ascii="Arial" w:cs="Arial" w:eastAsia="Arial" w:hAnsi="Arial"/>
          <w:sz w:val="19"/>
          <w:szCs w:val="19"/>
          <w:color w:val="auto"/>
        </w:rPr>
        <w:t>Our Cybersecurity Leaders and the dedicated personnel on their teams have industry-recognized certifications such as Certified Information Security Manager, Certified Information Systems Security Professional, and Boardroom qualified Technology Expert, and experienced information systems security professionals and information security managers with many years of technical cybersecurity management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 of Cybersecurity Risk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Our Cybersecurity Risk Management Processes</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cybersecurity risk management program provides a framework for handling cybersecurity threats and incidents by identifying and escalating risks, issues, and key decisions to management, the Audit Committee, and our Board. We designed our program to protect our products and services, confidential business information (including intellectual property), and employee and consumer data and includes steps for detecting and monitoring cybersecurity threats and incidents, assessing the severity of such threats or incidents, identifying the source of such threats or incidents, including whether such threats or incidents are associated with a third-party vendor or service provider, implementing cybersecurity countermeasures and mitigation strategies and informing management, the Audit Committee, and our Board of potentially material cybersecurity threats and incidents. In addition, our cybersecurity team provides cybersecurity training to employees during the onboarding process and on a periodic basis thereafter, with specialized training and tabletop exercises for our core incident response teams and executive management on at least an annual basis.</w:t>
      </w:r>
    </w:p>
    <w:p>
      <w:pPr>
        <w:sectPr>
          <w:pgSz w:w="11880" w:h="15480" w:orient="portrait"/>
          <w:cols w:equalWidth="0" w:num="1">
            <w:col w:w="11020"/>
          </w:cols>
          <w:pgMar w:left="400" w:top="756"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1020"/>
          </w:cols>
          <w:pgMar w:left="400" w:top="756" w:right="460" w:bottom="0" w:gutter="0" w:footer="0" w:header="0"/>
          <w:type w:val="continuous"/>
        </w:sectPr>
      </w:pPr>
    </w:p>
    <w:bookmarkStart w:id="194" w:name="page195"/>
    <w:bookmarkEnd w:id="194"/>
    <w:p>
      <w:pPr>
        <w:ind w:right="260"/>
        <w:spacing w:after="0" w:line="294" w:lineRule="auto"/>
        <w:rPr>
          <w:sz w:val="20"/>
          <w:szCs w:val="20"/>
          <w:color w:val="auto"/>
        </w:rPr>
      </w:pPr>
      <w:r>
        <w:rPr>
          <w:rFonts w:ascii="Arial" w:cs="Arial" w:eastAsia="Arial" w:hAnsi="Arial"/>
          <w:sz w:val="17"/>
          <w:szCs w:val="17"/>
          <w:color w:val="auto"/>
        </w:rPr>
        <w:t>Under the oversight of the ISSC, our cybersecurity risk management program is implemented day-to-day by our cybersecurity team, who identifies, considers, and assesses risks from cybersecurity threats and incidents on a regular basis; establishes processes to monitor such cybersecurity risks; provides mitigation and remediation measures; engages in policy review and development; provides product support and deployment; and maintains our cybersecurity program. Our cybersecurity team also implements data loss prevention tools and capabilities, customer security measures, incident response measures, and processes for management of third-party vendors and service providers. Our cybersecurity incident response is driven by our Lucid Data and Security Incident Response Plan. Based upon the severity assessment and ranking, incidents are handled by the relevant teams for technical, operational, and legal risk management.</w:t>
      </w:r>
    </w:p>
    <w:p>
      <w:pPr>
        <w:spacing w:after="0" w:line="168" w:lineRule="exact"/>
        <w:rPr>
          <w:sz w:val="20"/>
          <w:szCs w:val="20"/>
          <w:color w:val="auto"/>
        </w:rPr>
      </w:pPr>
    </w:p>
    <w:p>
      <w:pPr>
        <w:ind w:right="340"/>
        <w:spacing w:after="0" w:line="271" w:lineRule="auto"/>
        <w:rPr>
          <w:sz w:val="20"/>
          <w:szCs w:val="20"/>
          <w:color w:val="auto"/>
        </w:rPr>
      </w:pPr>
      <w:r>
        <w:rPr>
          <w:rFonts w:ascii="Arial" w:cs="Arial" w:eastAsia="Arial" w:hAnsi="Arial"/>
          <w:sz w:val="19"/>
          <w:szCs w:val="19"/>
          <w:color w:val="auto"/>
        </w:rPr>
        <w:t>In addition, Lucid has implemented processes to integrate our cybersecurity risk management processes into our overall enterprise risk management system including within our greater product management, personnel management, and third-party vendor and service provider management processes.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Third-Party Auditors and Consultants in Cybersecurity Risk Management</w:t>
      </w:r>
    </w:p>
    <w:p>
      <w:pPr>
        <w:spacing w:after="0" w:line="24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cybersecurity team also periodically engages third-party cybersecurity experts for risk assessment and system enhancements. We utilize third-party auditors and assessors in connection with our cybersecurity risk management program to identify gaps and develop policies, procedures, and strategies designed to improve the cybersecurity program. We also use third-party consultants to obtain and will use them to maintain relevant organizational cybersecurity certifications, including UN Regulation 155 Vehicle Cybersecurity Approval. As a general matter, we have from time-to-time utilized third-party cybersecurity consultants on an ad hoc basis in specific instances, including (i) to address potential cybersecurity threats and incidents, (ii) to conduct cybersecurity assessments and penetration testing on high-value systems and applications; and (iii) to develop internal capabilities to improve our cybersecurity defense.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Cybersecurity Risk Management of Third-Party Vendors and Service Providers</w:t>
      </w:r>
    </w:p>
    <w:p>
      <w:pPr>
        <w:spacing w:after="0" w:line="24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have also implemented risk management practices designed to minimize cybersecurity risks that arise from utilizing third-party vendors and service providers that receive or have access to Lucid confidential information or personal data. In order to oversee and identify such risks, we have implemented the following processes: (i) a third-party security risk management program designed to assess security risk of new third-party vendors or service providers and develop countermeasures to manage unacceptable risks; (ii) provisions in our third-party vendors and service provider contracts with added security requirements; (iii) training procurement teams on management of third-party vendor and service providers; (iv) role-based access controls for third-party personnel; and (v) data transfer mechanisms for the sharing of data with third parties. While we are in the process of increasing the resiliency of these capabilities across the board, our control over and ability to monitor the security posture of third-party vendors and service providers remains limited and there can be no assurance that we can prevent, mitigate or remediate the risk of any compromise or failure in the security infrastructure owned or controlled by such third parties. In addition, any contractual protections with such third parties, including our right to indemnification, if any at all, may be limited or insufficient to prevent a negative impact on our business from such compromise or failure.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249" w:lineRule="exact"/>
        <w:rPr>
          <w:sz w:val="20"/>
          <w:szCs w:val="20"/>
          <w:color w:val="auto"/>
        </w:rPr>
      </w:pPr>
    </w:p>
    <w:p>
      <w:pPr>
        <w:ind w:right="80" w:firstLine="346"/>
        <w:spacing w:after="0" w:line="300" w:lineRule="auto"/>
        <w:rPr>
          <w:sz w:val="20"/>
          <w:szCs w:val="20"/>
          <w:color w:val="auto"/>
        </w:rPr>
      </w:pPr>
      <w:r>
        <w:rPr>
          <w:rFonts w:ascii="Arial" w:cs="Arial" w:eastAsia="Arial" w:hAnsi="Arial"/>
          <w:sz w:val="17"/>
          <w:szCs w:val="17"/>
          <w:color w:val="auto"/>
        </w:rPr>
        <w:t>We are headquartered in Newark, California. Our principal facilities include properties in North America, Europe and the Middle East, which are primarily for manufacturing, assembly, warehousing, engineering, retail and service, and administrative activities. We have opened 57 studios and service centers (excluding temporary and satellite service centers) under leases: 42 in North America, eleven in Europe and four in the Middle East. Our current manufacturing facilities are in Casa Grande, Arizona and Saudi Arabia. We currently lease or own the land on which our material properties are situated, and the leased properties are subject to various lease arrangements with third-party entities.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Excluding our growing portfolio of retail and service locations, a list of certain of our principal facilities are outlined below:</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20" w:type="dxa"/>
            <w:vAlign w:val="bottom"/>
            <w:tcBorders>
              <w:bottom w:val="single" w:sz="8" w:color="auto"/>
            </w:tcBorders>
          </w:tcPr>
          <w:p>
            <w:pPr>
              <w:ind w:left="2240"/>
              <w:spacing w:after="0"/>
              <w:rPr>
                <w:sz w:val="20"/>
                <w:szCs w:val="20"/>
                <w:color w:val="auto"/>
              </w:rPr>
            </w:pPr>
            <w:r>
              <w:rPr>
                <w:rFonts w:ascii="Arial" w:cs="Arial" w:eastAsia="Arial" w:hAnsi="Arial"/>
                <w:sz w:val="19"/>
                <w:szCs w:val="19"/>
                <w:b w:val="1"/>
                <w:bCs w:val="1"/>
                <w:color w:val="auto"/>
              </w:rPr>
              <w:t>Primary Use</w:t>
            </w:r>
          </w:p>
        </w:tc>
        <w:tc>
          <w:tcPr>
            <w:tcW w:w="60" w:type="dxa"/>
            <w:vAlign w:val="bottom"/>
            <w:tcBorders>
              <w:bottom w:val="single" w:sz="8" w:color="E6E6E6"/>
            </w:tcBorders>
          </w:tcPr>
          <w:p>
            <w:pPr>
              <w:spacing w:after="0"/>
              <w:rPr>
                <w:sz w:val="22"/>
                <w:szCs w:val="22"/>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Location</w:t>
            </w:r>
          </w:p>
        </w:tc>
        <w:tc>
          <w:tcPr>
            <w:tcW w:w="60" w:type="dxa"/>
            <w:vAlign w:val="bottom"/>
            <w:tcBorders>
              <w:bottom w:val="single" w:sz="8" w:color="E6E6E6"/>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Owned or Leased</w:t>
            </w:r>
          </w:p>
        </w:tc>
      </w:tr>
      <w:tr>
        <w:trPr>
          <w:trHeight w:val="264"/>
        </w:trPr>
        <w:tc>
          <w:tcPr>
            <w:tcW w:w="5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Headquarters</w:t>
            </w:r>
          </w:p>
        </w:tc>
        <w:tc>
          <w:tcPr>
            <w:tcW w:w="60" w:type="dxa"/>
            <w:vAlign w:val="bottom"/>
            <w:shd w:val="clear" w:color="auto" w:fill="E6E6E6"/>
          </w:tcPr>
          <w:p>
            <w:pPr>
              <w:spacing w:after="0"/>
              <w:rPr>
                <w:sz w:val="22"/>
                <w:szCs w:val="22"/>
                <w:color w:val="auto"/>
              </w:rPr>
            </w:pPr>
          </w:p>
        </w:tc>
        <w:tc>
          <w:tcPr>
            <w:tcW w:w="386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96"/>
              </w:rPr>
              <w:t>Newark, CA</w:t>
            </w:r>
          </w:p>
        </w:tc>
        <w:tc>
          <w:tcPr>
            <w:tcW w:w="60" w:type="dxa"/>
            <w:vAlign w:val="bottom"/>
            <w:shd w:val="clear" w:color="auto" w:fill="E6E6E6"/>
          </w:tcPr>
          <w:p>
            <w:pPr>
              <w:spacing w:after="0"/>
              <w:rPr>
                <w:sz w:val="22"/>
                <w:szCs w:val="22"/>
                <w:color w:val="auto"/>
              </w:rPr>
            </w:pPr>
          </w:p>
        </w:tc>
        <w:tc>
          <w:tcPr>
            <w:tcW w:w="158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86"/>
              </w:rPr>
              <w:t>Leased</w:t>
            </w:r>
          </w:p>
        </w:tc>
      </w:tr>
      <w:tr>
        <w:trPr>
          <w:trHeight w:val="274"/>
        </w:trPr>
        <w:tc>
          <w:tcPr>
            <w:tcW w:w="5520" w:type="dxa"/>
            <w:vAlign w:val="bottom"/>
          </w:tcPr>
          <w:p>
            <w:pPr>
              <w:ind w:left="60"/>
              <w:spacing w:after="0"/>
              <w:rPr>
                <w:sz w:val="20"/>
                <w:szCs w:val="20"/>
                <w:color w:val="auto"/>
              </w:rPr>
            </w:pPr>
            <w:r>
              <w:rPr>
                <w:rFonts w:ascii="Arial" w:cs="Arial" w:eastAsia="Arial" w:hAnsi="Arial"/>
                <w:sz w:val="19"/>
                <w:szCs w:val="19"/>
                <w:color w:val="auto"/>
              </w:rPr>
              <w:t>Manufacturing (AMP-1, LPM-1)</w:t>
            </w:r>
          </w:p>
        </w:tc>
        <w:tc>
          <w:tcPr>
            <w:tcW w:w="60" w:type="dxa"/>
            <w:vAlign w:val="bottom"/>
          </w:tcPr>
          <w:p>
            <w:pPr>
              <w:spacing w:after="0"/>
              <w:rPr>
                <w:sz w:val="23"/>
                <w:szCs w:val="23"/>
                <w:color w:val="auto"/>
              </w:rPr>
            </w:pPr>
          </w:p>
        </w:tc>
        <w:tc>
          <w:tcPr>
            <w:tcW w:w="3860" w:type="dxa"/>
            <w:vAlign w:val="bottom"/>
          </w:tcPr>
          <w:p>
            <w:pPr>
              <w:jc w:val="center"/>
              <w:spacing w:after="0"/>
              <w:rPr>
                <w:sz w:val="20"/>
                <w:szCs w:val="20"/>
                <w:color w:val="auto"/>
              </w:rPr>
            </w:pPr>
            <w:r>
              <w:rPr>
                <w:rFonts w:ascii="Arial" w:cs="Arial" w:eastAsia="Arial" w:hAnsi="Arial"/>
                <w:sz w:val="19"/>
                <w:szCs w:val="19"/>
                <w:color w:val="auto"/>
                <w:w w:val="90"/>
              </w:rPr>
              <w:t>Casa Grande, AZ</w:t>
            </w:r>
          </w:p>
        </w:tc>
        <w:tc>
          <w:tcPr>
            <w:tcW w:w="60" w:type="dxa"/>
            <w:vAlign w:val="bottom"/>
          </w:tcPr>
          <w:p>
            <w:pPr>
              <w:spacing w:after="0"/>
              <w:rPr>
                <w:sz w:val="23"/>
                <w:szCs w:val="23"/>
                <w:color w:val="auto"/>
              </w:rPr>
            </w:pPr>
          </w:p>
        </w:tc>
        <w:tc>
          <w:tcPr>
            <w:tcW w:w="1580" w:type="dxa"/>
            <w:vAlign w:val="bottom"/>
          </w:tcPr>
          <w:p>
            <w:pPr>
              <w:jc w:val="center"/>
              <w:spacing w:after="0" w:line="274" w:lineRule="exact"/>
              <w:rPr>
                <w:sz w:val="20"/>
                <w:szCs w:val="20"/>
                <w:color w:val="auto"/>
              </w:rPr>
            </w:pPr>
            <w:r>
              <w:rPr>
                <w:rFonts w:ascii="Arial" w:cs="Arial" w:eastAsia="Arial" w:hAnsi="Arial"/>
                <w:sz w:val="19"/>
                <w:szCs w:val="19"/>
                <w:color w:val="auto"/>
                <w:w w:val="88"/>
              </w:rPr>
              <w:t>Owned/Leased</w:t>
            </w:r>
            <w:r>
              <w:rPr>
                <w:rFonts w:ascii="Arial" w:cs="Arial" w:eastAsia="Arial" w:hAnsi="Arial"/>
                <w:sz w:val="24"/>
                <w:szCs w:val="24"/>
                <w:color w:val="auto"/>
                <w:w w:val="88"/>
                <w:vertAlign w:val="superscript"/>
              </w:rPr>
              <w:t>(1)</w:t>
            </w:r>
          </w:p>
        </w:tc>
      </w:tr>
      <w:tr>
        <w:trPr>
          <w:trHeight w:val="274"/>
        </w:trPr>
        <w:tc>
          <w:tcPr>
            <w:tcW w:w="5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Manufacturing (AMP-2)</w:t>
            </w:r>
          </w:p>
        </w:tc>
        <w:tc>
          <w:tcPr>
            <w:tcW w:w="60" w:type="dxa"/>
            <w:vAlign w:val="bottom"/>
            <w:shd w:val="clear" w:color="auto" w:fill="E6E6E6"/>
          </w:tcPr>
          <w:p>
            <w:pPr>
              <w:spacing w:after="0"/>
              <w:rPr>
                <w:sz w:val="23"/>
                <w:szCs w:val="23"/>
                <w:color w:val="auto"/>
              </w:rPr>
            </w:pPr>
          </w:p>
        </w:tc>
        <w:tc>
          <w:tcPr>
            <w:tcW w:w="386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95"/>
              </w:rPr>
              <w:t>King Abdullah Economic City, Saudi Arabia</w:t>
            </w:r>
          </w:p>
        </w:tc>
        <w:tc>
          <w:tcPr>
            <w:tcW w:w="60" w:type="dxa"/>
            <w:vAlign w:val="bottom"/>
            <w:shd w:val="clear" w:color="auto" w:fill="E6E6E6"/>
          </w:tcPr>
          <w:p>
            <w:pPr>
              <w:spacing w:after="0"/>
              <w:rPr>
                <w:sz w:val="23"/>
                <w:szCs w:val="23"/>
                <w:color w:val="auto"/>
              </w:rPr>
            </w:pPr>
          </w:p>
        </w:tc>
        <w:tc>
          <w:tcPr>
            <w:tcW w:w="158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86"/>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7018655</wp:posOffset>
            </wp:positionH>
            <wp:positionV relativeFrom="paragraph">
              <wp:posOffset>-360045</wp:posOffset>
            </wp:positionV>
            <wp:extent cx="25400" cy="373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1">
                      <a:extLst>
                        <a:ext uri="{28A0092B-C50C-407E-A947-70E740481C1C}"/>
                      </a:extLst>
                    </a:blip>
                    <a:srcRect/>
                    <a:stretch>
                      <a:fillRect/>
                    </a:stretch>
                  </pic:blipFill>
                  <pic:spPr bwMode="auto">
                    <a:xfrm>
                      <a:off x="0" y="0"/>
                      <a:ext cx="25400" cy="3733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-533400</wp:posOffset>
            </wp:positionV>
            <wp:extent cx="70523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2">
                      <a:extLst>
                        <a:ext uri="{28A0092B-C50C-407E-A947-70E740481C1C}"/>
                      </a:extLst>
                    </a:blip>
                    <a:srcRect/>
                    <a:stretch>
                      <a:fillRect/>
                    </a:stretch>
                  </pic:blipFill>
                  <pic:spPr bwMode="auto">
                    <a:xfrm>
                      <a:off x="0" y="0"/>
                      <a:ext cx="7052310" cy="25400"/>
                    </a:xfrm>
                    <a:prstGeom prst="rect">
                      <a:avLst/>
                    </a:prstGeom>
                    <a:noFill/>
                  </pic:spPr>
                </pic:pic>
              </a:graphicData>
            </a:graphic>
          </wp:anchor>
        </w:drawing>
      </w:r>
    </w:p>
    <w:p>
      <w:pPr>
        <w:spacing w:after="0" w:line="258" w:lineRule="exact"/>
        <w:rPr>
          <w:sz w:val="20"/>
          <w:szCs w:val="20"/>
          <w:color w:val="auto"/>
        </w:rPr>
      </w:pPr>
    </w:p>
    <w:p>
      <w:pPr>
        <w:ind w:right="120" w:firstLine="7"/>
        <w:spacing w:after="0" w:line="265" w:lineRule="auto"/>
        <w:tabs>
          <w:tab w:leader="none" w:pos="155" w:val="left"/>
        </w:tabs>
        <w:numPr>
          <w:ilvl w:val="0"/>
          <w:numId w:val="160"/>
        </w:numPr>
        <w:rPr>
          <w:rFonts w:ascii="Arial" w:cs="Arial" w:eastAsia="Arial" w:hAnsi="Arial"/>
          <w:sz w:val="18"/>
          <w:szCs w:val="18"/>
          <w:color w:val="auto"/>
          <w:vertAlign w:val="superscript"/>
        </w:rPr>
      </w:pPr>
      <w:r>
        <w:rPr>
          <w:rFonts w:ascii="Arial" w:cs="Arial" w:eastAsia="Arial" w:hAnsi="Arial"/>
          <w:sz w:val="14"/>
          <w:szCs w:val="14"/>
          <w:color w:val="auto"/>
        </w:rPr>
        <w:t>We own a substantial portion of the AMP-1 property and have an option to purchase the land for the portion of the AMP-1 property that is under lease. The property relating to LPM-1 is under lease.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49" w:lineRule="exact"/>
        <w:rPr>
          <w:sz w:val="20"/>
          <w:szCs w:val="20"/>
          <w:color w:val="auto"/>
        </w:rPr>
      </w:pPr>
    </w:p>
    <w:p>
      <w:pPr>
        <w:jc w:val="both"/>
        <w:ind w:right="20" w:firstLine="346"/>
        <w:spacing w:after="0" w:line="271" w:lineRule="auto"/>
        <w:rPr>
          <w:sz w:val="20"/>
          <w:szCs w:val="20"/>
          <w:color w:val="auto"/>
        </w:rPr>
      </w:pPr>
      <w:r>
        <w:rPr>
          <w:rFonts w:ascii="Arial" w:cs="Arial" w:eastAsia="Arial" w:hAnsi="Arial"/>
          <w:sz w:val="19"/>
          <w:szCs w:val="19"/>
          <w:color w:val="auto"/>
        </w:rPr>
        <w:t>For a description of our legal proceedings, please see the description set forth in the “Legal Matters” section in Note 12 “Commitments and Contingencies” in the notes to the consolidated financial statements in Item 8 of Part II of this Annual Report, which is incorporated herein by reference.</w:t>
      </w:r>
    </w:p>
    <w:p>
      <w:pPr>
        <w:sectPr>
          <w:pgSz w:w="11880" w:h="15480" w:orient="portrait"/>
          <w:cols w:equalWidth="0" w:num="1">
            <w:col w:w="11080"/>
          </w:cols>
          <w:pgMar w:left="400" w:top="763" w:right="400" w:bottom="0"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1080"/>
          </w:cols>
          <w:pgMar w:left="400" w:top="763" w:right="400"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10040"/>
          </w:cols>
          <w:pgMar w:left="400" w:top="7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040"/>
          </w:cols>
          <w:pgMar w:left="400" w:top="756" w:right="1440" w:bottom="0" w:gutter="0" w:footer="0" w:header="0"/>
          <w:type w:val="continuous"/>
        </w:sectPr>
      </w:pPr>
    </w:p>
    <w:bookmarkStart w:id="196" w:name="page197"/>
    <w:bookmarkEnd w:id="196"/>
    <w:p>
      <w:pPr>
        <w:ind w:left="5260"/>
        <w:spacing w:after="0"/>
        <w:rPr>
          <w:sz w:val="20"/>
          <w:szCs w:val="20"/>
          <w:color w:val="auto"/>
        </w:rPr>
      </w:pPr>
      <w:r>
        <w:rPr>
          <w:rFonts w:ascii="Arial" w:cs="Arial" w:eastAsia="Arial" w:hAnsi="Arial"/>
          <w:sz w:val="19"/>
          <w:szCs w:val="19"/>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listed on the Nasdaq Stock Market LLC under the ticker symbol “LCID.”</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249" w:lineRule="exact"/>
        <w:rPr>
          <w:sz w:val="20"/>
          <w:szCs w:val="20"/>
          <w:color w:val="auto"/>
        </w:rPr>
      </w:pPr>
    </w:p>
    <w:p>
      <w:pPr>
        <w:ind w:right="200"/>
        <w:spacing w:after="0" w:line="351" w:lineRule="auto"/>
        <w:rPr>
          <w:sz w:val="20"/>
          <w:szCs w:val="20"/>
          <w:color w:val="auto"/>
        </w:rPr>
      </w:pPr>
      <w:r>
        <w:rPr>
          <w:rFonts w:ascii="Arial" w:cs="Arial" w:eastAsia="Arial" w:hAnsi="Arial"/>
          <w:sz w:val="17"/>
          <w:szCs w:val="17"/>
          <w:color w:val="auto"/>
        </w:rPr>
        <w:t>As of January 31, 2025, there were 246 holders of record of our common stock. The number of beneficial owners is substantially greater than the number of record holders because a large portion of our common stock is held through banks, brokers and other financial institutions.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Policy</w:t>
      </w:r>
    </w:p>
    <w:p>
      <w:pPr>
        <w:spacing w:after="0" w:line="249" w:lineRule="exact"/>
        <w:rPr>
          <w:sz w:val="20"/>
          <w:szCs w:val="20"/>
          <w:color w:val="auto"/>
        </w:rPr>
      </w:pPr>
    </w:p>
    <w:p>
      <w:pPr>
        <w:ind w:right="340"/>
        <w:spacing w:after="0" w:line="265" w:lineRule="auto"/>
        <w:rPr>
          <w:sz w:val="20"/>
          <w:szCs w:val="20"/>
          <w:color w:val="auto"/>
        </w:rPr>
      </w:pPr>
      <w:r>
        <w:rPr>
          <w:rFonts w:ascii="Arial" w:cs="Arial" w:eastAsia="Arial" w:hAnsi="Arial"/>
          <w:sz w:val="19"/>
          <w:szCs w:val="19"/>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considering and does not anticipate declaring any stock dividends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Authorized for Issuance Under Equity Compensation Plans</w:t>
      </w:r>
    </w:p>
    <w:p>
      <w:pPr>
        <w:spacing w:after="0" w:line="234"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For a description of securities authorized under our equity compensation plans, see Note 10 “Stock-based awards” to the consolidated financial statements included elsewhere in this Annual Report for more information.</w:t>
      </w:r>
    </w:p>
    <w:p>
      <w:pPr>
        <w:spacing w:after="0" w:line="159" w:lineRule="exact"/>
        <w:rPr>
          <w:sz w:val="20"/>
          <w:szCs w:val="20"/>
          <w:color w:val="auto"/>
        </w:rPr>
      </w:pPr>
    </w:p>
    <w:p>
      <w:pPr>
        <w:ind w:right="4280"/>
        <w:spacing w:after="0" w:line="510" w:lineRule="auto"/>
        <w:rPr>
          <w:sz w:val="20"/>
          <w:szCs w:val="20"/>
          <w:color w:val="auto"/>
        </w:rPr>
      </w:pPr>
      <w:r>
        <w:rPr>
          <w:rFonts w:ascii="Arial" w:cs="Arial" w:eastAsia="Arial" w:hAnsi="Arial"/>
          <w:sz w:val="19"/>
          <w:szCs w:val="19"/>
          <w:b w:val="1"/>
          <w:bCs w:val="1"/>
          <w:color w:val="auto"/>
        </w:rPr>
        <w:t xml:space="preserve">Recent Sales of Unregistered Securities; Use of Proceeds from Registered Offerings </w:t>
      </w:r>
      <w:r>
        <w:rPr>
          <w:rFonts w:ascii="Arial" w:cs="Arial" w:eastAsia="Arial" w:hAnsi="Arial"/>
          <w:sz w:val="19"/>
          <w:szCs w:val="19"/>
          <w:b w:val="1"/>
          <w:bCs w:val="1"/>
          <w:i w:val="1"/>
          <w:iCs w:val="1"/>
          <w:color w:val="auto"/>
        </w:rPr>
        <w:t>At-the-Market Offering and Underwritten Public Offerings</w:t>
      </w:r>
    </w:p>
    <w:p>
      <w:pPr>
        <w:ind w:right="100"/>
        <w:spacing w:after="0" w:line="280" w:lineRule="auto"/>
        <w:rPr>
          <w:sz w:val="20"/>
          <w:szCs w:val="20"/>
          <w:color w:val="auto"/>
        </w:rPr>
      </w:pPr>
      <w:r>
        <w:rPr>
          <w:rFonts w:ascii="Arial" w:cs="Arial" w:eastAsia="Arial" w:hAnsi="Arial"/>
          <w:sz w:val="18"/>
          <w:szCs w:val="18"/>
          <w:color w:val="auto"/>
        </w:rPr>
        <w:t>On November 8, 2022, we entered into an equity distribution agreement (the “Equity Distribution Agreement”) with BofA Securities, Inc., Barclays Capital Inc. and Citigroup Global Markets Inc., under which we could offer and sell shares of our common stock having an aggregate offering price up to $600.0 million (the “At-the-Market Offering”). During the year ended December 31, 2022, we issued 56,203,334 shares at a weighted average price per share of $10.68, and received net proceeds of $594.3 million after deducting commissions and other issuance costs of $5.7 million. No shares remain available for sale under the Equity Distribution Agreement.</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On May 31, 2023, we entered into an underwriting agreement (the “2023 Underwriting Agreement”) with BofA Securities, Inc. (the “Underwriter”), under which the Underwriter agreed to purchase 173,544,948 shares of our common stock at a price per share of $6.83, for aggregate net proceeds of $1.2 billion. In June 2023, we issued the shares to the Underwriter pursuant to the 2023 Underwriting Agreement and received aggregate net proceeds of $1.2 billion after deducting issuance costs of $1.1 million.</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On October 16, 2024, we entered into an underwriting agreement (the “2024 Underwriting Agreement”) with the Underwriter, under which the Underwriter agreed to purchase 262,446,931 shares of our common stock. We also granted the Underwriter a 30-day option to purchase up to 39,367,040 additional shares of our common stock (the “Overallotment Option”). On October 17, 2024, the Underwriter exercised the Overallotment Option to purchase an additional 15,037,594 shares. On October 18, 2024, we completed the public offering pursuant to the 2024 Underwriting Agreement, at a price per share of $2.59, for aggregate net proceeds of $718.4 million after deducting issuance costs of $0.6 million.</w:t>
      </w:r>
    </w:p>
    <w:p>
      <w:pPr>
        <w:spacing w:after="0" w:line="194"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The shares issued under the Equity Distribution Agreement and the 2023 Underwriting Agreement were sold pursuant to a shelf registration statement on Form S-3 (File No. 333-267147) which became effective on September 2, 2022, and prospectus supplements filed with the SEC on November 8, 2022 and June 2, 2023.</w:t>
      </w:r>
    </w:p>
    <w:p>
      <w:pPr>
        <w:spacing w:after="0" w:line="182"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The shares issued under the 2024 Underwriting Agreement were sold pursuant to an automatic shelf registration statement on Form S-3 (File No. 333-282677) which became effective upon filing on October 16, 2024, and prospectus supplements filed with the SEC on October 18, 2024.</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1080"/>
          </w:cols>
          <w:pgMar w:left="400" w:top="756" w:right="400"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19"/>
          <w:szCs w:val="19"/>
          <w:b w:val="1"/>
          <w:bCs w:val="1"/>
          <w:i w:val="1"/>
          <w:iCs w:val="1"/>
          <w:color w:val="auto"/>
        </w:rPr>
        <w:t>Subscription Agreements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On November 8, 2022, we entered into a subscription agreement (the “2022 Subscription Agreement”) with Ayar Third Investment Company, the controlling stockholder of the Company (“Ayar”), pursuant to which Ayar agreed to purchase from us, up to $915.0 million of shares of our common stock in one or more private placements through March 31, 2023. During the year ended December 31, 2022, we issued 85,712,679 shares to Ayar pursuant to the 2022 Subscription Agreement at a weighted average price per share of $10.68, and received aggregate proceeds of $915.0 million.</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On May 31, 2023, we entered into a subscription agreement (the “2023 Subscription Agreement”) with Ayar, pursuant to which Ayar agreed to purchase from the Company 265,693,703 shares of our common stock at a price per share of $6.83 in a private placement for aggregate net proceeds of $1.8 billion. In June 2023, we issued the shares to Ayar pursuant to the 2023 Subscription Agreement and received aggregate net proceeds of $1.8 billion after deducting issuance costs of $2.0 million.</w:t>
      </w:r>
    </w:p>
    <w:p>
      <w:pPr>
        <w:spacing w:after="0" w:line="188"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On October 16, 2024, we entered into a subscription agreement (the “2024 Subscription Agreement”) with Ayar, pursuant to which Ayar agreed to purchase from us 374,717,927 shares of our common stock. In addition, given the Underwriter’s exercise of the Overallotment Option, Ayar agreed to purchase an additional 21,470,459 shares of our common stock. On October 31, 2024, we consummated the private placement of shares to Ayar pursuant to the 2024 Subscription Agreement, at a price per share of $2.59, for aggregate net proceeds of $1,025.7 million after deducting issuance costs of $0.8 million.</w:t>
      </w:r>
    </w:p>
    <w:p>
      <w:pPr>
        <w:spacing w:after="0" w:line="191" w:lineRule="exact"/>
        <w:rPr>
          <w:sz w:val="20"/>
          <w:szCs w:val="20"/>
          <w:color w:val="auto"/>
        </w:rPr>
      </w:pPr>
    </w:p>
    <w:p>
      <w:pPr>
        <w:ind w:right="580"/>
        <w:spacing w:after="0" w:line="271" w:lineRule="auto"/>
        <w:rPr>
          <w:sz w:val="20"/>
          <w:szCs w:val="20"/>
          <w:color w:val="auto"/>
        </w:rPr>
      </w:pPr>
      <w:r>
        <w:rPr>
          <w:rFonts w:ascii="Arial" w:cs="Arial" w:eastAsia="Arial" w:hAnsi="Arial"/>
          <w:sz w:val="19"/>
          <w:szCs w:val="19"/>
          <w:color w:val="auto"/>
        </w:rPr>
        <w:t>Common stock acquired by Ayar under the 2022 Subscription Agreement, the 2023 Subscription Agreement, and the 2024 Subscription Agreement is subject to the Investor Rights Agreement, dated February 22, 2021 (as amended from time-to-time, the “Investor Rights Agreement”), which governs the registration for resale of such common stock.</w:t>
      </w:r>
    </w:p>
    <w:p>
      <w:pPr>
        <w:spacing w:after="0" w:line="182"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The shares issued under the 2022 Subscription Agreement, the 2023 Subscription Agreement, and the 2024 Subscription Agreement were sold in reliance on the exemption from registration provided in Section 4(a)(2) of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w:t>
      </w:r>
    </w:p>
    <w:p>
      <w:pPr>
        <w:spacing w:after="0" w:line="25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In March 2024, we entered into a subscription agreement (the “Series A Subscription Agreement”) with Ayar, pursuant to which Ayar agreed to purchase from us 100,000 shares of our Series A convertible preferred stock, par value $0.0001 per share (the “Series A Redeemable Convertible Preferred Stock”) in a private placement for an aggregate gross purchase price of $1.0 billion. Subsequently, in March 2024, we issued 100,000 shares to Ayar pursuant to the Series A Subscription Agreement and received aggregate net proceeds of $997.6 million, after deducting issuance cost of $2.4 million.</w:t>
      </w:r>
    </w:p>
    <w:p>
      <w:pPr>
        <w:spacing w:after="0" w:line="191"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In August 2024, we entered into a subscription agreement (the “Series B Subscription Agreement”) with Ayar, pursuant to which Ayar agreed to purchase from us 75,000 shares of our Series B convertible preferred stock, par value $0.0001 per share (the “Series B Redeemable Convertible Preferred Stock”) in a private placement, for an aggregate gross purchase price of $750.0 million. Subsequently, in August 2024, we issued 75,000 shares to Ayar pursuant to the Series B Subscription Agreement and received aggregate net proceeds of $749.4 million, after deducting issuance cost of $0.6 million.</w:t>
      </w:r>
    </w:p>
    <w:p>
      <w:pPr>
        <w:spacing w:after="0" w:line="191"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common stock issuable upon conversion under the Series A Subscription Agreement and the Series B Subscription Agreement is subject to the Investor Rights Agreement, which governs the registration for resale of such common stock.</w:t>
      </w:r>
    </w:p>
    <w:p>
      <w:pPr>
        <w:spacing w:after="0" w:line="165"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color w:val="auto"/>
        </w:rPr>
        <w:t>The shares issued under the Series A subscription Agreement and Series B Subscription Agreement were sold in reliance on the exemption from registration provided in Section 4(a)(2) of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11040"/>
          </w:cols>
          <w:pgMar w:left="400" w:top="755"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1040"/>
          </w:cols>
          <w:pgMar w:left="400" w:top="755" w:right="440"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19"/>
          <w:szCs w:val="19"/>
          <w:b w:val="1"/>
          <w:bCs w:val="1"/>
          <w:color w:val="auto"/>
        </w:rPr>
        <w:t>Stock Performance Graph</w:t>
      </w:r>
    </w:p>
    <w:p>
      <w:pPr>
        <w:spacing w:after="0" w:line="246" w:lineRule="exact"/>
        <w:rPr>
          <w:sz w:val="20"/>
          <w:szCs w:val="20"/>
          <w:color w:val="auto"/>
        </w:rPr>
      </w:pPr>
    </w:p>
    <w:p>
      <w:pPr>
        <w:ind w:right="420"/>
        <w:spacing w:after="0" w:line="319" w:lineRule="auto"/>
        <w:rPr>
          <w:sz w:val="20"/>
          <w:szCs w:val="20"/>
          <w:color w:val="auto"/>
        </w:rPr>
      </w:pPr>
      <w:r>
        <w:rPr>
          <w:rFonts w:ascii="Arial" w:cs="Arial" w:eastAsia="Arial" w:hAnsi="Arial"/>
          <w:sz w:val="17"/>
          <w:szCs w:val="17"/>
          <w:b w:val="1"/>
          <w:bCs w:val="1"/>
          <w:i w:val="1"/>
          <w:iCs w:val="1"/>
          <w:color w:val="auto"/>
        </w:rPr>
        <w:t>This performance graph shall not be deemed “filed” for purposes of Section 18 of the Securities Exchange Act of 1934, as amended (the “Exchange Act”), or incorporated by reference into any of our other filings under the Securities Act of 1933, as amended (the “Securities Act”), or the Exchange Act, except as shall be expressly set forth by specific reference in such filing.</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following graph shows a comparison, from September 18, 2020 through December 31, 2024,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026910" cy="4166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3">
                      <a:extLst>
                        <a:ext uri="{28A0092B-C50C-407E-A947-70E740481C1C}"/>
                      </a:extLst>
                    </a:blip>
                    <a:srcRect/>
                    <a:stretch>
                      <a:fillRect/>
                    </a:stretch>
                  </pic:blipFill>
                  <pic:spPr bwMode="auto">
                    <a:xfrm>
                      <a:off x="0" y="0"/>
                      <a:ext cx="7026910" cy="416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243"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auto"/>
        </w:rPr>
        <w:t>Management’s Discussion and Analysis of Financial Condition and Results of Operations</w:t>
      </w:r>
    </w:p>
    <w:p>
      <w:pPr>
        <w:spacing w:after="0" w:line="24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The following discussion and analysis provides information that Lucid management believes is relevant to an assessment and understanding of Lucid’s consolidated results of operations and financial condition as of December 31, 2024 and for the fiscal year ended December 31, 2024. The discussion should be read together with our consolidated financial statements and related notes that are included elsewhere in this Annual Report on Form 10-K (this “Annual Report”). For discussion related to our financial condition as of December 31, 2023, results of operations for the fiscal year ended December 31, 2023 and year-to-year comparison between the years ended December 31, 2023 and 2022, refer to the Annual Report on Form 10-K for the fiscal year ended December 31, 2023 filed on February 27, 2024 with the U.S. Securities and Exchange Commission (the “SEC”).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ectPr>
          <w:pgSz w:w="11880" w:h="15480" w:orient="portrait"/>
          <w:cols w:equalWidth="0" w:num="1">
            <w:col w:w="11040"/>
          </w:cols>
          <w:pgMar w:left="400" w:top="75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1040"/>
          </w:cols>
          <w:pgMar w:left="400" w:top="756" w:right="440" w:bottom="0" w:gutter="0" w:footer="0" w:header="0"/>
          <w:type w:val="continuous"/>
        </w:sectPr>
      </w:pPr>
    </w:p>
    <w:bookmarkStart w:id="199" w:name="page200"/>
    <w:bookmarkEnd w:id="199"/>
    <w:p>
      <w:pPr>
        <w:spacing w:after="0"/>
        <w:rPr>
          <w:sz w:val="20"/>
          <w:szCs w:val="20"/>
          <w:color w:val="auto"/>
        </w:rPr>
      </w:pPr>
      <w:r>
        <w:rPr>
          <w:rFonts w:ascii="Arial" w:cs="Arial" w:eastAsia="Arial" w:hAnsi="Arial"/>
          <w:sz w:val="19"/>
          <w:szCs w:val="19"/>
          <w:b w:val="1"/>
          <w:bCs w:val="1"/>
          <w:color w:val="auto"/>
        </w:rPr>
        <w:t>Overview</w:t>
      </w:r>
    </w:p>
    <w:p>
      <w:pPr>
        <w:spacing w:after="0" w:line="249"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We are a technology company with a mission to advance the state-of-the-art of EV technology for the benefits of all. We are setting new standards with the world’s most advanced EVs, the award-winning Lucid Air and all-new Lucid Gravity. Our focus on in-house hardware and software innovation, vertical integration, and a “clean sheet” approach to engineering and design led to the development of the award-winning Lucid Air and Lucid Gravity.</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We sell vehicles directly to consumers through our retail sales network and through direct online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w:t>
      </w:r>
    </w:p>
    <w:p>
      <w:pPr>
        <w:spacing w:after="0" w:line="194" w:lineRule="exact"/>
        <w:rPr>
          <w:sz w:val="20"/>
          <w:szCs w:val="20"/>
          <w:color w:val="auto"/>
        </w:rPr>
      </w:pPr>
    </w:p>
    <w:p>
      <w:pPr>
        <w:ind w:right="180"/>
        <w:spacing w:after="0" w:line="265" w:lineRule="auto"/>
        <w:rPr>
          <w:sz w:val="20"/>
          <w:szCs w:val="20"/>
          <w:color w:val="auto"/>
        </w:rPr>
      </w:pPr>
      <w:r>
        <w:rPr>
          <w:rFonts w:ascii="Arial" w:cs="Arial" w:eastAsia="Arial" w:hAnsi="Arial"/>
          <w:sz w:val="19"/>
          <w:szCs w:val="19"/>
          <w:color w:val="auto"/>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in December 2024. Beyond the Lucid Air and the Lucid Gravity, we plan to expand our vehicle lineup with the upcoming Midsize platform, which is scheduled for start of production in late 2026.</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Developments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2024 Underwriting Agreement</w:t>
      </w: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On October 16, 2024, we entered into an underwriting agreement (the “2024 Underwriting Agreement”) with BofA Securities, Inc. (the “Underwriter”), under which the Underwriter agreed to purchase 262,446,931 shares of our common stock. We also granted the Underwriter an Overallotment Option to purchase additional shares of our common stock (the “Overallotment Option”). On October 17, 2024, the Underwriter exercised the Overallotment Option to purchase an additional 15,037,594 shares. On October 18, 2024, we completed the public offering pursuant to the 2024 Underwriting Agreement, at a price per share of $2.59, for aggregate net proceeds of $718.4 million after deducting issuance costs of $0.6 million.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2024 Subscription Agreement</w:t>
      </w:r>
    </w:p>
    <w:p>
      <w:pPr>
        <w:spacing w:after="0" w:line="250"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On October 16, 2024, we also entered into a subscription agreement (the “2024 Subscription Agreement”) with Ayar Third Investment Company, our controlling stockholder (“Ayar”), pursuant to which Ayar agreed to purchase from us 374,717,927 shares of our common stock in a private placement. In addition, given the Underwriter’s exercise of the Overallotment Option, Ayar agreed to purchase an additional 21,470,459 shares of our common stock. On October 31, 2024, we consummated the private placement of shares to Ayar pursuant to the 2024 Subscription Agreement, at a price per share of $2.59, for aggregate net proceeds of $1,025.7 million after deducting issuance costs of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Potential Impact of an Economic Downturn on our Business</w:t>
      </w:r>
    </w:p>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A global economic recession or other economic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Due to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economic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Item 1A of Part I of this Annual Report for more information regarding risks associated with a global economic recession, including under the caption </w:t>
      </w:r>
      <w:r>
        <w:rPr>
          <w:rFonts w:ascii="Arial" w:cs="Arial" w:eastAsia="Arial" w:hAnsi="Arial"/>
          <w:sz w:val="17"/>
          <w:szCs w:val="17"/>
          <w:b w:val="1"/>
          <w:bCs w:val="1"/>
          <w:i w:val="1"/>
          <w:iCs w:val="1"/>
          <w:color w:val="auto"/>
        </w:rPr>
        <w:t>“A global economic recession, government closures of banks and liquidity concerns at other financial institutions, or other downturn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may have a material adverse impact on our business, prospects, results of operations and financial condition.”</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1060"/>
          </w:cols>
          <w:pgMar w:left="400" w:top="756" w:right="420" w:bottom="0" w:gutter="0" w:footer="0" w:header="0"/>
          <w:type w:val="continuous"/>
        </w:sectPr>
      </w:pPr>
    </w:p>
    <w:bookmarkStart w:id="200" w:name="page201"/>
    <w:bookmarkEnd w:id="200"/>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24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Item 1A of Part I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Design and Technology Leadership</w:t>
      </w:r>
    </w:p>
    <w:p>
      <w:pPr>
        <w:spacing w:after="0" w:line="24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believe that we are positioned to be a leader in the electric vehicle market by unlocking the potential for advanced, high-performance, and long-range electric vehicles to co-exist. We design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spacing w:after="0" w:line="167"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82" w:lineRule="exact"/>
        <w:rPr>
          <w:sz w:val="20"/>
          <w:szCs w:val="20"/>
          <w:color w:val="auto"/>
        </w:rPr>
      </w:pPr>
    </w:p>
    <w:p>
      <w:pPr>
        <w:ind w:right="420"/>
        <w:spacing w:after="0" w:line="259" w:lineRule="auto"/>
        <w:rPr>
          <w:sz w:val="20"/>
          <w:szCs w:val="20"/>
          <w:color w:val="auto"/>
        </w:rPr>
      </w:pPr>
      <w:r>
        <w:rPr>
          <w:rFonts w:ascii="Arial" w:cs="Arial" w:eastAsia="Arial" w:hAnsi="Arial"/>
          <w:sz w:val="19"/>
          <w:szCs w:val="19"/>
          <w:color w:val="auto"/>
        </w:rPr>
        <w:t>The Lucid Gravity is designed to share components with the Lucid Air where possible,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electric vehicles as substitutes for gasoline-fueled vehicles. We also expect that these attributes will drive customer demand for the Lucid Gravity, and our future models, including our Midsize platform.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Direct-to-Consumer Model</w:t>
      </w:r>
    </w:p>
    <w:p>
      <w:pPr>
        <w:spacing w:after="0" w:line="247"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the Lucid Gravity, and other electric vehicles that we may offer over the coming decade, including to open additional studios, expand our sales force, grow marketing and brand awareness, and establish a robust service center operation. As of December 31, 2024, we have opened 57 studios and service centers (excluding temporary and satellite service centers): 37 in the United States (12 in California, four in each of Florida and New York, two in each of Arizona, Illinois, Massachusetts, Texas, Virginia and Washington, and one in each of Colorado, Georgia, Michigan, New Jersey and Pennsylvania), five in Canada, seven in Germany, two in Switzerland, one in Netherlands, one in Norway, three in Saudi Arabia, and one in the United Arab Emirates. We also plan to hire additional sales, customer service, and service center personnel. We believe that investing in our direct-to-consumer sales and service model will be critical to delivering and servicing the Lucid electric vehicles we manufacture and sell.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Establishing Manufacturing Capacity</w:t>
      </w:r>
    </w:p>
    <w:p>
      <w:pPr>
        <w:spacing w:after="0" w:line="247"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Achieving commercialization and growth for each generation of our electric vehicles requires us to make significant capital expenditures to scale our production capacity and improve our supply chain processes in the United States and internationally. We expect our capital expenditures to increase as we continue constructing the completely-built-up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meet customer demand at anticipated levels, our ability to utilize planned capacity in our existing facilities and our ability to enter new markets.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Technology Innovation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We develop in-house battery and powertrain technology, which requires significant capital investment in research and development. The electric vehicle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electric vehicles and other products.</w:t>
      </w:r>
    </w:p>
    <w:p>
      <w:pPr>
        <w:sectPr>
          <w:pgSz w:w="11880" w:h="15480" w:orient="portrait"/>
          <w:cols w:equalWidth="0" w:num="1">
            <w:col w:w="11060"/>
          </w:cols>
          <w:pgMar w:left="400" w:top="759"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1060"/>
          </w:cols>
          <w:pgMar w:left="400" w:top="759" w:right="420" w:bottom="0" w:gutter="0" w:footer="0" w:header="0"/>
          <w:type w:val="continuous"/>
        </w:sectPr>
      </w:pPr>
    </w:p>
    <w:bookmarkStart w:id="201" w:name="page202"/>
    <w:bookmarkEnd w:id="201"/>
    <w:p>
      <w:pPr>
        <w:spacing w:after="0"/>
        <w:rPr>
          <w:sz w:val="20"/>
          <w:szCs w:val="20"/>
          <w:color w:val="auto"/>
        </w:rPr>
      </w:pPr>
      <w:r>
        <w:rPr>
          <w:rFonts w:ascii="Arial" w:cs="Arial" w:eastAsia="Arial" w:hAnsi="Arial"/>
          <w:sz w:val="19"/>
          <w:szCs w:val="19"/>
          <w:b w:val="1"/>
          <w:bCs w:val="1"/>
          <w:color w:val="auto"/>
        </w:rPr>
        <w:t>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our revenue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40" w:type="dxa"/>
            <w:vAlign w:val="bottom"/>
          </w:tcPr>
          <w:p>
            <w:pPr>
              <w:spacing w:after="0"/>
              <w:rPr>
                <w:sz w:val="18"/>
                <w:szCs w:val="18"/>
                <w:color w:val="auto"/>
              </w:rPr>
            </w:pPr>
          </w:p>
        </w:tc>
        <w:tc>
          <w:tcPr>
            <w:tcW w:w="198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w w:val="98"/>
              </w:rPr>
              <w:t>Year Ended December 31,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040" w:type="dxa"/>
            <w:vAlign w:val="bottom"/>
            <w:tcBorders>
              <w:bottom w:val="single" w:sz="8" w:color="E6E6E6"/>
            </w:tcBorders>
          </w:tcPr>
          <w:p>
            <w:pPr>
              <w:spacing w:after="0"/>
              <w:rPr>
                <w:sz w:val="18"/>
                <w:szCs w:val="18"/>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 Change</w:t>
            </w:r>
          </w:p>
        </w:tc>
        <w:tc>
          <w:tcPr>
            <w:tcW w:w="40" w:type="dxa"/>
            <w:vAlign w:val="bottom"/>
            <w:tcBorders>
              <w:bottom w:val="single" w:sz="8" w:color="E6E6E6"/>
            </w:tcBorders>
          </w:tcPr>
          <w:p>
            <w:pPr>
              <w:spacing w:after="0"/>
              <w:rPr>
                <w:sz w:val="18"/>
                <w:szCs w:val="18"/>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 Change</w:t>
            </w:r>
          </w:p>
        </w:tc>
      </w:tr>
      <w:tr>
        <w:trPr>
          <w:trHeight w:val="264"/>
        </w:trPr>
        <w:tc>
          <w:tcPr>
            <w:tcW w:w="7040" w:type="dxa"/>
            <w:vAlign w:val="bottom"/>
            <w:shd w:val="clear" w:color="auto" w:fill="E6E6E6"/>
          </w:tcPr>
          <w:p>
            <w:pPr>
              <w:ind w:left="60"/>
              <w:spacing w:after="0"/>
              <w:rPr>
                <w:sz w:val="20"/>
                <w:szCs w:val="20"/>
                <w:color w:val="auto"/>
              </w:rPr>
            </w:pPr>
            <w:r>
              <w:rPr>
                <w:rFonts w:ascii="Arial" w:cs="Arial" w:eastAsia="Arial" w:hAnsi="Arial"/>
                <w:sz w:val="17"/>
                <w:szCs w:val="17"/>
                <w:color w:val="auto"/>
              </w:rPr>
              <w:t>Revenue</w:t>
            </w: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  807,832</w:t>
            </w:r>
          </w:p>
        </w:tc>
        <w:tc>
          <w:tcPr>
            <w:tcW w:w="300" w:type="dxa"/>
            <w:vAlign w:val="bottom"/>
            <w:gridSpan w:val="2"/>
            <w:shd w:val="clear" w:color="auto" w:fill="E6E6E6"/>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E6E6E6"/>
          </w:tcPr>
          <w:p>
            <w:pPr>
              <w:ind w:left="100"/>
              <w:spacing w:after="0"/>
              <w:rPr>
                <w:sz w:val="20"/>
                <w:szCs w:val="20"/>
                <w:color w:val="auto"/>
              </w:rPr>
            </w:pPr>
            <w:r>
              <w:rPr>
                <w:rFonts w:ascii="Arial" w:cs="Arial" w:eastAsia="Arial" w:hAnsi="Arial"/>
                <w:sz w:val="17"/>
                <w:szCs w:val="17"/>
                <w:color w:val="auto"/>
                <w:w w:val="97"/>
              </w:rPr>
              <w:t>595,271</w:t>
            </w:r>
          </w:p>
        </w:tc>
        <w:tc>
          <w:tcPr>
            <w:tcW w:w="1040" w:type="dxa"/>
            <w:vAlign w:val="bottom"/>
            <w:gridSpan w:val="2"/>
            <w:shd w:val="clear" w:color="auto" w:fill="E6E6E6"/>
          </w:tcPr>
          <w:p>
            <w:pPr>
              <w:jc w:val="right"/>
              <w:ind w:right="3"/>
              <w:spacing w:after="0"/>
              <w:rPr>
                <w:sz w:val="20"/>
                <w:szCs w:val="20"/>
                <w:color w:val="auto"/>
              </w:rPr>
            </w:pPr>
            <w:r>
              <w:rPr>
                <w:rFonts w:ascii="Arial" w:cs="Arial" w:eastAsia="Arial" w:hAnsi="Arial"/>
                <w:sz w:val="17"/>
                <w:szCs w:val="17"/>
                <w:color w:val="auto"/>
              </w:rPr>
              <w:t>$  212,561</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-186055</wp:posOffset>
            </wp:positionV>
            <wp:extent cx="258762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24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We recognize revenue from vehicle sales when the customer obtains control of the vehicle, which is upon delivery. We also generate revenue from non-warranty after-sales vehicle services and parts, sales of battery pack systems, powertrain kits, retail merchandise, and regulatory credits. We generate regulatory credits revenue from the sale of tradable credits we earn under various regulations. This include credits related to zero emission vehicles and greenhouse gas, and the Corporate Average Fuel Economy (“CAFE”) credits.</w:t>
      </w:r>
    </w:p>
    <w:p>
      <w:pPr>
        <w:spacing w:after="0" w:line="173"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Revenue increased by $212.6 million, or 36%, for the year ended December 31, 2024, as compared to the year ended December 31, 2023. The increase was primarily driven by an increase of 4,240 in deliveries of the Lucid Air vehicles and an increase of $29.1 million of regulatory credit sales, partially offset by a lower average selling price of vehicles for the year ended December 31, 2024, as compared to the year ended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of Revenue and Gross Profit (Loss)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our cost of revenue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58"/>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7"/>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77"/>
              <w:spacing w:after="0"/>
              <w:rPr>
                <w:sz w:val="20"/>
                <w:szCs w:val="20"/>
                <w:color w:val="auto"/>
              </w:rPr>
            </w:pPr>
            <w:r>
              <w:rPr>
                <w:rFonts w:ascii="Arial" w:cs="Arial" w:eastAsia="Arial" w:hAnsi="Arial"/>
                <w:sz w:val="15"/>
                <w:szCs w:val="15"/>
                <w:b w:val="1"/>
                <w:bCs w:val="1"/>
                <w:color w:val="auto"/>
                <w:w w:val="91"/>
              </w:rPr>
              <w:t>$ Change</w:t>
            </w:r>
          </w:p>
        </w:tc>
        <w:tc>
          <w:tcPr>
            <w:tcW w:w="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r>
      <w:tr>
        <w:trPr>
          <w:trHeight w:val="233"/>
        </w:trPr>
        <w:tc>
          <w:tcPr>
            <w:tcW w:w="69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Cost of revenue</w:t>
            </w: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w w:val="95"/>
              </w:rPr>
              <w:t>1,730,943</w:t>
            </w:r>
          </w:p>
        </w:tc>
        <w:tc>
          <w:tcPr>
            <w:tcW w:w="6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1,936,066</w:t>
            </w:r>
          </w:p>
        </w:tc>
        <w:tc>
          <w:tcPr>
            <w:tcW w:w="2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(205,123)</w:t>
            </w:r>
          </w:p>
        </w:tc>
        <w:tc>
          <w:tcPr>
            <w:tcW w:w="60" w:type="dxa"/>
            <w:vAlign w:val="bottom"/>
            <w:tcBorders>
              <w:top w:val="single" w:sz="8" w:color="E6E6E6"/>
            </w:tcBorders>
            <w:shd w:val="clear" w:color="auto" w:fill="E6E6E6"/>
          </w:tcPr>
          <w:p>
            <w:pPr>
              <w:spacing w:after="0"/>
              <w:rPr>
                <w:sz w:val="20"/>
                <w:szCs w:val="20"/>
                <w:color w:val="auto"/>
              </w:rPr>
            </w:pPr>
          </w:p>
        </w:tc>
        <w:tc>
          <w:tcPr>
            <w:tcW w:w="9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top w:val="single" w:sz="8" w:color="E6E6E6"/>
            </w:tcBorders>
            <w:shd w:val="clear" w:color="auto" w:fill="E6E6E6"/>
          </w:tcPr>
          <w:p>
            <w:pPr>
              <w:spacing w:after="0"/>
              <w:rPr>
                <w:sz w:val="20"/>
                <w:szCs w:val="20"/>
                <w:color w:val="auto"/>
              </w:rPr>
            </w:pPr>
          </w:p>
        </w:tc>
      </w:tr>
      <w:tr>
        <w:trPr>
          <w:trHeight w:val="305"/>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6960" w:type="dxa"/>
            <w:vAlign w:val="bottom"/>
            <w:shd w:val="clear" w:color="auto" w:fill="E6E6E6"/>
          </w:tcPr>
          <w:p>
            <w:pPr>
              <w:ind w:left="60"/>
              <w:spacing w:after="0"/>
              <w:rPr>
                <w:sz w:val="20"/>
                <w:szCs w:val="20"/>
                <w:color w:val="auto"/>
              </w:rPr>
            </w:pPr>
            <w:r>
              <w:rPr>
                <w:rFonts w:ascii="Arial" w:cs="Arial" w:eastAsia="Arial" w:hAnsi="Arial"/>
                <w:sz w:val="17"/>
                <w:szCs w:val="17"/>
                <w:color w:val="auto"/>
              </w:rPr>
              <w:t>Gross profit (loss)</w:t>
            </w:r>
          </w:p>
        </w:tc>
        <w:tc>
          <w:tcPr>
            <w:tcW w:w="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(923,111)</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96"/>
              </w:rPr>
              <w:t>(1,340,795)</w:t>
            </w:r>
          </w:p>
        </w:tc>
        <w:tc>
          <w:tcPr>
            <w:tcW w:w="2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417,684</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(31)%</w:t>
            </w:r>
          </w:p>
        </w:tc>
        <w:tc>
          <w:tcPr>
            <w:tcW w:w="20" w:type="dxa"/>
            <w:vAlign w:val="bottom"/>
            <w:shd w:val="clear" w:color="auto" w:fill="E6E6E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4401820</wp:posOffset>
            </wp:positionH>
            <wp:positionV relativeFrom="paragraph">
              <wp:posOffset>-514985</wp:posOffset>
            </wp:positionV>
            <wp:extent cx="26422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5">
                      <a:extLst>
                        <a:ext uri="{28A0092B-C50C-407E-A947-70E740481C1C}"/>
                      </a:extLst>
                    </a:blip>
                    <a:srcRect/>
                    <a:stretch>
                      <a:fillRect/>
                    </a:stretch>
                  </pic:blipFill>
                  <pic:spPr bwMode="auto">
                    <a:xfrm>
                      <a:off x="0" y="0"/>
                      <a:ext cx="2642235" cy="25400"/>
                    </a:xfrm>
                    <a:prstGeom prst="rect">
                      <a:avLst/>
                    </a:prstGeom>
                    <a:noFill/>
                  </pic:spPr>
                </pic:pic>
              </a:graphicData>
            </a:graphic>
          </wp:anchor>
        </w:drawing>
      </w:r>
    </w:p>
    <w:p>
      <w:pPr>
        <w:spacing w:after="0" w:line="246"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Cost of revenue decreased by $205.1 million, or 11%, for the year ended December 31, 2024, as compared to the year ended December 31, 2023, primarily due to the decreases in inventory write-downs including losses from firm purchase commitments, and lower material and other cost, partially offset by higher deliveries of the Lucid Air vehicles. We expect our cost per vehicle to improve in fiscal year 2025 as compared to fiscal year 2024 while ramping up production volumes. In the near term, we expect our production volume of vehicles to continue to be less than our manufacturing capacity.</w:t>
      </w:r>
    </w:p>
    <w:p>
      <w:pPr>
        <w:spacing w:after="0" w:line="191"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We recorded write-downs of $617.4 million and $926.9 million for the years ended December 31, 2024 and 2023, respectively, to reduce our inventories to their net realizable values, for any excess or obsolete inventories, and losses from firm purchase commitments. The decrease in the inventory write-downs and losses from firm purchase commitments and reduction of inventory obsolescence was primarily due to improvement of cost per unit and lower inventory balance for the year ended December 31, 2024. We expect inventory write-downs could negatively affect our costs of vehicle sales in upcoming periods in the near term as we ramp production volumes up toward our manufacturing capacity.</w:t>
      </w:r>
    </w:p>
    <w:p>
      <w:pPr>
        <w:spacing w:after="0" w:line="19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On August 16, 2022, the Inflation Reduction Act of 2022 (the “IRA”) was enacted with clean energy incentives. For the year ended December 31, 2024 and 2023, the impact of the IRA on our results of operations was not material. We will continue to evaluate the expected future impact of the IRA on our business and financial statements upon the issuance of additional regulatory guidance.</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1080"/>
          </w:cols>
          <w:pgMar w:left="400" w:top="756" w:right="400" w:bottom="0" w:gutter="0" w:footer="0" w:header="0"/>
          <w:type w:val="continuous"/>
        </w:sectPr>
      </w:pPr>
    </w:p>
    <w:bookmarkStart w:id="202" w:name="page203"/>
    <w:bookmarkEnd w:id="202"/>
    <w:p>
      <w:pPr>
        <w:ind w:right="220"/>
        <w:spacing w:after="0" w:line="271" w:lineRule="auto"/>
        <w:rPr>
          <w:sz w:val="20"/>
          <w:szCs w:val="20"/>
          <w:color w:val="auto"/>
        </w:rPr>
      </w:pPr>
      <w:r>
        <w:rPr>
          <w:rFonts w:ascii="Arial" w:cs="Arial" w:eastAsia="Arial" w:hAnsi="Arial"/>
          <w:sz w:val="19"/>
          <w:szCs w:val="19"/>
          <w:color w:val="auto"/>
        </w:rPr>
        <w:t>Gross profit losses decreased by $417.7 million, or 31% for the year ended December 31, 2024, as compared to the year ended December 31, 2023, primarily driven by improvement in costs, decrease in inventory write-downs and losses from firm purchase commitments, partially offset by a lower average selling price of vehicles.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our operating expenses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4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5"/>
                <w:szCs w:val="15"/>
                <w:b w:val="1"/>
                <w:bCs w:val="1"/>
                <w:color w:val="auto"/>
                <w:w w:val="99"/>
              </w:rPr>
              <w:t>Year Ended December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040" w:type="dxa"/>
            <w:vAlign w:val="bottom"/>
            <w:tcBorders>
              <w:bottom w:val="single" w:sz="8" w:color="E6E6E6"/>
            </w:tcBorders>
          </w:tcPr>
          <w:p>
            <w:pPr>
              <w:spacing w:after="0"/>
              <w:rPr>
                <w:sz w:val="18"/>
                <w:szCs w:val="18"/>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0"/>
              </w:rPr>
              <w:t>Change</w:t>
            </w:r>
          </w:p>
        </w:tc>
        <w:tc>
          <w:tcPr>
            <w:tcW w:w="40" w:type="dxa"/>
            <w:vAlign w:val="bottom"/>
            <w:tcBorders>
              <w:bottom w:val="single" w:sz="8" w:color="E6E6E6"/>
            </w:tcBorders>
          </w:tcPr>
          <w:p>
            <w:pPr>
              <w:spacing w:after="0"/>
              <w:rPr>
                <w:sz w:val="18"/>
                <w:szCs w:val="18"/>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 Change</w:t>
            </w:r>
          </w:p>
        </w:tc>
      </w:tr>
      <w:tr>
        <w:trPr>
          <w:trHeight w:val="264"/>
        </w:trPr>
        <w:tc>
          <w:tcPr>
            <w:tcW w:w="7040" w:type="dxa"/>
            <w:vAlign w:val="bottom"/>
            <w:shd w:val="clear" w:color="auto" w:fill="E6E6E6"/>
          </w:tcPr>
          <w:p>
            <w:pPr>
              <w:ind w:left="60"/>
              <w:spacing w:after="0"/>
              <w:rPr>
                <w:sz w:val="20"/>
                <w:szCs w:val="20"/>
                <w:color w:val="auto"/>
              </w:rPr>
            </w:pPr>
            <w:r>
              <w:rPr>
                <w:rFonts w:ascii="Arial" w:cs="Arial" w:eastAsia="Arial" w:hAnsi="Arial"/>
                <w:sz w:val="17"/>
                <w:szCs w:val="17"/>
                <w:color w:val="auto"/>
              </w:rPr>
              <w:t>Research and development</w:t>
            </w: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97"/>
              </w:rPr>
              <w:t>$ 1,176,453</w:t>
            </w:r>
          </w:p>
        </w:tc>
        <w:tc>
          <w:tcPr>
            <w:tcW w:w="240" w:type="dxa"/>
            <w:vAlign w:val="bottom"/>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937,012</w:t>
            </w:r>
          </w:p>
        </w:tc>
        <w:tc>
          <w:tcPr>
            <w:tcW w:w="340" w:type="dxa"/>
            <w:vAlign w:val="bottom"/>
            <w:gridSpan w:val="2"/>
            <w:shd w:val="clear" w:color="auto" w:fill="E6E6E6"/>
          </w:tcPr>
          <w:p>
            <w:pPr>
              <w:jc w:val="right"/>
              <w:ind w:right="63"/>
              <w:spacing w:after="0"/>
              <w:rPr>
                <w:sz w:val="20"/>
                <w:szCs w:val="20"/>
                <w:color w:val="auto"/>
              </w:rPr>
            </w:pPr>
            <w:r>
              <w:rPr>
                <w:rFonts w:ascii="Arial" w:cs="Arial" w:eastAsia="Arial" w:hAnsi="Arial"/>
                <w:sz w:val="17"/>
                <w:szCs w:val="17"/>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w w:val="97"/>
              </w:rPr>
              <w:t>239,441</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26 %</w:t>
            </w:r>
          </w:p>
        </w:tc>
      </w:tr>
      <w:tr>
        <w:trPr>
          <w:trHeight w:val="267"/>
        </w:trPr>
        <w:tc>
          <w:tcPr>
            <w:tcW w:w="7040" w:type="dxa"/>
            <w:vAlign w:val="bottom"/>
          </w:tcPr>
          <w:p>
            <w:pPr>
              <w:ind w:left="60"/>
              <w:spacing w:after="0"/>
              <w:rPr>
                <w:sz w:val="20"/>
                <w:szCs w:val="20"/>
                <w:color w:val="auto"/>
              </w:rPr>
            </w:pPr>
            <w:r>
              <w:rPr>
                <w:rFonts w:ascii="Arial" w:cs="Arial" w:eastAsia="Arial" w:hAnsi="Arial"/>
                <w:sz w:val="17"/>
                <w:szCs w:val="17"/>
                <w:color w:val="auto"/>
              </w:rPr>
              <w:t>Selling, general and administrative</w:t>
            </w:r>
          </w:p>
        </w:tc>
        <w:tc>
          <w:tcPr>
            <w:tcW w:w="960" w:type="dxa"/>
            <w:vAlign w:val="bottom"/>
          </w:tcPr>
          <w:p>
            <w:pPr>
              <w:jc w:val="right"/>
              <w:spacing w:after="0"/>
              <w:rPr>
                <w:sz w:val="20"/>
                <w:szCs w:val="20"/>
                <w:color w:val="auto"/>
              </w:rPr>
            </w:pPr>
            <w:r>
              <w:rPr>
                <w:rFonts w:ascii="Arial" w:cs="Arial" w:eastAsia="Arial" w:hAnsi="Arial"/>
                <w:sz w:val="17"/>
                <w:szCs w:val="17"/>
                <w:color w:val="auto"/>
              </w:rPr>
              <w:t>900,952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797,235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103,717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13 %</w:t>
            </w:r>
          </w:p>
        </w:tc>
      </w:tr>
      <w:tr>
        <w:trPr>
          <w:trHeight w:val="271"/>
        </w:trPr>
        <w:tc>
          <w:tcPr>
            <w:tcW w:w="70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Restructuring charges</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20,304</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24,546</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(4,242)</w:t>
            </w:r>
          </w:p>
        </w:tc>
        <w:tc>
          <w:tcPr>
            <w:tcW w:w="10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(17)%</w:t>
            </w:r>
          </w:p>
        </w:tc>
      </w:tr>
      <w:tr>
        <w:trPr>
          <w:trHeight w:val="235"/>
        </w:trPr>
        <w:tc>
          <w:tcPr>
            <w:tcW w:w="7040" w:type="dxa"/>
            <w:vAlign w:val="bottom"/>
          </w:tcPr>
          <w:p>
            <w:pPr>
              <w:ind w:left="280"/>
              <w:spacing w:after="0"/>
              <w:rPr>
                <w:sz w:val="20"/>
                <w:szCs w:val="20"/>
                <w:color w:val="auto"/>
              </w:rPr>
            </w:pPr>
            <w:r>
              <w:rPr>
                <w:rFonts w:ascii="Arial" w:cs="Arial" w:eastAsia="Arial" w:hAnsi="Arial"/>
                <w:sz w:val="17"/>
                <w:szCs w:val="17"/>
                <w:color w:val="auto"/>
              </w:rPr>
              <w:t>Total operating expenses</w:t>
            </w:r>
          </w:p>
        </w:tc>
        <w:tc>
          <w:tcPr>
            <w:tcW w:w="960" w:type="dxa"/>
            <w:vAlign w:val="bottom"/>
          </w:tcPr>
          <w:p>
            <w:pPr>
              <w:jc w:val="right"/>
              <w:spacing w:after="0"/>
              <w:rPr>
                <w:sz w:val="20"/>
                <w:szCs w:val="20"/>
                <w:color w:val="auto"/>
              </w:rPr>
            </w:pPr>
            <w:r>
              <w:rPr>
                <w:rFonts w:ascii="Arial" w:cs="Arial" w:eastAsia="Arial" w:hAnsi="Arial"/>
                <w:sz w:val="17"/>
                <w:szCs w:val="17"/>
                <w:color w:val="auto"/>
                <w:w w:val="97"/>
              </w:rPr>
              <w:t>$ 2,097,709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1,758,793</w:t>
            </w:r>
          </w:p>
        </w:tc>
        <w:tc>
          <w:tcPr>
            <w:tcW w:w="34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97"/>
              </w:rPr>
              <w:t>338,916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19 %</w:t>
            </w:r>
          </w:p>
        </w:tc>
      </w:tr>
      <w:tr>
        <w:trPr>
          <w:trHeight w:val="20"/>
        </w:trPr>
        <w:tc>
          <w:tcPr>
            <w:tcW w:w="7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-725805</wp:posOffset>
            </wp:positionV>
            <wp:extent cx="258762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6">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-204470</wp:posOffset>
            </wp:positionV>
            <wp:extent cx="193738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7">
                      <a:extLst>
                        <a:ext uri="{28A0092B-C50C-407E-A947-70E740481C1C}"/>
                      </a:extLst>
                    </a:blip>
                    <a:srcRect/>
                    <a:stretch>
                      <a:fillRect/>
                    </a:stretch>
                  </pic:blipFill>
                  <pic:spPr bwMode="auto">
                    <a:xfrm>
                      <a:off x="0" y="0"/>
                      <a:ext cx="1937385" cy="2540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-42545</wp:posOffset>
            </wp:positionV>
            <wp:extent cx="1287780"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8">
                      <a:extLst>
                        <a:ext uri="{28A0092B-C50C-407E-A947-70E740481C1C}"/>
                      </a:extLst>
                    </a:blip>
                    <a:srcRect/>
                    <a:stretch>
                      <a:fillRect/>
                    </a:stretch>
                  </pic:blipFill>
                  <pic:spPr bwMode="auto">
                    <a:xfrm>
                      <a:off x="0" y="0"/>
                      <a:ext cx="1287780" cy="4953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Our research and development efforts have primarily focused on the development of our battery and powertrain technology, the Lucid Air, the Lucid Gravity, and future generations of our electric vehicles, including our Midsize platform. Research and development expenses primarily consist of materials, supplies and personnel-related expenses for employees involved in the engineering, designing, and testing of electric vehicles.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Research and development expense increased by $239.4 million, or 26%, for the year ended December 31, 2024, as compared to the year ended December 31, 2023. The increase was primarily attributable to higher personnel-related expenses of $198.5 million ($164.0 million increase due to our growth in headcount and $34.5 million higher stock-based compensation expenses) and an increase of $54.3 million for prototype material, engineering, design and testing services primarily related to Lucid Gravity, partially offset by lower utilization of contractors and professional fees of $26.5 million.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Selling, General, and Administrative</w:t>
      </w:r>
    </w:p>
    <w:p>
      <w:pPr>
        <w:spacing w:after="0" w:line="245"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color w:val="auto"/>
        </w:rPr>
        <w:t>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electric vehicles, including the development of our Midsize platform, we expect that our selling, general and administrative costs will increase.</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Selling, general, and administrative expense increased by $103.7 million, or 13%, for the year ended December 31, 2024, as compared to the year ended December 31, 2023. The increase was primarily attributable to higher personnel-related expenses of $82.6 million ($89.2 million increase due to our growth in headcount, partially offset by $6.6 million lower stock-based compensation expense), an increase in sales and marketing expenses of $19.9 million, and an increase of $14.6 million in allocated facilities costs, partially offset by a decrease of $12.6 million in other general corporate expenses.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Restructuring Charges</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May 24, 2024, we announced a restructuring plan (the “2024 Restructuring Plan”) intended to optimize operating expenses in response to evolving business needs and productivity improvement through a reduction in workforce. We substantially completed the 2024 Restructuring Plan in 2024.</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During the year ended December 31, 2024, we recorded restructuring charges of $20.3 million related to the 2024 Restructuring Plan within restructuring charges in the consolidated statements of operations and comprehensive loss. The restructuring charges were primarily related to severance payments, employee benefits, employee transition and stock-based compensation, net of a reversal of previously recognized stock-based compensation expense.</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1080"/>
          </w:cols>
          <w:pgMar w:left="400" w:top="763" w:right="400" w:bottom="0" w:gutter="0" w:footer="0" w:header="0"/>
          <w:type w:val="continuous"/>
        </w:sectPr>
      </w:pPr>
    </w:p>
    <w:bookmarkStart w:id="203" w:name="page204"/>
    <w:bookmarkEnd w:id="203"/>
    <w:p>
      <w:pPr>
        <w:jc w:val="both"/>
        <w:spacing w:after="0" w:line="262" w:lineRule="auto"/>
        <w:rPr>
          <w:sz w:val="20"/>
          <w:szCs w:val="20"/>
          <w:color w:val="auto"/>
        </w:rPr>
      </w:pPr>
      <w:r>
        <w:rPr>
          <w:rFonts w:ascii="Arial" w:cs="Arial" w:eastAsia="Arial" w:hAnsi="Arial"/>
          <w:sz w:val="19"/>
          <w:szCs w:val="19"/>
          <w:color w:val="auto"/>
        </w:rPr>
        <w:t>On March 28, 2023, we announced a restructuring plan (the “2023 Restructuring Plan”) intended to reduce operating expenses in response to evolving business needs and productivity improvement through a reduction in workforce. We completed the 2023 Restructuring Plan during the first quarter of 2024. During the year ended December 31, 2023, we recorded restructuring charges of $24.5 million. The restructuring charges were primarily related to severance payments, employee benefits, employee transition and stock-based compensation, net of a reversal of previously recognized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our other income (expense), net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5"/>
                <w:szCs w:val="15"/>
                <w:b w:val="1"/>
                <w:bCs w:val="1"/>
                <w:color w:val="auto"/>
                <w:w w:val="94"/>
              </w:rPr>
              <w:t>Year Ended December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40" w:type="dxa"/>
            <w:vAlign w:val="bottom"/>
            <w:tcBorders>
              <w:bottom w:val="single" w:sz="8" w:color="E6E6E6"/>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64"/>
        </w:trPr>
        <w:tc>
          <w:tcPr>
            <w:tcW w:w="6700" w:type="dxa"/>
            <w:vAlign w:val="bottom"/>
            <w:shd w:val="clear" w:color="auto" w:fill="E6E6E6"/>
          </w:tcPr>
          <w:p>
            <w:pPr>
              <w:ind w:left="60"/>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180"/>
              <w:spacing w:after="0"/>
              <w:rPr>
                <w:sz w:val="20"/>
                <w:szCs w:val="20"/>
                <w:color w:val="auto"/>
              </w:rPr>
            </w:pPr>
            <w:r>
              <w:rPr>
                <w:rFonts w:ascii="Arial" w:cs="Arial" w:eastAsia="Arial" w:hAnsi="Arial"/>
                <w:sz w:val="17"/>
                <w:szCs w:val="17"/>
                <w:color w:val="auto"/>
              </w:rPr>
              <w:t>Change in fair value of common stock warrant liability</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34,150</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86,926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(52,776)</w:t>
            </w: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52"/>
        </w:trPr>
        <w:tc>
          <w:tcPr>
            <w:tcW w:w="6700" w:type="dxa"/>
            <w:vAlign w:val="bottom"/>
            <w:shd w:val="clear" w:color="auto" w:fill="E6E6E6"/>
          </w:tcPr>
          <w:p>
            <w:pPr>
              <w:ind w:left="180"/>
              <w:spacing w:after="0"/>
              <w:rPr>
                <w:sz w:val="20"/>
                <w:szCs w:val="20"/>
                <w:color w:val="auto"/>
              </w:rPr>
            </w:pPr>
            <w:r>
              <w:rPr>
                <w:rFonts w:ascii="Arial" w:cs="Arial" w:eastAsia="Arial" w:hAnsi="Arial"/>
                <w:sz w:val="17"/>
                <w:szCs w:val="17"/>
                <w:color w:val="auto"/>
              </w:rPr>
              <w:t>Change in fair value of equity securities of a related party</w:t>
            </w:r>
          </w:p>
        </w:tc>
        <w:tc>
          <w:tcPr>
            <w:tcW w:w="18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(43,057)</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5,999</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(49,056)</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b w:val="1"/>
                <w:bCs w:val="1"/>
                <w:i w:val="1"/>
                <w:iCs w:val="1"/>
                <w:color w:val="auto"/>
              </w:rPr>
              <w:t>*nm</w:t>
            </w:r>
          </w:p>
        </w:tc>
        <w:tc>
          <w:tcPr>
            <w:tcW w:w="0" w:type="dxa"/>
            <w:vAlign w:val="bottom"/>
          </w:tcPr>
          <w:p>
            <w:pPr>
              <w:spacing w:after="0"/>
              <w:rPr>
                <w:sz w:val="1"/>
                <w:szCs w:val="1"/>
                <w:color w:val="auto"/>
              </w:rPr>
            </w:pPr>
          </w:p>
        </w:tc>
      </w:tr>
      <w:tr>
        <w:trPr>
          <w:trHeight w:val="179"/>
        </w:trPr>
        <w:tc>
          <w:tcPr>
            <w:tcW w:w="6700" w:type="dxa"/>
            <w:vAlign w:val="bottom"/>
          </w:tcPr>
          <w:p>
            <w:pPr>
              <w:ind w:left="180"/>
              <w:spacing w:after="0" w:line="179" w:lineRule="exact"/>
              <w:rPr>
                <w:sz w:val="20"/>
                <w:szCs w:val="20"/>
                <w:color w:val="auto"/>
              </w:rPr>
            </w:pPr>
            <w:r>
              <w:rPr>
                <w:rFonts w:ascii="Arial" w:cs="Arial" w:eastAsia="Arial" w:hAnsi="Arial"/>
                <w:sz w:val="17"/>
                <w:szCs w:val="17"/>
                <w:color w:val="auto"/>
                <w:w w:val="93"/>
              </w:rPr>
              <w:t>Change in fair value of derivative liabilities associated with redeemable convertible preferred</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155,350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155,350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*nm</w:t>
            </w:r>
          </w:p>
        </w:tc>
        <w:tc>
          <w:tcPr>
            <w:tcW w:w="0" w:type="dxa"/>
            <w:vAlign w:val="bottom"/>
          </w:tcPr>
          <w:p>
            <w:pPr>
              <w:spacing w:after="0"/>
              <w:rPr>
                <w:sz w:val="1"/>
                <w:szCs w:val="1"/>
                <w:color w:val="auto"/>
              </w:rPr>
            </w:pPr>
          </w:p>
        </w:tc>
      </w:tr>
      <w:tr>
        <w:trPr>
          <w:trHeight w:val="232"/>
        </w:trPr>
        <w:tc>
          <w:tcPr>
            <w:tcW w:w="6700" w:type="dxa"/>
            <w:vAlign w:val="bottom"/>
          </w:tcPr>
          <w:p>
            <w:pPr>
              <w:ind w:left="180"/>
              <w:spacing w:after="0"/>
              <w:rPr>
                <w:sz w:val="20"/>
                <w:szCs w:val="20"/>
                <w:color w:val="auto"/>
              </w:rPr>
            </w:pPr>
            <w:r>
              <w:rPr>
                <w:rFonts w:ascii="Arial" w:cs="Arial" w:eastAsia="Arial" w:hAnsi="Arial"/>
                <w:sz w:val="17"/>
                <w:szCs w:val="17"/>
                <w:color w:val="auto"/>
              </w:rPr>
              <w:t>stock (related party)</w:t>
            </w:r>
          </w:p>
        </w:tc>
        <w:tc>
          <w:tcPr>
            <w:tcW w:w="1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00" w:type="dxa"/>
            <w:vAlign w:val="bottom"/>
            <w:shd w:val="clear" w:color="auto" w:fill="E6E6E6"/>
          </w:tcPr>
          <w:p>
            <w:pPr>
              <w:ind w:left="18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213,026</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204,274</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8,752</w:t>
            </w:r>
          </w:p>
        </w:tc>
        <w:tc>
          <w:tcPr>
            <w:tcW w:w="20" w:type="dxa"/>
            <w:vAlign w:val="bottom"/>
            <w:shd w:val="clear" w:color="auto" w:fill="E6E6E6"/>
          </w:tcPr>
          <w:p>
            <w:pPr>
              <w:spacing w:after="0"/>
              <w:rPr>
                <w:sz w:val="21"/>
                <w:szCs w:val="21"/>
                <w:color w:val="auto"/>
              </w:rPr>
            </w:pPr>
          </w:p>
        </w:tc>
        <w:tc>
          <w:tcPr>
            <w:tcW w:w="11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38"/>
        </w:trPr>
        <w:tc>
          <w:tcPr>
            <w:tcW w:w="670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(32,923)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(24,915)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(8,008)</w:t>
            </w: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60"/>
        </w:trPr>
        <w:tc>
          <w:tcPr>
            <w:tcW w:w="67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(18,469)</w:t>
            </w:r>
          </w:p>
        </w:tc>
        <w:tc>
          <w:tcPr>
            <w:tcW w:w="6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(90)</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(18,379)</w:t>
            </w:r>
          </w:p>
        </w:tc>
        <w:tc>
          <w:tcPr>
            <w:tcW w:w="2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i w:val="1"/>
                <w:iCs w:val="1"/>
                <w:color w:val="auto"/>
              </w:rPr>
              <w:t>*nm</w:t>
            </w:r>
          </w:p>
        </w:tc>
        <w:tc>
          <w:tcPr>
            <w:tcW w:w="0" w:type="dxa"/>
            <w:vAlign w:val="bottom"/>
          </w:tcPr>
          <w:p>
            <w:pPr>
              <w:spacing w:after="0"/>
              <w:rPr>
                <w:sz w:val="1"/>
                <w:szCs w:val="1"/>
                <w:color w:val="auto"/>
              </w:rPr>
            </w:pPr>
          </w:p>
        </w:tc>
      </w:tr>
      <w:tr>
        <w:trPr>
          <w:trHeight w:val="225"/>
        </w:trPr>
        <w:tc>
          <w:tcPr>
            <w:tcW w:w="6700" w:type="dxa"/>
            <w:vAlign w:val="bottom"/>
          </w:tcPr>
          <w:p>
            <w:pPr>
              <w:ind w:left="280"/>
              <w:spacing w:after="0" w:line="188" w:lineRule="exact"/>
              <w:rPr>
                <w:sz w:val="20"/>
                <w:szCs w:val="20"/>
                <w:color w:val="auto"/>
              </w:rPr>
            </w:pPr>
            <w:r>
              <w:rPr>
                <w:rFonts w:ascii="Arial" w:cs="Arial" w:eastAsia="Arial" w:hAnsi="Arial"/>
                <w:sz w:val="17"/>
                <w:szCs w:val="17"/>
                <w:color w:val="auto"/>
              </w:rPr>
              <w:t>Total other income, net</w:t>
            </w:r>
          </w:p>
        </w:tc>
        <w:tc>
          <w:tcPr>
            <w:tcW w:w="1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308,077</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34"/>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272,194</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35,883</w:t>
            </w:r>
          </w:p>
        </w:tc>
        <w:tc>
          <w:tcPr>
            <w:tcW w:w="20" w:type="dxa"/>
            <w:vAlign w:val="bottom"/>
          </w:tcPr>
          <w:p>
            <w:pPr>
              <w:spacing w:after="0"/>
              <w:rPr>
                <w:sz w:val="19"/>
                <w:szCs w:val="19"/>
                <w:color w:val="auto"/>
              </w:rPr>
            </w:pPr>
          </w:p>
        </w:tc>
        <w:tc>
          <w:tcPr>
            <w:tcW w:w="110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-1402715</wp:posOffset>
            </wp:positionV>
            <wp:extent cx="280670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9">
                      <a:extLst>
                        <a:ext uri="{28A0092B-C50C-407E-A947-70E740481C1C}"/>
                      </a:extLst>
                    </a:blip>
                    <a:srcRect/>
                    <a:stretch>
                      <a:fillRect/>
                    </a:stretch>
                  </pic:blipFill>
                  <pic:spPr bwMode="auto">
                    <a:xfrm>
                      <a:off x="0" y="0"/>
                      <a:ext cx="2806700" cy="254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-186055</wp:posOffset>
            </wp:positionV>
            <wp:extent cx="210248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0">
                      <a:extLst>
                        <a:ext uri="{28A0092B-C50C-407E-A947-70E740481C1C}"/>
                      </a:extLst>
                    </a:blip>
                    <a:srcRect/>
                    <a:stretch>
                      <a:fillRect/>
                    </a:stretch>
                  </pic:blipFill>
                  <pic:spPr bwMode="auto">
                    <a:xfrm>
                      <a:off x="0" y="0"/>
                      <a:ext cx="2102485" cy="254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-42545</wp:posOffset>
            </wp:positionV>
            <wp:extent cx="210248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1">
                      <a:extLst>
                        <a:ext uri="{28A0092B-C50C-407E-A947-70E740481C1C}"/>
                      </a:extLst>
                    </a:blip>
                    <a:srcRect/>
                    <a:stretch>
                      <a:fillRect/>
                    </a:stretch>
                  </pic:blipFill>
                  <pic:spPr bwMode="auto">
                    <a:xfrm>
                      <a:off x="0" y="0"/>
                      <a:ext cx="2102485" cy="4953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i w:val="1"/>
          <w:iCs w:val="1"/>
          <w:color w:val="auto"/>
        </w:rPr>
        <w:t xml:space="preserve">*nm </w:t>
      </w:r>
      <w:r>
        <w:rPr>
          <w:rFonts w:ascii="Arial" w:cs="Arial" w:eastAsia="Arial" w:hAnsi="Arial"/>
          <w:sz w:val="15"/>
          <w:szCs w:val="15"/>
          <w:color w:val="auto"/>
        </w:rPr>
        <w:t>- not meaningful</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Common Stock Warrant Liability</w:t>
      </w:r>
    </w:p>
    <w:p>
      <w:pPr>
        <w:spacing w:after="0" w:line="245"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Our common stock warrant liability relates to the privately placed common stock warrants (the “Private Placement Warrants”) to purchase shares of our common stock that were effectively issued upon the closing in connection with the merger. Our common stock warrant liability is subject to remeasurement to fair value at each reporting period.</w:t>
      </w:r>
    </w:p>
    <w:p>
      <w:pPr>
        <w:spacing w:after="0" w:line="182" w:lineRule="exact"/>
        <w:rPr>
          <w:sz w:val="20"/>
          <w:szCs w:val="20"/>
          <w:color w:val="auto"/>
        </w:rPr>
      </w:pPr>
    </w:p>
    <w:p>
      <w:pPr>
        <w:ind w:right="180"/>
        <w:spacing w:after="0" w:line="305" w:lineRule="auto"/>
        <w:rPr>
          <w:sz w:val="20"/>
          <w:szCs w:val="20"/>
          <w:color w:val="auto"/>
        </w:rPr>
      </w:pPr>
      <w:r>
        <w:rPr>
          <w:rFonts w:ascii="Arial" w:cs="Arial" w:eastAsia="Arial" w:hAnsi="Arial"/>
          <w:sz w:val="17"/>
          <w:szCs w:val="17"/>
          <w:color w:val="auto"/>
        </w:rPr>
        <w:t>The Private Placement Warrants remained unexercised as of December 31, 2024. The liability was remeasured to fair value, resulting in gains of $34.2 million and $86.9 million for the years ended December 31, 2024 and 2023, respectively, and was classified within change in fair value of common stock warrant liability in the consolidated statements of operations and comprehensive loss. See Note 7 “Common Stock Warrant Liability” to our consolidated financial statements included elsewhere in this Annual Report for more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Equity Securities of a Related Party</w:t>
      </w:r>
    </w:p>
    <w:p>
      <w:pPr>
        <w:spacing w:after="0" w:line="24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initially measured at a fair value of $73.2 million and were remeasured to a fair value of $37.8 million and $81.5 million as of December 31, 2024 and 2023, respectively. The change in fair value resulted in an unrealized loss of $43.1 million and an unrealized gain of $6.0 million for the years ended December 31, 2024 and 2023, respectively, and was classified within change in fair value of equity securities of a related party in the consolidated statements of operations and comprehensive loss. See Note 5 “Fair Value Measurements and Financial Instruments” and Note 16 “Related Party Transactions” to our consolidated financial statements included elsewhere in this Annual Report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Derivative Liabilities Associated with Redeemable Convertible Preferred Stock (Related Party)</w:t>
      </w:r>
    </w:p>
    <w:p>
      <w:pPr>
        <w:spacing w:after="0" w:line="245" w:lineRule="exact"/>
        <w:rPr>
          <w:sz w:val="20"/>
          <w:szCs w:val="20"/>
          <w:color w:val="auto"/>
        </w:rPr>
      </w:pPr>
    </w:p>
    <w:p>
      <w:pPr>
        <w:ind w:right="200"/>
        <w:spacing w:after="0" w:line="245" w:lineRule="auto"/>
        <w:rPr>
          <w:sz w:val="20"/>
          <w:szCs w:val="20"/>
          <w:color w:val="auto"/>
        </w:rPr>
      </w:pPr>
      <w:r>
        <w:rPr>
          <w:rFonts w:ascii="Arial" w:cs="Arial" w:eastAsia="Arial" w:hAnsi="Arial"/>
          <w:sz w:val="19"/>
          <w:szCs w:val="19"/>
          <w:color w:val="auto"/>
        </w:rPr>
        <w:t>In March 2024, we entered into a subscription agreement (the “Series A Subscription Agreement”) with Ayar. Pursuant to the Series A Subscription Agreement, Ayar agreed to purchase from us 100,000 shares of our Series A Convertible Preferred Stock, par value $0.0001 per share (the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 August 2024, we entered into the Series B Subscription Agreement with Ayar. Pursuant to the Series B Subscription Agreement, Ayar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agreed to purchase from us 75,000 shares of our Series B Redeemable Convertible Preferred Stock for an aggregate purchase price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$750.0 million in a private placement. Subsequently, in August 2024, we issued the shares to Ayar pursuant to the Series B Subscription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Agreement and received aggregate net proceeds of $749.4 million after deducting issuance costs of $0.6 million.</w:t>
      </w:r>
    </w:p>
    <w:p>
      <w:pPr>
        <w:sectPr>
          <w:pgSz w:w="11880" w:h="15480" w:orient="portrait"/>
          <w:cols w:equalWidth="0" w:num="1">
            <w:col w:w="11080"/>
          </w:cols>
          <w:pgMar w:left="400" w:top="763" w:right="400" w:bottom="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1080"/>
          </w:cols>
          <w:pgMar w:left="400" w:top="763" w:right="400" w:bottom="0" w:gutter="0" w:footer="0" w:header="0"/>
          <w:type w:val="continuous"/>
        </w:sectPr>
      </w:pPr>
    </w:p>
    <w:bookmarkStart w:id="204" w:name="page205"/>
    <w:bookmarkEnd w:id="204"/>
    <w:p>
      <w:pPr>
        <w:ind w:right="100"/>
        <w:spacing w:after="0" w:line="243" w:lineRule="auto"/>
        <w:rPr>
          <w:sz w:val="20"/>
          <w:szCs w:val="20"/>
          <w:color w:val="auto"/>
        </w:rPr>
      </w:pPr>
      <w:r>
        <w:rPr>
          <w:rFonts w:ascii="Arial" w:cs="Arial" w:eastAsia="Arial" w:hAnsi="Arial"/>
          <w:sz w:val="19"/>
          <w:szCs w:val="19"/>
          <w:color w:val="auto"/>
        </w:rPr>
        <w:t>We concluded that the conversion features, inclusive of all settlement outcomes where the pay-off is indexed to the if-converted value, meets all the requirements to be separately accounted for as a bifurcated derivative. As a result, we bifurcated the Series A Redeemable Convertible Preferred Stock and Series B Redeemable Convertible Preferred Stock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consolidated statement of operations and comprehensive loss.</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derivative liabilities of the Series A Redeemable Convertible Preferred Stock and Series B Redeemable Convertible Preferred Stock were initially measured at fair values of $497.1 million and $297.7 million, respectively. The derivative liabilities of the Redeemable Convertible Preferred Stock were remeasured to a fair value of $639.4 million as of December 31, 2024. We recognized a gain of $88.3 million related to the Series A Redeemable Convertible Preferred Stock for the year ended December 31, 2024, primarily driven by the decreases in term to maturity and credit spread, partially offset by an increase in our stock price. We also recognized a gain of $67.1 million related to the Series B Redeemable Convertible Preferred Stock for the year ended December 31, 2024, primarily driven by decreases in term to maturity, credit spread, and our stock price. We recognized the combined gains of $155.4 million related to the Series A Redeemable Convertible Preferred Stock and Series B Redeemable Convertible Preferred Stock for the year ended December 31, 2024 within change in fair value of derivative liabilities associated with redeemable convertible preferred stock (related party) in the consolidated statements of operations and comprehensive loss. See Note 8 “Redeemable Convertible Preferred Stock” to our consolidated financial statements included elsewhere in this Annual Report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Income</w:t>
      </w:r>
    </w:p>
    <w:p>
      <w:pPr>
        <w:spacing w:after="0" w:line="245"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color w:val="auto"/>
        </w:rPr>
        <w:t>Interest income increased by $8.8 million, or 4%, for the year ended December 31, 2024, as compared to the year ended December 31, 2023, primarily due to higher interest rates from cash on hand and our investments of available for sale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45"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the $750.0 million five-year unsecured delayed draw term loan credit facility (the “DDTL Credit Facility”), interest on committed SAR 1.0 billion (approximately $266.1 million) revolving credit facility (the “2023 GIB Credit Facility” and on our finance leases, and capitalized interest on construction in progress related to significant capital asset construction.</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Interest expense increased by $8.0 million, or 32%, for the year ended December 31, 2024, as compared to the year ended December 31, 2023. The increase was primarily due to higher interest expense of $4.3 million from the 2023 GIB credit facility resulting from higher average borrowings and commitment fees related to the DDTL Credit Facility, and a decrease of $2.7 million in interest capitalized on construction in progress related to significant capital asset construction during the year ended December 31, 2024, as compared to the year ended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24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Other income (expense), net primarily consists of foreign currency gains and losses and changes in residual value guarantee reserve.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spacing w:after="0" w:line="188" w:lineRule="exact"/>
        <w:rPr>
          <w:sz w:val="20"/>
          <w:szCs w:val="20"/>
          <w:color w:val="auto"/>
        </w:rPr>
      </w:pPr>
    </w:p>
    <w:p>
      <w:pPr>
        <w:ind w:right="340"/>
        <w:spacing w:after="0" w:line="289" w:lineRule="auto"/>
        <w:rPr>
          <w:sz w:val="20"/>
          <w:szCs w:val="20"/>
          <w:color w:val="auto"/>
        </w:rPr>
      </w:pPr>
      <w:r>
        <w:rPr>
          <w:rFonts w:ascii="Arial" w:cs="Arial" w:eastAsia="Arial" w:hAnsi="Arial"/>
          <w:sz w:val="19"/>
          <w:szCs w:val="19"/>
          <w:color w:val="auto"/>
        </w:rPr>
        <w:t>Other income (expense), net changed by $18.4 million for the year ended December 31, 2024, as compared to the year ended December 31, 2023, primarily due to changes in foreign exchange rates and residual value guarantee reserve.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 for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our provision for income taxes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000" w:type="dxa"/>
            <w:vAlign w:val="bottom"/>
            <w:tcBorders>
              <w:bottom w:val="single" w:sz="8" w:color="auto"/>
            </w:tcBorders>
            <w:gridSpan w:val="6"/>
          </w:tcPr>
          <w:p>
            <w:pPr>
              <w:ind w:left="120"/>
              <w:spacing w:after="0"/>
              <w:rPr>
                <w:sz w:val="20"/>
                <w:szCs w:val="20"/>
                <w:color w:val="auto"/>
              </w:rPr>
            </w:pPr>
            <w:r>
              <w:rPr>
                <w:rFonts w:ascii="Arial" w:cs="Arial" w:eastAsia="Arial" w:hAnsi="Arial"/>
                <w:sz w:val="15"/>
                <w:szCs w:val="15"/>
                <w:b w:val="1"/>
                <w:bCs w:val="1"/>
                <w:color w:val="auto"/>
              </w:rPr>
              <w:t>Year Ended December 31,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38"/>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38"/>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b w:val="1"/>
                <w:bCs w:val="1"/>
                <w:color w:val="auto"/>
              </w:rPr>
              <w:t>$ Change</w:t>
            </w:r>
          </w:p>
        </w:tc>
        <w:tc>
          <w:tcPr>
            <w:tcW w:w="6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r>
      <w:tr>
        <w:trPr>
          <w:trHeight w:val="235"/>
        </w:trPr>
        <w:tc>
          <w:tcPr>
            <w:tcW w:w="720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top w:val="single" w:sz="8" w:color="auto"/>
            </w:tcBorders>
            <w:shd w:val="clear" w:color="auto" w:fill="E6E6E6"/>
          </w:tcPr>
          <w:p>
            <w:pPr>
              <w:jc w:val="right"/>
              <w:ind w:right="18"/>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1,199</w:t>
            </w:r>
          </w:p>
        </w:tc>
        <w:tc>
          <w:tcPr>
            <w:tcW w:w="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1,026</w:t>
            </w:r>
          </w:p>
        </w:tc>
        <w:tc>
          <w:tcPr>
            <w:tcW w:w="2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tcBorders>
            <w:shd w:val="clear" w:color="auto" w:fill="E6E6E6"/>
          </w:tcPr>
          <w:p>
            <w:pPr>
              <w:jc w:val="right"/>
              <w:ind w:right="78"/>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173</w:t>
            </w:r>
          </w:p>
        </w:tc>
        <w:tc>
          <w:tcPr>
            <w:tcW w:w="60" w:type="dxa"/>
            <w:vAlign w:val="bottom"/>
            <w:tcBorders>
              <w:top w:val="single" w:sz="8" w:color="E6E6E6"/>
            </w:tcBorders>
            <w:shd w:val="clear" w:color="auto" w:fill="E6E6E6"/>
          </w:tcPr>
          <w:p>
            <w:pPr>
              <w:spacing w:after="0"/>
              <w:rPr>
                <w:sz w:val="20"/>
                <w:szCs w:val="20"/>
                <w:color w:val="auto"/>
              </w:rPr>
            </w:pPr>
          </w:p>
        </w:tc>
        <w:tc>
          <w:tcPr>
            <w:tcW w:w="9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17 %</w:t>
            </w:r>
          </w:p>
        </w:tc>
        <w:tc>
          <w:tcPr>
            <w:tcW w:w="20" w:type="dxa"/>
            <w:vAlign w:val="bottom"/>
            <w:tcBorders>
              <w:top w:val="single" w:sz="8" w:color="E6E6E6"/>
            </w:tcBorders>
            <w:shd w:val="clear" w:color="auto" w:fill="E6E6E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-167640</wp:posOffset>
            </wp:positionV>
            <wp:extent cx="248666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2">
                      <a:extLst>
                        <a:ext uri="{28A0092B-C50C-407E-A947-70E740481C1C}"/>
                      </a:extLst>
                    </a:blip>
                    <a:srcRect/>
                    <a:stretch>
                      <a:fillRect/>
                    </a:stretch>
                  </pic:blipFill>
                  <pic:spPr bwMode="auto">
                    <a:xfrm>
                      <a:off x="0" y="0"/>
                      <a:ext cx="2486660" cy="25400"/>
                    </a:xfrm>
                    <a:prstGeom prst="rect">
                      <a:avLst/>
                    </a:prstGeom>
                    <a:noFill/>
                  </pic:spPr>
                </pic:pic>
              </a:graphicData>
            </a:graphic>
          </wp:anchor>
        </w:drawing>
      </w:r>
    </w:p>
    <w:p>
      <w:pPr>
        <w:spacing w:after="0" w:line="246"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1080"/>
          </w:cols>
          <w:pgMar w:left="400" w:top="763" w:right="400" w:bottom="0" w:gutter="0" w:footer="0" w:header="0"/>
          <w:type w:val="continuous"/>
        </w:sectPr>
      </w:pPr>
    </w:p>
    <w:bookmarkStart w:id="205" w:name="page206"/>
    <w:bookmarkEnd w:id="205"/>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Sources of Liquidity</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As of December 31, 2024, we had $5,043.2 million of cash, cash equivalents and investments and $37.8 million of investment in equity securities of a related party. We also had $750.0 million, $163.8 million, and $139.2 million of unused available credit amounts from the DDTL Credit Facility, the ABL Credit Facility, and the 2023 GIB Credit Facility, respectively, as of December 31, 2024. Our existing sources of liquidity include cash, cash equivalents, investments, and credit facilities. We funded operations primarily with issuances of common stock, convertible preferred stock and convertible notes.</w:t>
      </w:r>
    </w:p>
    <w:p>
      <w:pPr>
        <w:spacing w:after="0" w:line="191"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the CBU portion of AMP-2 in Saudi Arabia, (v) vendor tooling, (vi) expansion of retail studios and service centers, and (vii) other initiatives related to the sale of vehicles and/or technology.</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anticipate our cumulative spending on capital expenditures to be approximately $1.4 billion for the fiscal year 2025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consolidated financial statements included elsewhere in this Annual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spacing w:after="0" w:line="186"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As of December 31, 2024, our total minimum lease payments are $472.7 million, of which $71.3 million is due in fiscal year 2025. We also have non-cancellable long-term commitments of approximately $2.7 billion, primarily relating to certain inventory component purchases. For details regarding these obligations, refer to Note 11 “Leases” and Note 12 “Commitments and Contingencies” to the consolidated financial statements included elsewhere in this Annual Report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2026 Notes</w:t>
      </w: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elect at any time to convert their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December 31, 2024 and 2023, we were in compliance with applicable covenants under the indenture governing the 2026 Notes.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International Manufacturing Expansion</w:t>
      </w:r>
    </w:p>
    <w:p>
      <w:pPr>
        <w:spacing w:after="0" w:line="245" w:lineRule="exact"/>
        <w:rPr>
          <w:sz w:val="20"/>
          <w:szCs w:val="20"/>
          <w:color w:val="auto"/>
        </w:rPr>
      </w:pPr>
    </w:p>
    <w:p>
      <w:pPr>
        <w:ind w:right="180"/>
        <w:spacing w:after="0" w:line="265" w:lineRule="auto"/>
        <w:rPr>
          <w:sz w:val="20"/>
          <w:szCs w:val="20"/>
          <w:color w:val="auto"/>
        </w:rPr>
      </w:pPr>
      <w:r>
        <w:rPr>
          <w:rFonts w:ascii="Arial" w:cs="Arial" w:eastAsia="Arial" w:hAnsi="Arial"/>
          <w:sz w:val="19"/>
          <w:szCs w:val="19"/>
          <w:color w:val="auto"/>
        </w:rPr>
        <w:t>On February 27, 2022, we announced the selection of King Abdullah Economic City (“KAEC”) in Saudi Arabia as the location of our first international manufacturing plant and signed related agreements with the Ministry of Investment of Saudi Arabia, the Saudi Industrial Development Fund, and the Economic City at KAEC. We started the AMP-2 operations with re-assembly of the Lucid Air vehicle “kits” pre-manufactured in the U.S. and, over time, will commence production of complete vehicles.</w:t>
      </w:r>
    </w:p>
    <w:p>
      <w:pPr>
        <w:sectPr>
          <w:pgSz w:w="11880" w:h="15480" w:orient="portrait"/>
          <w:cols w:equalWidth="0" w:num="1">
            <w:col w:w="11060"/>
          </w:cols>
          <w:pgMar w:left="400" w:top="759"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1060"/>
          </w:cols>
          <w:pgMar w:left="400" w:top="759" w:right="420" w:bottom="0" w:gutter="0" w:footer="0" w:header="0"/>
          <w:type w:val="continuous"/>
        </w:sectPr>
      </w:pPr>
    </w:p>
    <w:bookmarkStart w:id="206" w:name="page207"/>
    <w:bookmarkEnd w:id="206"/>
    <w:p>
      <w:pPr>
        <w:ind w:left="360"/>
        <w:spacing w:after="0"/>
        <w:rPr>
          <w:sz w:val="20"/>
          <w:szCs w:val="20"/>
          <w:color w:val="auto"/>
        </w:rPr>
      </w:pPr>
      <w:r>
        <w:rPr>
          <w:rFonts w:ascii="Arial" w:cs="Arial" w:eastAsia="Arial" w:hAnsi="Arial"/>
          <w:sz w:val="19"/>
          <w:szCs w:val="19"/>
          <w:b w:val="1"/>
          <w:bCs w:val="1"/>
          <w:i w:val="1"/>
          <w:iCs w:val="1"/>
          <w:color w:val="auto"/>
        </w:rPr>
        <w:t>Saudi Industrial Development Fund (“SIDF”) Loan Agreement</w:t>
      </w:r>
    </w:p>
    <w:p>
      <w:pPr>
        <w:spacing w:after="0" w:line="245"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On February 27, 2022, Lucid LLC, a limited liability company established in Saudi Arabia and our subsidiary (“Lucid LLC”) entered into a loan agreement (as subsequently amended, the “SIDF Loan Agreement”) with SIDF, a related party of the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spacing w:after="0" w:line="186" w:lineRule="exact"/>
        <w:rPr>
          <w:sz w:val="20"/>
          <w:szCs w:val="20"/>
          <w:color w:val="auto"/>
        </w:rPr>
      </w:pPr>
    </w:p>
    <w:p>
      <w:pPr>
        <w:ind w:right="460"/>
        <w:spacing w:after="0" w:line="265" w:lineRule="auto"/>
        <w:rPr>
          <w:sz w:val="20"/>
          <w:szCs w:val="20"/>
          <w:color w:val="auto"/>
        </w:rPr>
      </w:pPr>
      <w:r>
        <w:rPr>
          <w:rFonts w:ascii="Arial" w:cs="Arial" w:eastAsia="Arial" w:hAnsi="Arial"/>
          <w:sz w:val="19"/>
          <w:szCs w:val="19"/>
          <w:color w:val="auto"/>
        </w:rPr>
        <w:t>SIDF Loans will not bear interest. Instead, Lucid LLC will be required to pay SIDF service fees, consisting of follow-up and technical evaluation fees, ranging, in aggregate, from SAR 415 million (approximately $110.4 million) to SAR 1.77 billion (approximately $471.1 million), over the term of the SIDF Loans. SIDF Loans will be secured by security interests in the equipment, machines and assets funded thereby.</w:t>
      </w:r>
    </w:p>
    <w:p>
      <w:pPr>
        <w:spacing w:after="0" w:line="188" w:lineRule="exact"/>
        <w:rPr>
          <w:sz w:val="20"/>
          <w:szCs w:val="20"/>
          <w:color w:val="auto"/>
        </w:rPr>
      </w:pPr>
    </w:p>
    <w:p>
      <w:pPr>
        <w:ind w:right="160"/>
        <w:spacing w:after="0" w:line="305" w:lineRule="auto"/>
        <w:rPr>
          <w:sz w:val="20"/>
          <w:szCs w:val="20"/>
          <w:color w:val="auto"/>
        </w:rPr>
      </w:pPr>
      <w:r>
        <w:rPr>
          <w:rFonts w:ascii="Arial" w:cs="Arial" w:eastAsia="Arial" w:hAnsi="Arial"/>
          <w:sz w:val="17"/>
          <w:szCs w:val="17"/>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December 31, 2024 and 2023, no amount was outstanding under the SIDF Loan Agreement.</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 xml:space="preserve">Ministry of Investment of Saudi Arabia </w:t>
      </w:r>
      <w:r>
        <w:rPr>
          <w:rFonts w:ascii="Arial" w:cs="Arial" w:eastAsia="Arial" w:hAnsi="Arial"/>
          <w:sz w:val="19"/>
          <w:szCs w:val="19"/>
          <w:color w:val="auto"/>
        </w:rPr>
        <w:t>(“</w:t>
      </w:r>
      <w:r>
        <w:rPr>
          <w:rFonts w:ascii="Arial" w:cs="Arial" w:eastAsia="Arial" w:hAnsi="Arial"/>
          <w:sz w:val="19"/>
          <w:szCs w:val="19"/>
          <w:b w:val="1"/>
          <w:bCs w:val="1"/>
          <w:i w:val="1"/>
          <w:iCs w:val="1"/>
          <w:color w:val="auto"/>
        </w:rPr>
        <w:t>MISA”) Agreements</w:t>
      </w:r>
    </w:p>
    <w:p>
      <w:pPr>
        <w:spacing w:after="0" w:line="245"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During the year ended December 31, 2022, we received support of SAR 366 million (approximately $97.3 million) in cash, of which</w:t>
      </w:r>
    </w:p>
    <w:p>
      <w:pPr>
        <w:spacing w:after="0" w:line="12" w:lineRule="exact"/>
        <w:rPr>
          <w:sz w:val="20"/>
          <w:szCs w:val="20"/>
          <w:color w:val="auto"/>
        </w:rPr>
      </w:pPr>
    </w:p>
    <w:p>
      <w:pPr>
        <w:jc w:val="both"/>
        <w:ind w:right="160"/>
        <w:spacing w:after="0" w:line="317" w:lineRule="auto"/>
        <w:rPr>
          <w:sz w:val="20"/>
          <w:szCs w:val="20"/>
          <w:color w:val="auto"/>
        </w:rPr>
      </w:pPr>
      <w:r>
        <w:rPr>
          <w:rFonts w:ascii="Arial" w:cs="Arial" w:eastAsia="Arial" w:hAnsi="Arial"/>
          <w:sz w:val="17"/>
          <w:szCs w:val="17"/>
          <w:color w:val="auto"/>
        </w:rPr>
        <w:t>$64.0 million was recorded as deferred liability within other long-term liabilities and $33.3 million was recorded as a deduction in calculating the carrying amount of the related assets in the consolidated balance sheet as of December 31, 2022. Subsequently, we recorded $64.0 million as a deduction in calculating the carrying amount of the related assets in the consolidated balance sheet as of December 31, 2023.</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During the year ended December 31, 2023, we received support of SAR 366 million (approximately $97.5 million) in cash, of which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$62.5 million was recorded as deferred liability within other long-term liabilities and $35.0 million was recorded as a deduction in calculating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the related assets in the consolidated balance sheet as of December 31, 2023. As of December 31, 2024, we recorded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$97.5 million as a deduction in calculating the carrying amount of the related assets in the consolidated balance sheet. There were no unfulfilled</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conditions and contingencies attached to the payments received.</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GIB Facility Agreement</w:t>
      </w:r>
    </w:p>
    <w:p>
      <w:pPr>
        <w:spacing w:after="0" w:line="24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On April 29, 2022, Lucid LLC entered into a revolving credit facility agreement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ectPr>
          <w:pgSz w:w="11880" w:h="15480" w:orient="portrait"/>
          <w:cols w:equalWidth="0" w:num="1">
            <w:col w:w="11060"/>
          </w:cols>
          <w:pgMar w:left="400" w:top="760"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1060"/>
          </w:cols>
          <w:pgMar w:left="400" w:top="760" w:right="420" w:bottom="0" w:gutter="0" w:footer="0" w:header="0"/>
          <w:type w:val="continuous"/>
        </w:sectPr>
      </w:pPr>
    </w:p>
    <w:bookmarkStart w:id="207" w:name="page208"/>
    <w:bookmarkEnd w:id="207"/>
    <w:p>
      <w:pPr>
        <w:ind w:right="20"/>
        <w:spacing w:after="0" w:line="262" w:lineRule="auto"/>
        <w:rPr>
          <w:sz w:val="20"/>
          <w:szCs w:val="20"/>
          <w:color w:val="auto"/>
        </w:rPr>
      </w:pPr>
      <w:r>
        <w:rPr>
          <w:rFonts w:ascii="Arial" w:cs="Arial" w:eastAsia="Arial" w:hAnsi="Arial"/>
          <w:sz w:val="19"/>
          <w:szCs w:val="19"/>
          <w:color w:val="auto"/>
        </w:rPr>
        <w:t>On March 12, 2023, Lucid LLC entered into an amendment of the GIB Facility Agreement (together with the GIB Facility Agreement, the “2023 Amended GIB Facility Agreement”) to combine the Bridge Facility and the Working Capital Facility into a committed SAR 1.0 billion (approximately $266.1 million) revolving credit facility (the “2023 GIB Credit Facility”) which may be used for general corporate purposes. Loans under the 2023 Amended GIB Credit Facility Agreement have a maturity of no more than 12 months and bear interest at a rate of 1.40% per annum over SAIBOR (based on the term of borrowing) and associated fees.</w:t>
      </w:r>
    </w:p>
    <w:p>
      <w:pPr>
        <w:spacing w:after="0" w:line="191"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We are required to pay a quarterly commitment fee of 0.15% per annum based on the unutilized portion of the 2023 GIB Credit Facility. Commitments under the 2023 Amended GIB Facility Agreement will terminate, and all amounts then outstanding thereunder would become payable, on the maturity date of the 2023 Amended GIB Facility Agreement. The 2023 Amended GIB Facility Agreement contains certain conditions precedent to drawdowns, representations and warranties and covenants of Lucid LLC and events of default.</w:t>
      </w:r>
    </w:p>
    <w:p>
      <w:pPr>
        <w:spacing w:after="0" w:line="17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As of December 31, 2024 and 2023, we had outstanding borrowings of SAR 475 million (approximately $126.4 million) and SAR 272 million (approximately $72.5 million), respectively. The weighted average interest rate on the outstanding borrowings was 7.04% and 7.49% as of December 31, 2024 and 2023, respectively. As of December 31, 2024 and 2023, availability under the 2023 GIB Credit Facility was SAR 523 million (approximately $139.2 million) and SAR 727 million (approximately $193.9 million), respectively, after giving effect to the outstanding letters of credit. The outstanding borrowings were recorded within other current liabilities in the consolidated balance sheets. As of December 31, 2024 and 2023, we were in compliance with applicable covenants under the 2023 Amended GIB Facility Agreement.</w:t>
      </w:r>
    </w:p>
    <w:p>
      <w:pPr>
        <w:spacing w:after="0" w:line="167"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On February 24, 2025, Lucid LLC entered into an agreement to renew the 2023 GIB Credit Facility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See Note 18 “Subsequent Event” to the consolidated financial statements included elsewhere in this Annual Report for more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ABL Credit Facility</w:t>
      </w:r>
    </w:p>
    <w:p>
      <w:pPr>
        <w:spacing w:after="0" w:line="24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we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December 31, 2024 and 2023, we were in compliance with applicable covenants under the ABL Credit Facility.</w:t>
      </w:r>
    </w:p>
    <w:p>
      <w:pPr>
        <w:spacing w:after="0" w:line="194"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As of December 31, 2024 and 2023, we had no outstanding borrowings under the ABL Credit Facility. Outstanding letters of credit under the ABL Credit Facility were $56.9 million and $45.4 million as of December 31, 2024 and 2023, respectively. Availability under the ABL Credit Facility was $354.9 million (including $191.1 million cash and cash equivalents) and $413.4 million (including $144.0 million cash and cash equivalents) as of December 31, 2024 and 2023, respectively, after giving effect to the borrowing base and the outstanding letters of credit.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DDTL Credit Facility</w:t>
      </w:r>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sectPr>
          <w:pgSz w:w="11880" w:h="15480" w:orient="portrait"/>
          <w:cols w:equalWidth="0" w:num="1">
            <w:col w:w="11020"/>
          </w:cols>
          <w:pgMar w:left="400" w:top="763"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1020"/>
          </w:cols>
          <w:pgMar w:left="400" w:top="763" w:right="460" w:bottom="0" w:gutter="0" w:footer="0" w:header="0"/>
          <w:type w:val="continuous"/>
        </w:sectPr>
      </w:pPr>
    </w:p>
    <w:bookmarkStart w:id="208" w:name="page209"/>
    <w:bookmarkEnd w:id="208"/>
    <w:p>
      <w:pPr>
        <w:ind w:right="40"/>
        <w:spacing w:after="0" w:line="262" w:lineRule="auto"/>
        <w:rPr>
          <w:sz w:val="20"/>
          <w:szCs w:val="20"/>
          <w:color w:val="auto"/>
        </w:rPr>
      </w:pPr>
      <w:r>
        <w:rPr>
          <w:rFonts w:ascii="Arial" w:cs="Arial" w:eastAsia="Arial" w:hAnsi="Arial"/>
          <w:sz w:val="19"/>
          <w:szCs w:val="19"/>
          <w:color w:val="auto"/>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2024, we were in compliance with applicable covenants under the DDTL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2024, we had no outstanding borrowings under the DDTL Credit Facility.</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At-the-Market Offering, Subscription Agreements and Underwriting Agreements</w:t>
      </w:r>
    </w:p>
    <w:p>
      <w:pPr>
        <w:spacing w:after="0" w:line="25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“2022 Subscription Agreement”) pursuant to the 2022 Subscription Agreement for $915.0 million.</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June 2023, we completed the public offering pursuant to the 2023 Underwriting Agreement for aggregate net proceeds of $1.2 billion and also consummated a private placement of shares to Ayar pursuant to the 2023 Subscription Agreement for aggregate net proceeds of $1.8 billion after deducting issuance costs. See Note 9 “Stockholders’ Equity” to the consolidated financial statements included elsewhere in this Annual Report, for more information.</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consolidated financial statements included elsewhere in this Annual Report, for more information.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9 “Stockholders’ Equity” to the consolidated financial statements included elsewhere in this Annual Report, for more information.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have generated significant losses from our operations as reflected in our accumulated deficit of $12.9 billion and $10.2 billion as of December 31, 2024 and 2023, respectively. Additionally, we have generated significant negative cash flows from operations and investing activities as we continue to support the growth of our business.</w:t>
      </w:r>
    </w:p>
    <w:p>
      <w:pPr>
        <w:spacing w:after="0" w:line="182"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Item 1A of Part I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our cash flows for the periods presented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5"/>
                <w:szCs w:val="15"/>
                <w:b w:val="1"/>
                <w:bCs w:val="1"/>
                <w:color w:val="auto"/>
              </w:rPr>
              <w:t>Year Ended December 31,</w:t>
            </w:r>
          </w:p>
        </w:tc>
      </w:tr>
      <w:tr>
        <w:trPr>
          <w:trHeight w:val="254"/>
        </w:trPr>
        <w:tc>
          <w:tcPr>
            <w:tcW w:w="85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Cash used in operating activities</w:t>
            </w:r>
          </w:p>
        </w:tc>
        <w:tc>
          <w:tcPr>
            <w:tcW w:w="280" w:type="dxa"/>
            <w:vAlign w:val="bottom"/>
            <w:shd w:val="clear" w:color="auto" w:fill="E6E6E6"/>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(2,019,674)</w:t>
            </w:r>
          </w:p>
        </w:tc>
        <w:tc>
          <w:tcPr>
            <w:tcW w:w="340" w:type="dxa"/>
            <w:vAlign w:val="bottom"/>
            <w:gridSpan w:val="2"/>
            <w:shd w:val="clear" w:color="auto" w:fill="E6E6E6"/>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(2,489,753)</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Cash used in investing activities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(1,294,454)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(946,975)</w:t>
            </w:r>
          </w:p>
        </w:tc>
      </w:tr>
      <w:tr>
        <w:trPr>
          <w:trHeight w:val="289"/>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Cash provided by financing activities</w:t>
            </w: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3,549,673</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3,070,915</w:t>
            </w:r>
          </w:p>
        </w:tc>
      </w:tr>
      <w:tr>
        <w:trPr>
          <w:trHeight w:val="253"/>
        </w:trPr>
        <w:tc>
          <w:tcPr>
            <w:tcW w:w="8500" w:type="dxa"/>
            <w:vAlign w:val="bottom"/>
          </w:tcPr>
          <w:p>
            <w:pPr>
              <w:ind w:left="60"/>
              <w:spacing w:after="0" w:line="216" w:lineRule="exact"/>
              <w:rPr>
                <w:sz w:val="20"/>
                <w:szCs w:val="20"/>
                <w:color w:val="auto"/>
              </w:rPr>
            </w:pPr>
            <w:r>
              <w:rPr>
                <w:rFonts w:ascii="Arial" w:cs="Arial" w:eastAsia="Arial" w:hAnsi="Arial"/>
                <w:sz w:val="19"/>
                <w:szCs w:val="19"/>
                <w:color w:val="auto"/>
              </w:rPr>
              <w:t>Net increase (decrease) in cash, cash equivalents, and restricted cash</w:t>
            </w:r>
          </w:p>
        </w:tc>
        <w:tc>
          <w:tcPr>
            <w:tcW w:w="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235,545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-725805</wp:posOffset>
            </wp:positionV>
            <wp:extent cx="165417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3">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4">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5">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Used in Operating Activities</w:t>
      </w:r>
    </w:p>
    <w:p>
      <w:pPr>
        <w:spacing w:after="0" w:line="250"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1080"/>
          </w:cols>
          <w:pgMar w:left="400" w:top="763" w:right="400" w:bottom="0" w:gutter="0" w:footer="0" w:header="0"/>
          <w:type w:val="continuous"/>
        </w:sectPr>
      </w:pPr>
    </w:p>
    <w:bookmarkStart w:id="209" w:name="page210"/>
    <w:bookmarkEnd w:id="209"/>
    <w:p>
      <w:pPr>
        <w:ind w:right="20"/>
        <w:spacing w:after="0" w:line="294" w:lineRule="auto"/>
        <w:rPr>
          <w:sz w:val="20"/>
          <w:szCs w:val="20"/>
          <w:color w:val="auto"/>
        </w:rPr>
      </w:pPr>
      <w:r>
        <w:rPr>
          <w:rFonts w:ascii="Arial" w:cs="Arial" w:eastAsia="Arial" w:hAnsi="Arial"/>
          <w:sz w:val="17"/>
          <w:szCs w:val="17"/>
          <w:color w:val="auto"/>
        </w:rPr>
        <w:t>Net cash used in operating activities decreased by $470.1 million to $2,019.7 million during the year ended December 31, 2024, as compared to the year ended December 31, 2023. The decrease was primarily due to an overall decrease in net operating assets and liabilities of $635.7 million, partially offset by an increase in net loss excluding non-cash expenses and gains of $165.7 million during the year ended December 31, 2024, as compared to the year ended December 31, 2023. The change in net operating assets and liabilities was primarily attributable to a decrease in inventory of $323.8 million due to lower purchases of raw materials and continuous improvement in inventory management, and a decrease in accounts payable of $174.3 million due to timing of payments. The decreases were partially offset by an increase in other current assets of $145.9 million due to an increase in advanced payments to suppliers recorded during the year ended December 31, 2024.</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Used in Investing Activities</w:t>
      </w:r>
    </w:p>
    <w:p>
      <w:pPr>
        <w:spacing w:after="0" w:line="250" w:lineRule="exact"/>
        <w:rPr>
          <w:sz w:val="20"/>
          <w:szCs w:val="20"/>
          <w:color w:val="auto"/>
        </w:rPr>
      </w:pPr>
    </w:p>
    <w:p>
      <w:pPr>
        <w:ind w:right="240"/>
        <w:spacing w:after="0" w:line="289" w:lineRule="auto"/>
        <w:rPr>
          <w:sz w:val="20"/>
          <w:szCs w:val="20"/>
          <w:color w:val="auto"/>
        </w:rPr>
      </w:pPr>
      <w:r>
        <w:rPr>
          <w:rFonts w:ascii="Arial" w:cs="Arial" w:eastAsia="Arial" w:hAnsi="Arial"/>
          <w:sz w:val="19"/>
          <w:szCs w:val="19"/>
          <w:color w:val="auto"/>
        </w:rPr>
        <w:t>Our cash flows used in investing activities primarily relate to purchases of investments and capital expenditures to support our growth, net of proceeds from maturities of investments.</w:t>
      </w:r>
    </w:p>
    <w:p>
      <w:pPr>
        <w:spacing w:after="0" w:line="165"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Net cash used in investing activities increased by $347.5 million to $1,294.5 million during the year ended December 31, 2024, as compared to the year ended December 31, 2023. The increase was primarily attributable to an increase in purchases of investments of $624.6 million, partially offset by an increase in proceeds from maturities of investments of $391.2 million. The increase was also attributable to $97.5 million of proceeds from a government grant we received during the year ended December 31, 2023.</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Provided by Financing Activities</w:t>
      </w:r>
    </w:p>
    <w:p>
      <w:pPr>
        <w:spacing w:after="0" w:line="250" w:lineRule="exact"/>
        <w:rPr>
          <w:sz w:val="20"/>
          <w:szCs w:val="20"/>
          <w:color w:val="auto"/>
        </w:rPr>
      </w:pPr>
    </w:p>
    <w:p>
      <w:pPr>
        <w:ind w:right="240"/>
        <w:spacing w:after="0" w:line="289" w:lineRule="auto"/>
        <w:rPr>
          <w:sz w:val="20"/>
          <w:szCs w:val="20"/>
          <w:color w:val="auto"/>
        </w:rPr>
      </w:pPr>
      <w:r>
        <w:rPr>
          <w:rFonts w:ascii="Arial" w:cs="Arial" w:eastAsia="Arial" w:hAnsi="Arial"/>
          <w:sz w:val="19"/>
          <w:szCs w:val="19"/>
          <w:color w:val="auto"/>
        </w:rPr>
        <w:t>Since inception, we have financed our operations primarily from the issuances of equity securities, including the At-the-Market Offering, the private placements to Ayar, convertible preferred stock, the proceeds of the merger, and the 2026 Notes.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provided by financing activities increased by $478.8 million to $3,549.7 million during the year ended December 31, 2024, as compared to the year ended December 31, 2023. We received net proceeds of $1,744.0 million from the issuance of common stock under the 2024 Subscription Agreement and Underwriting Agreement, $997.6 million from the issuance of Series A Redeemable Convertible Preferred Stock, and $749.4 million from the issuance of Series B Redeemable Convertible Preferred Stock during the year ended December 31, 2024. We also received net proceeds of $2,996.9 million from the issuance of common stock under the 2023 Subscription Agreement and the 2023 Underwriting Agreement during the year ended December 31, 2023.</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24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84"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more information about our accounting policies, see Note 2 “Summary of Significant Accounting Policies” to the consolidated financial statements included elsewhere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Vehicle Sales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Vehicle Sales without Residual Value Guarantee</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four years. Shipping and handling provided by us is considered a fulfillment activity.</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1080"/>
          </w:cols>
          <w:pgMar w:left="400" w:top="763" w:right="400" w:bottom="0" w:gutter="0" w:footer="0" w:header="0"/>
          <w:type w:val="continuous"/>
        </w:sectPr>
      </w:pPr>
    </w:p>
    <w:bookmarkStart w:id="210" w:name="page211"/>
    <w:bookmarkEnd w:id="210"/>
    <w:p>
      <w:pPr>
        <w:spacing w:after="0" w:line="275" w:lineRule="auto"/>
        <w:rPr>
          <w:sz w:val="20"/>
          <w:szCs w:val="20"/>
          <w:color w:val="auto"/>
        </w:rPr>
      </w:pPr>
      <w:r>
        <w:rPr>
          <w:rFonts w:ascii="Arial" w:cs="Arial" w:eastAsia="Arial" w:hAnsi="Arial"/>
          <w:sz w:val="18"/>
          <w:szCs w:val="18"/>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w:t>
      </w:r>
    </w:p>
    <w:p>
      <w:pPr>
        <w:spacing w:after="0" w:line="184"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88" w:lineRule="exact"/>
        <w:rPr>
          <w:sz w:val="20"/>
          <w:szCs w:val="20"/>
          <w:color w:val="auto"/>
        </w:rPr>
      </w:pPr>
    </w:p>
    <w:p>
      <w:pPr>
        <w:ind w:right="420"/>
        <w:spacing w:after="0" w:line="318" w:lineRule="auto"/>
        <w:rPr>
          <w:sz w:val="20"/>
          <w:szCs w:val="20"/>
          <w:color w:val="auto"/>
        </w:rPr>
      </w:pPr>
      <w:r>
        <w:rPr>
          <w:rFonts w:ascii="Arial" w:cs="Arial" w:eastAsia="Arial" w:hAnsi="Arial"/>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w:t>
      </w:r>
    </w:p>
    <w:p>
      <w:pPr>
        <w:spacing w:after="0" w:line="143" w:lineRule="exact"/>
        <w:rPr>
          <w:sz w:val="20"/>
          <w:szCs w:val="20"/>
          <w:color w:val="auto"/>
        </w:rPr>
      </w:pPr>
    </w:p>
    <w:p>
      <w:pPr>
        <w:jc w:val="both"/>
        <w:ind w:right="60"/>
        <w:spacing w:after="0" w:line="265" w:lineRule="auto"/>
        <w:rPr>
          <w:sz w:val="20"/>
          <w:szCs w:val="20"/>
          <w:color w:val="auto"/>
        </w:rPr>
      </w:pPr>
      <w:r>
        <w:rPr>
          <w:rFonts w:ascii="Arial" w:cs="Arial" w:eastAsia="Arial" w:hAnsi="Arial"/>
          <w:sz w:val="19"/>
          <w:szCs w:val="19"/>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Vehicle Sales with Residual Value Guarantee</w:t>
      </w:r>
    </w:p>
    <w:p>
      <w:pPr>
        <w:spacing w:after="0" w:line="245"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We provide a residual value guarantee (“RVG”) to our commercial banking partners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w:t>
      </w:r>
    </w:p>
    <w:p>
      <w:pPr>
        <w:spacing w:after="0" w:line="193"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 xml:space="preserve">We account for the vehicle leasing program in accordance with ASC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xml:space="preserve"> ASC 460, </w:t>
      </w:r>
      <w:r>
        <w:rPr>
          <w:rFonts w:ascii="Arial" w:cs="Arial" w:eastAsia="Arial" w:hAnsi="Arial"/>
          <w:sz w:val="19"/>
          <w:szCs w:val="19"/>
          <w:b w:val="1"/>
          <w:bCs w:val="1"/>
          <w:i w:val="1"/>
          <w:iCs w:val="1"/>
          <w:color w:val="auto"/>
        </w:rPr>
        <w:t>Guarantees</w:t>
      </w:r>
      <w:r>
        <w:rPr>
          <w:rFonts w:ascii="Arial" w:cs="Arial" w:eastAsia="Arial" w:hAnsi="Arial"/>
          <w:sz w:val="19"/>
          <w:szCs w:val="19"/>
          <w:color w:val="auto"/>
        </w:rPr>
        <w:t xml:space="preserve"> and ASC 606, </w:t>
      </w:r>
      <w:r>
        <w:rPr>
          <w:rFonts w:ascii="Arial" w:cs="Arial" w:eastAsia="Arial" w:hAnsi="Arial"/>
          <w:sz w:val="19"/>
          <w:szCs w:val="19"/>
          <w:b w:val="1"/>
          <w:bCs w:val="1"/>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Contracts with Customers</w:t>
      </w:r>
      <w:r>
        <w:rPr>
          <w:rFonts w:ascii="Arial" w:cs="Arial" w:eastAsia="Arial" w:hAnsi="Arial"/>
          <w:sz w:val="19"/>
          <w:szCs w:val="19"/>
          <w:color w:val="auto"/>
        </w:rPr>
        <w:t>. We are the lessor at inception of a lease and immediately transfer the lease as well as the underlying vehicle to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commercial banking partners,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OTA software updates and remarketing activities, in proportion to the standalone selling price of our performance obligations. Any fees or incentives that are paid or payable by us to commercial banking partners are recognized as a reduction to vehicle sales revenue.</w:t>
      </w:r>
    </w:p>
    <w:p>
      <w:pPr>
        <w:spacing w:after="0" w:line="199"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Vehicle Operating Lease Revenue</w:t>
      </w:r>
    </w:p>
    <w:p>
      <w:pPr>
        <w:spacing w:after="0" w:line="245" w:lineRule="exact"/>
        <w:rPr>
          <w:sz w:val="20"/>
          <w:szCs w:val="20"/>
          <w:color w:val="auto"/>
        </w:rPr>
      </w:pPr>
    </w:p>
    <w:p>
      <w:pPr>
        <w:ind w:right="500"/>
        <w:spacing w:after="0" w:line="305" w:lineRule="auto"/>
        <w:rPr>
          <w:sz w:val="20"/>
          <w:szCs w:val="20"/>
          <w:color w:val="auto"/>
        </w:rPr>
      </w:pPr>
      <w:r>
        <w:rPr>
          <w:rFonts w:ascii="Arial" w:cs="Arial" w:eastAsia="Arial" w:hAnsi="Arial"/>
          <w:sz w:val="17"/>
          <w:szCs w:val="17"/>
          <w:color w:val="auto"/>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Inventory Valuation</w:t>
      </w:r>
    </w:p>
    <w:p>
      <w:pPr>
        <w:spacing w:after="0" w:line="250" w:lineRule="exact"/>
        <w:rPr>
          <w:sz w:val="20"/>
          <w:szCs w:val="20"/>
          <w:color w:val="auto"/>
        </w:rPr>
      </w:pPr>
    </w:p>
    <w:p>
      <w:pPr>
        <w:jc w:val="both"/>
        <w:ind w:right="40"/>
        <w:spacing w:after="0" w:line="317"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1060"/>
          </w:cols>
          <w:pgMar w:left="400" w:top="763" w:right="420" w:bottom="0" w:gutter="0" w:footer="0" w:header="0"/>
          <w:type w:val="continuous"/>
        </w:sectPr>
      </w:pPr>
    </w:p>
    <w:bookmarkStart w:id="211" w:name="page212"/>
    <w:bookmarkEnd w:id="211"/>
    <w:p>
      <w:pPr>
        <w:spacing w:after="0" w:line="265" w:lineRule="auto"/>
        <w:rPr>
          <w:sz w:val="20"/>
          <w:szCs w:val="20"/>
          <w:color w:val="auto"/>
        </w:rPr>
      </w:pPr>
      <w:r>
        <w:rPr>
          <w:rFonts w:ascii="Arial" w:cs="Arial" w:eastAsia="Arial" w:hAnsi="Arial"/>
          <w:sz w:val="19"/>
          <w:szCs w:val="19"/>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8" w:lineRule="exact"/>
        <w:rPr>
          <w:sz w:val="20"/>
          <w:szCs w:val="20"/>
          <w:color w:val="auto"/>
        </w:rPr>
      </w:pPr>
    </w:p>
    <w:p>
      <w:pPr>
        <w:ind w:right="600"/>
        <w:spacing w:after="0" w:line="351" w:lineRule="auto"/>
        <w:rPr>
          <w:sz w:val="20"/>
          <w:szCs w:val="20"/>
          <w:color w:val="auto"/>
        </w:rPr>
      </w:pPr>
      <w:r>
        <w:rPr>
          <w:rFonts w:ascii="Arial" w:cs="Arial" w:eastAsia="Arial" w:hAnsi="Arial"/>
          <w:sz w:val="17"/>
          <w:szCs w:val="17"/>
          <w:color w:val="auto"/>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94"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color w:val="auto"/>
        </w:rPr>
        <w:t>Once inventory is written-down, a new lower cost basis for that inventory is established and subsequent changes in facts and circumstances do not result in the restoration or increase in that newly established cost basis.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Liabilities</w:t>
      </w:r>
    </w:p>
    <w:p>
      <w:pPr>
        <w:spacing w:after="0" w:line="25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consolidated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250" w:lineRule="exact"/>
        <w:rPr>
          <w:sz w:val="20"/>
          <w:szCs w:val="20"/>
          <w:color w:val="auto"/>
        </w:rPr>
      </w:pPr>
    </w:p>
    <w:p>
      <w:pPr>
        <w:ind w:right="220"/>
        <w:spacing w:after="0" w:line="289" w:lineRule="auto"/>
        <w:rPr>
          <w:sz w:val="20"/>
          <w:szCs w:val="20"/>
          <w:color w:val="auto"/>
        </w:rPr>
      </w:pPr>
      <w:r>
        <w:rPr>
          <w:rFonts w:ascii="Arial" w:cs="Arial" w:eastAsia="Arial" w:hAnsi="Arial"/>
          <w:sz w:val="19"/>
          <w:szCs w:val="19"/>
          <w:color w:val="auto"/>
        </w:rPr>
        <w:t>See Note 2 “Summary of Significant Accounting Policies” to our consolidated financial statements included elsewhere in this Annual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4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w:t>
      </w:r>
    </w:p>
    <w:p>
      <w:pPr>
        <w:sectPr>
          <w:pgSz w:w="11880" w:h="15480" w:orient="portrait"/>
          <w:cols w:equalWidth="0" w:num="1">
            <w:col w:w="11060"/>
          </w:cols>
          <w:pgMar w:left="400" w:top="763" w:right="420" w:bottom="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1060"/>
          </w:cols>
          <w:pgMar w:left="400" w:top="763" w:right="420" w:bottom="0" w:gutter="0" w:footer="0" w:header="0"/>
          <w:type w:val="continuous"/>
        </w:sectPr>
      </w:pPr>
    </w:p>
    <w:bookmarkStart w:id="212" w:name="page213"/>
    <w:bookmarkEnd w:id="212"/>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250"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and investments. We had cash, cash equivalents, and investments totaling approximately $5.04 billion as of December 31, 2024.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December 31, 2024, a hypothetical 100 basis point increase in interest rates would result in $26.5 million incremental decline in the fair market value of our portfolio.</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Price Risk</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We hold equity securities of Aston Martin Lagonda Global Holdings plc (together with its subsidiaries, “Aston Martin”). The fair value of these equity securities was $37.8 million as of December 31, 2024. Changes in fair value of these equity securities are impacted by the volatility of the stock market and changes in general economic conditions, among other factors. A hypothetical 10% decrease in the stock price of these equity securities would decrease the fair value as of December 31, 2024 by $3.8 million.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Supply Risk</w:t>
      </w:r>
    </w:p>
    <w:p>
      <w:pPr>
        <w:spacing w:after="0" w:line="250" w:lineRule="exact"/>
        <w:rPr>
          <w:sz w:val="20"/>
          <w:szCs w:val="20"/>
          <w:color w:val="auto"/>
        </w:rPr>
      </w:pPr>
    </w:p>
    <w:p>
      <w:pPr>
        <w:ind w:right="220"/>
        <w:spacing w:after="0" w:line="317" w:lineRule="auto"/>
        <w:rPr>
          <w:sz w:val="20"/>
          <w:szCs w:val="20"/>
          <w:color w:val="auto"/>
        </w:rPr>
      </w:pPr>
      <w:r>
        <w:rPr>
          <w:rFonts w:ascii="Arial" w:cs="Arial" w:eastAsia="Arial" w:hAnsi="Arial"/>
          <w:sz w:val="17"/>
          <w:szCs w:val="17"/>
          <w:color w:val="auto"/>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1060"/>
          </w:cols>
          <w:pgMar w:left="400" w:top="755" w:right="420" w:bottom="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55"/>
        </w:trPr>
        <w:tc>
          <w:tcPr>
            <w:tcW w:w="10340" w:type="dxa"/>
            <w:vAlign w:val="bottom"/>
          </w:tcPr>
          <w:p>
            <w:pPr>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10340" w:type="dxa"/>
            <w:vAlign w:val="bottom"/>
          </w:tcPr>
          <w:p>
            <w:pPr>
              <w:spacing w:after="0"/>
              <w:rPr>
                <w:sz w:val="20"/>
                <w:szCs w:val="20"/>
                <w:color w:val="auto"/>
              </w:rPr>
            </w:pPr>
            <w:r>
              <w:rPr>
                <w:rFonts w:ascii="Arial" w:cs="Arial" w:eastAsia="Arial" w:hAnsi="Arial"/>
                <w:sz w:val="19"/>
                <w:szCs w:val="19"/>
                <w:color w:val="auto"/>
              </w:rPr>
              <w:t>Index of Consolidated Financial Statements for the fiscal years ended December 31, 2024, 2023 and 2022.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0340" w:type="dxa"/>
            <w:vAlign w:val="bottom"/>
          </w:tcPr>
          <w:p>
            <w:pPr>
              <w:ind w:left="60"/>
              <w:spacing w:after="0"/>
              <w:rPr>
                <w:sz w:val="20"/>
                <w:szCs w:val="20"/>
                <w:color w:val="auto"/>
              </w:rPr>
            </w:pPr>
            <w:r>
              <w:rPr>
                <w:rFonts w:ascii="Arial" w:cs="Arial" w:eastAsia="Arial" w:hAnsi="Arial"/>
                <w:sz w:val="19"/>
                <w:szCs w:val="19"/>
                <w:b w:val="1"/>
                <w:bCs w:val="1"/>
                <w:color w:val="auto"/>
              </w:rPr>
              <w:t>CONTENTS</w:t>
            </w:r>
          </w:p>
        </w:tc>
        <w:tc>
          <w:tcPr>
            <w:tcW w:w="60" w:type="dxa"/>
            <w:vAlign w:val="bottom"/>
          </w:tcPr>
          <w:p>
            <w:pPr>
              <w:spacing w:after="0"/>
              <w:rPr>
                <w:sz w:val="24"/>
                <w:szCs w:val="24"/>
                <w:color w:val="auto"/>
              </w:rPr>
            </w:pPr>
          </w:p>
        </w:tc>
        <w:tc>
          <w:tcPr>
            <w:tcW w:w="680" w:type="dxa"/>
            <w:vAlign w:val="bottom"/>
          </w:tcPr>
          <w:p>
            <w:pPr>
              <w:jc w:val="right"/>
              <w:ind w:right="44"/>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
        </w:trPr>
        <w:tc>
          <w:tcPr>
            <w:tcW w:w="1034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10340" w:type="dxa"/>
            <w:vAlign w:val="bottom"/>
          </w:tcPr>
          <w:p>
            <w:pPr>
              <w:ind w:left="60"/>
              <w:spacing w:after="0"/>
              <w:rPr>
                <w:sz w:val="20"/>
                <w:szCs w:val="20"/>
                <w:color w:val="auto"/>
              </w:rPr>
            </w:pPr>
            <w:r>
              <w:rPr>
                <w:rFonts w:ascii="Arial" w:cs="Arial" w:eastAsia="Arial" w:hAnsi="Arial"/>
                <w:sz w:val="19"/>
                <w:szCs w:val="19"/>
                <w:color w:val="auto"/>
              </w:rPr>
              <w:t>Report of Independent Registered Public Accounting Firm (PCAOB ID Number 185)</w:t>
            </w:r>
          </w:p>
        </w:tc>
        <w:tc>
          <w:tcPr>
            <w:tcW w:w="60" w:type="dxa"/>
            <w:vAlign w:val="bottom"/>
            <w:vMerge w:val="continue"/>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54"/>
        </w:trPr>
        <w:tc>
          <w:tcPr>
            <w:tcW w:w="10340" w:type="dxa"/>
            <w:vAlign w:val="bottom"/>
          </w:tcPr>
          <w:p>
            <w:pPr>
              <w:ind w:left="60"/>
              <w:spacing w:after="0"/>
              <w:rPr>
                <w:sz w:val="20"/>
                <w:szCs w:val="20"/>
                <w:color w:val="auto"/>
              </w:rPr>
            </w:pPr>
            <w:r>
              <w:rPr>
                <w:rFonts w:ascii="Arial" w:cs="Arial" w:eastAsia="Arial" w:hAnsi="Arial"/>
                <w:sz w:val="19"/>
                <w:szCs w:val="19"/>
                <w:color w:val="auto"/>
              </w:rPr>
              <w:t>Report of Independent Registered Public Accounting Firm (PCAOB ID Number 248)</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74"/>
        </w:trPr>
        <w:tc>
          <w:tcPr>
            <w:tcW w:w="10340" w:type="dxa"/>
            <w:vAlign w:val="bottom"/>
          </w:tcPr>
          <w:p>
            <w:pPr>
              <w:ind w:left="60"/>
              <w:spacing w:after="0"/>
              <w:rPr>
                <w:sz w:val="20"/>
                <w:szCs w:val="20"/>
                <w:color w:val="auto"/>
              </w:rPr>
            </w:pPr>
            <w:r>
              <w:rPr>
                <w:rFonts w:ascii="Arial" w:cs="Arial" w:eastAsia="Arial" w:hAnsi="Arial"/>
                <w:sz w:val="19"/>
                <w:szCs w:val="19"/>
                <w:color w:val="auto"/>
              </w:rPr>
              <w:t>Consolidated Financial Statements of Lucid Group, Inc. and its consolidated subsidiaries:</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340" w:type="dxa"/>
            <w:vAlign w:val="bottom"/>
          </w:tcPr>
          <w:p>
            <w:pPr>
              <w:ind w:left="60"/>
              <w:spacing w:after="0"/>
              <w:rPr>
                <w:sz w:val="20"/>
                <w:szCs w:val="20"/>
                <w:color w:val="auto"/>
              </w:rPr>
            </w:pPr>
            <w:r>
              <w:rPr>
                <w:rFonts w:ascii="Arial" w:cs="Arial" w:eastAsia="Arial" w:hAnsi="Arial"/>
                <w:sz w:val="19"/>
                <w:szCs w:val="19"/>
                <w:color w:val="auto"/>
              </w:rPr>
              <w:t>Consolidated Balance Sheets as of December 31, 2024 and 2023</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97</w:t>
            </w:r>
          </w:p>
        </w:tc>
        <w:tc>
          <w:tcPr>
            <w:tcW w:w="0" w:type="dxa"/>
            <w:vAlign w:val="bottom"/>
          </w:tcPr>
          <w:p>
            <w:pPr>
              <w:spacing w:after="0"/>
              <w:rPr>
                <w:sz w:val="1"/>
                <w:szCs w:val="1"/>
                <w:color w:val="auto"/>
              </w:rPr>
            </w:pPr>
          </w:p>
        </w:tc>
      </w:tr>
      <w:tr>
        <w:trPr>
          <w:trHeight w:val="274"/>
        </w:trPr>
        <w:tc>
          <w:tcPr>
            <w:tcW w:w="10340" w:type="dxa"/>
            <w:vAlign w:val="bottom"/>
          </w:tcPr>
          <w:p>
            <w:pPr>
              <w:ind w:left="60"/>
              <w:spacing w:after="0"/>
              <w:rPr>
                <w:sz w:val="20"/>
                <w:szCs w:val="20"/>
                <w:color w:val="auto"/>
              </w:rPr>
            </w:pPr>
            <w:r>
              <w:rPr>
                <w:rFonts w:ascii="Arial" w:cs="Arial" w:eastAsia="Arial" w:hAnsi="Arial"/>
                <w:sz w:val="19"/>
                <w:szCs w:val="19"/>
                <w:color w:val="auto"/>
                <w:w w:val="99"/>
              </w:rPr>
              <w:t>Consolidated Statements of Operations and Comprehensive Loss for the years ended December 31, 2024, 2023 and 2022</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71"/>
        </w:trPr>
        <w:tc>
          <w:tcPr>
            <w:tcW w:w="10340" w:type="dxa"/>
            <w:vAlign w:val="bottom"/>
          </w:tcPr>
          <w:p>
            <w:pPr>
              <w:ind w:left="60"/>
              <w:spacing w:after="0"/>
              <w:rPr>
                <w:sz w:val="20"/>
                <w:szCs w:val="20"/>
                <w:color w:val="auto"/>
              </w:rPr>
            </w:pPr>
            <w:r>
              <w:rPr>
                <w:rFonts w:ascii="Arial" w:cs="Arial" w:eastAsia="Arial" w:hAnsi="Arial"/>
                <w:sz w:val="19"/>
                <w:szCs w:val="19"/>
                <w:color w:val="auto"/>
              </w:rPr>
              <w:t>Consolidated Statements of Cash Flows for the years ended December 31, 2024, 2023 and 2022</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193"/>
        </w:trPr>
        <w:tc>
          <w:tcPr>
            <w:tcW w:w="10340" w:type="dxa"/>
            <w:vAlign w:val="bottom"/>
          </w:tcPr>
          <w:p>
            <w:pPr>
              <w:ind w:left="60"/>
              <w:spacing w:after="0" w:line="193" w:lineRule="exact"/>
              <w:rPr>
                <w:sz w:val="20"/>
                <w:szCs w:val="20"/>
                <w:color w:val="auto"/>
              </w:rPr>
            </w:pPr>
            <w:r>
              <w:rPr>
                <w:rFonts w:ascii="Arial" w:cs="Arial" w:eastAsia="Arial" w:hAnsi="Arial"/>
                <w:sz w:val="19"/>
                <w:szCs w:val="19"/>
                <w:color w:val="auto"/>
                <w:w w:val="93"/>
              </w:rPr>
              <w:t>Consolidated Statements of Redeemable Convertible Preferred Stock and Stockholders' Equity for the years ended December 31,</w:t>
            </w:r>
          </w:p>
        </w:tc>
        <w:tc>
          <w:tcPr>
            <w:tcW w:w="740" w:type="dxa"/>
            <w:vAlign w:val="bottom"/>
            <w:gridSpan w:val="2"/>
          </w:tcPr>
          <w:p>
            <w:pPr>
              <w:jc w:val="right"/>
              <w:spacing w:after="0" w:line="193" w:lineRule="exact"/>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51"/>
        </w:trPr>
        <w:tc>
          <w:tcPr>
            <w:tcW w:w="10340" w:type="dxa"/>
            <w:vAlign w:val="bottom"/>
          </w:tcPr>
          <w:p>
            <w:pPr>
              <w:ind w:left="60"/>
              <w:spacing w:after="0"/>
              <w:rPr>
                <w:sz w:val="20"/>
                <w:szCs w:val="20"/>
                <w:color w:val="auto"/>
              </w:rPr>
            </w:pPr>
            <w:r>
              <w:rPr>
                <w:rFonts w:ascii="Arial" w:cs="Arial" w:eastAsia="Arial" w:hAnsi="Arial"/>
                <w:sz w:val="19"/>
                <w:szCs w:val="19"/>
                <w:color w:val="auto"/>
              </w:rPr>
              <w:t>2024, 2023 and 2022</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340" w:type="dxa"/>
            <w:vAlign w:val="bottom"/>
          </w:tcPr>
          <w:p>
            <w:pPr>
              <w:ind w:left="60"/>
              <w:spacing w:after="0"/>
              <w:rPr>
                <w:sz w:val="20"/>
                <w:szCs w:val="20"/>
                <w:color w:val="auto"/>
              </w:rPr>
            </w:pPr>
            <w:r>
              <w:rPr>
                <w:rFonts w:ascii="Arial" w:cs="Arial" w:eastAsia="Arial" w:hAnsi="Arial"/>
                <w:sz w:val="19"/>
                <w:szCs w:val="19"/>
                <w:color w:val="auto"/>
              </w:rPr>
              <w:t>Notes to Consolidated Financial Statements</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1080"/>
          </w:cols>
          <w:pgMar w:left="400" w:top="756" w:right="400" w:bottom="0" w:gutter="0" w:footer="0" w:header="0"/>
          <w:type w:val="continuous"/>
        </w:sectPr>
      </w:pPr>
    </w:p>
    <w:bookmarkStart w:id="214" w:name="page215"/>
    <w:bookmarkEnd w:id="214"/>
    <w:p>
      <w:pPr>
        <w:ind w:left="22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audited the consolidated balance sheet of Lucid Group, Inc. (a Delaware corporation) and subsidiaries (the “Company”) as of December 31, 2022 (not presented herein), the related consolidated statements of operations and comprehensive loss, redeemable convertible preferred stock and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2020 to 2022.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 (except for Note 17, as to which the date is February 25, 2025)</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1080"/>
          </w:cols>
          <w:pgMar w:left="400" w:top="756" w:right="400" w:bottom="0" w:gutter="0" w:footer="0" w:header="0"/>
          <w:type w:val="continuous"/>
        </w:sectPr>
      </w:pPr>
    </w:p>
    <w:bookmarkStart w:id="215" w:name="page216"/>
    <w:bookmarkEnd w:id="215"/>
    <w:p>
      <w:pPr>
        <w:ind w:left="31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Consolidated Financial Statements and Internal Control Over Financial Reporting</w:t>
      </w:r>
    </w:p>
    <w:p>
      <w:pPr>
        <w:spacing w:after="0" w:line="24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 xml:space="preserve">We have audited the accompanying consolidated balance sheets of Lucid Group, Inc. and subsidiaries (the Company) as of December 31, 2024 and 2023, the related consolidated statements of operations and comprehensive loss, redeemable convertible preferred stock and stockholders’ equity, and cash flows for the years then ended, and the related notes (collectively, the consolidated financial statements). We also have audited the Company’s internal control over financial reporting as of December 31, 2024, based on criteria established in </w:t>
      </w:r>
      <w:r>
        <w:rPr>
          <w:rFonts w:ascii="Arial" w:cs="Arial" w:eastAsia="Arial" w:hAnsi="Arial"/>
          <w:sz w:val="17"/>
          <w:szCs w:val="17"/>
          <w:b w:val="1"/>
          <w:bCs w:val="1"/>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U.S. generally accepted accounting principles. Also in our opinion, the Company maintained, in all material respects, effective internal control over financial reporting as of December 31, 2024 based on criteria established in </w:t>
      </w:r>
      <w:r>
        <w:rPr>
          <w:rFonts w:ascii="Arial" w:cs="Arial" w:eastAsia="Arial" w:hAnsi="Arial"/>
          <w:sz w:val="18"/>
          <w:szCs w:val="18"/>
          <w:b w:val="1"/>
          <w:bCs w:val="1"/>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5"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5"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w:t>
      </w:r>
    </w:p>
    <w:p>
      <w:pPr>
        <w:sectPr>
          <w:pgSz w:w="11880" w:h="15480" w:orient="portrait"/>
          <w:cols w:equalWidth="0" w:num="1">
            <w:col w:w="11080"/>
          </w:cols>
          <w:pgMar w:left="400" w:top="758" w:right="40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1080"/>
          </w:cols>
          <w:pgMar w:left="400" w:top="758" w:right="400" w:bottom="0" w:gutter="0" w:footer="0" w:header="0"/>
          <w:type w:val="continuous"/>
        </w:sectPr>
      </w:pPr>
    </w:p>
    <w:bookmarkStart w:id="216" w:name="page217"/>
    <w:bookmarkEnd w:id="216"/>
    <w:p>
      <w:pPr>
        <w:ind w:right="20"/>
        <w:spacing w:after="0" w:line="323" w:lineRule="auto"/>
        <w:rPr>
          <w:sz w:val="20"/>
          <w:szCs w:val="20"/>
          <w:color w:val="auto"/>
        </w:rPr>
      </w:pPr>
      <w:r>
        <w:rPr>
          <w:rFonts w:ascii="Arial" w:cs="Arial" w:eastAsia="Arial" w:hAnsi="Arial"/>
          <w:sz w:val="17"/>
          <w:szCs w:val="17"/>
          <w:color w:val="auto"/>
        </w:rPr>
        <w:t>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net realizable value of certain inventories</w:t>
      </w: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discussed in Notes 2 and 4 to the consolidated financial statements, the Company has inventories with a carrying value of $407.8 million as of December 31, 2024. The Company adjusts the carrying value of inventory when the cost of inventory exceeds the estimated net realizable value. The Company records inventory write-downs for excess or obsolete inventories based upon assumptions about current and future demand forecasts. Additionally, the Company reviews inventory to determine whether the carrying value exceeds the net amount realizable upon the ultimate sale of the inventory, requiring the Company to determine the estimated selling price of vehicles and the estimated cost to convert the inventory on-hand into a finished product.</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We identified the evaluation of the Company’s determination of net realizable value of certain inventories as a critical audit matter. Subjective auditor judgment and significant audit effort were required to assess key inputs within the Company’s determination of net realizable value of certain inventories. Specifically, the key inputs within the calculation include the estimated selling prices and the estimated cost to convert the inventory on-hand into a finished product.</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inventory process, including controls related to the estimated selling prices and the estimated cost to convert the inventory on-hand into a finished product. We evaluated estimated selling prices by comparing them to internal sales documentation, actual sales, peer company data, and relevant market information. We evaluated the Company’s ability to accurately forecast the estimated cost to convert inventory on-hand by comparing historical production projections to actual results. We assessed the estimated cost to convert the inventory on-hand by comparing it to future sales projections. For certain inventories, we also evaluated the estimated cost to convert inventory on-hand by comparing the historical estimated cost to convert to actual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redeemable convertible preferred stock issuances</w:t>
      </w:r>
    </w:p>
    <w:p>
      <w:pPr>
        <w:spacing w:after="0" w:line="16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As discussed in Notes 2, 8 and 16 to the consolidated financial statements, in March 2024, the Company entered into the Series A Subscription Agreement with a related party. Pursuant to the Series A Subscription Agreement, the related party purchased 100,000 shares of the Series A Redeemable Convertible Preferred Stock for an aggregate purchase price of $1.0 billion in a private placement. In addition, in August 2024, the Company entered into the Series B Subscription Agreement with the same related party. Pursuant to the Series B Subscription Agreement, the related party purchased 75,000 shares of the Series B Redeemable Convertible Preferred Stock for an aggregate purchase price of $750.0 million in a private placement. 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or (ii) during specified periods preceding a fundamental change or optional redemption by the Company under the terms of the Redeemable Convertible Preferred Stock. As of December 31, 2024, the Redeemable Convertible Preferred Stock mezzanine equity and derivative liabilities were $1.3 billion and $639.4 million, respectively.</w:t>
      </w:r>
    </w:p>
    <w:p>
      <w:pPr>
        <w:spacing w:after="0" w:line="185"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We identified the assessment of the initial US GAAP accounting treatment of the Redeemable Convertible Preferred Stock as a critical audit matter. Specifically, the evaluation of the appropriate accounting treatment, including: 1) determination of whether the preferred stock was a debt or equity host, 2) identification of the embedded features, and 3) determination of whether any of the embedded features require bifurcation and separate accounting, involved complex, challenging and subjective auditor judgments. In addition, a high degree of auditor judgment was involved in determining the nature and extent of the procedures performed and audit evidence obtained to evaluate the Company's conclusions.</w:t>
      </w:r>
    </w:p>
    <w:p>
      <w:pPr>
        <w:spacing w:after="0" w:line="16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an internal control related to the initial accounting treatment of the Redeemable Convertible Preferred Stock. We obtained and reviewed the Redeemable Convertible Preferred Stock agreements to understand the terms, conditions, and features within the agreements to assist in</w:t>
      </w:r>
    </w:p>
    <w:p>
      <w:pPr>
        <w:spacing w:after="0" w:line="2" w:lineRule="exact"/>
        <w:rPr>
          <w:sz w:val="20"/>
          <w:szCs w:val="20"/>
          <w:color w:val="auto"/>
        </w:rPr>
      </w:pPr>
    </w:p>
    <w:p>
      <w:pPr>
        <w:ind w:right="120" w:firstLine="7"/>
        <w:spacing w:after="0" w:line="300" w:lineRule="auto"/>
        <w:tabs>
          <w:tab w:leader="none" w:pos="2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evaluating relevant contract terms and conditions of the agreements in relation to the appropriate accounting literature, (ii) comparing the relevant terms and provisions to management’s analysis, and (iii) assessing the appropriateness of conclusions reached by the Company with respect to the initial accounting treatment, including the determination of the host contract, and identification and bifurcation of embedded features within the Redeemable Convertible Preferred Stock. We evaluated the conclusions made by the Company related to the accounting treatment for issuance of the Redeemable Convertible Preferred Stock, including the Company’s conclusions of relevant accounting standards to analyze and assess the identification and determination of embedded features requiring bifurcation and separate accounting of the Redeemable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ectPr>
          <w:pgSz w:w="11880" w:h="15480" w:orient="portrait"/>
          <w:cols w:equalWidth="0" w:num="1">
            <w:col w:w="11040"/>
          </w:cols>
          <w:pgMar w:left="400" w:top="75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1040"/>
          </w:cols>
          <w:pgMar w:left="400" w:top="756" w:right="440" w:bottom="0" w:gutter="0" w:footer="0" w:header="0"/>
          <w:type w:val="continuous"/>
        </w:sectPr>
      </w:pPr>
    </w:p>
    <w:bookmarkStart w:id="217" w:name="page218"/>
    <w:bookmarkEnd w:id="217"/>
    <w:p>
      <w:pPr>
        <w:jc w:val="center"/>
        <w:ind w:left="2560"/>
        <w:spacing w:after="0"/>
        <w:rPr>
          <w:sz w:val="20"/>
          <w:szCs w:val="20"/>
          <w:color w:val="auto"/>
        </w:rPr>
      </w:pPr>
      <w:r>
        <w:rPr>
          <w:rFonts w:ascii="Arial" w:cs="Arial" w:eastAsia="Arial" w:hAnsi="Arial"/>
          <w:sz w:val="19"/>
          <w:szCs w:val="19"/>
          <w:b w:val="1"/>
          <w:bCs w:val="1"/>
          <w:color w:val="auto"/>
        </w:rPr>
        <w:t>LUCID GROUP, INC.</w:t>
      </w:r>
    </w:p>
    <w:p>
      <w:pPr>
        <w:spacing w:after="0" w:line="12" w:lineRule="exact"/>
        <w:rPr>
          <w:sz w:val="20"/>
          <w:szCs w:val="20"/>
          <w:color w:val="auto"/>
        </w:rPr>
      </w:pPr>
    </w:p>
    <w:p>
      <w:pPr>
        <w:jc w:val="center"/>
        <w:ind w:left="2560"/>
        <w:spacing w:after="0"/>
        <w:rPr>
          <w:sz w:val="20"/>
          <w:szCs w:val="20"/>
          <w:color w:val="auto"/>
        </w:rPr>
      </w:pPr>
      <w:r>
        <w:rPr>
          <w:rFonts w:ascii="Arial" w:cs="Arial" w:eastAsia="Arial" w:hAnsi="Arial"/>
          <w:sz w:val="19"/>
          <w:szCs w:val="19"/>
          <w:b w:val="1"/>
          <w:bCs w:val="1"/>
          <w:color w:val="auto"/>
        </w:rPr>
        <w:t>CONSOLIDATED BALANCE SHEETS</w:t>
      </w:r>
    </w:p>
    <w:p>
      <w:pPr>
        <w:spacing w:after="0" w:line="12" w:lineRule="exact"/>
        <w:rPr>
          <w:sz w:val="20"/>
          <w:szCs w:val="20"/>
          <w:color w:val="auto"/>
        </w:rPr>
      </w:pPr>
    </w:p>
    <w:p>
      <w:pPr>
        <w:jc w:val="center"/>
        <w:ind w:left="2560"/>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257175</wp:posOffset>
            </wp:positionV>
            <wp:extent cx="7030720" cy="287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6">
                      <a:extLst>
                        <a:ext uri="{28A0092B-C50C-407E-A947-70E740481C1C}"/>
                      </a:extLst>
                    </a:blip>
                    <a:srcRect/>
                    <a:stretch>
                      <a:fillRect/>
                    </a:stretch>
                  </pic:blipFill>
                  <pic:spPr bwMode="auto">
                    <a:xfrm>
                      <a:off x="0" y="0"/>
                      <a:ext cx="7030720" cy="2870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Current assets: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0" o:spid="_x0000_s1175"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520" w:right="100" w:hanging="345"/>
        <w:spacing w:after="0" w:line="249" w:lineRule="auto"/>
        <w:rPr>
          <w:sz w:val="20"/>
          <w:szCs w:val="20"/>
          <w:color w:val="auto"/>
        </w:rPr>
      </w:pPr>
      <w:r>
        <w:rPr>
          <w:rFonts w:ascii="Arial" w:cs="Arial" w:eastAsia="Arial" w:hAnsi="Arial"/>
          <w:sz w:val="17"/>
          <w:szCs w:val="17"/>
          <w:color w:val="auto"/>
        </w:rPr>
        <w:t>Short-term investments (including $15,000 and nil associated with a related party as of December 31, 2024 and 2023,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7620</wp:posOffset>
                </wp:positionV>
                <wp:extent cx="7017385" cy="26543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7385" cy="265430"/>
                        </a:xfrm>
                        <a:prstGeom prst="rect">
                          <a:avLst/>
                        </a:prstGeom>
                        <a:solidFill>
                          <a:srgbClr val="E6E6E6"/>
                        </a:solidFill>
                      </wps:spPr>
                      <wps:bodyPr/>
                    </wps:wsp>
                  </a:graphicData>
                </a:graphic>
              </wp:anchor>
            </w:drawing>
          </mc:Choice>
          <mc:Fallback>
            <w:pict>
              <v:rect id="Shape 151" o:spid="_x0000_s1176" style="position:absolute;margin-left:-2.2499pt;margin-top:0.6pt;width:552.55pt;height:2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520" w:right="360" w:hanging="345"/>
        <w:spacing w:after="0" w:line="247" w:lineRule="auto"/>
        <w:rPr>
          <w:sz w:val="20"/>
          <w:szCs w:val="20"/>
          <w:color w:val="auto"/>
        </w:rPr>
      </w:pPr>
      <w:r>
        <w:rPr>
          <w:rFonts w:ascii="Arial" w:cs="Arial" w:eastAsia="Arial" w:hAnsi="Arial"/>
          <w:sz w:val="17"/>
          <w:szCs w:val="17"/>
          <w:color w:val="auto"/>
        </w:rPr>
        <w:t>Accounts receivable, net (including $57,909 and $35,526 from a related party as of December 31, 2024 and 2023,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Inventory</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Prepaid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2" o:spid="_x0000_s1177"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520" w:right="340" w:hanging="345"/>
        <w:spacing w:after="0" w:line="247" w:lineRule="auto"/>
        <w:rPr>
          <w:sz w:val="20"/>
          <w:szCs w:val="20"/>
          <w:color w:val="auto"/>
        </w:rPr>
      </w:pPr>
      <w:r>
        <w:rPr>
          <w:rFonts w:ascii="Arial" w:cs="Arial" w:eastAsia="Arial" w:hAnsi="Arial"/>
          <w:sz w:val="17"/>
          <w:szCs w:val="17"/>
          <w:color w:val="auto"/>
        </w:rPr>
        <w:t>Other current assets (including $34,503 and nil associated with a related party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-2540</wp:posOffset>
            </wp:positionV>
            <wp:extent cx="7030720" cy="287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7">
                      <a:extLst>
                        <a:ext uri="{28A0092B-C50C-407E-A947-70E740481C1C}"/>
                      </a:extLst>
                    </a:blip>
                    <a:srcRect/>
                    <a:stretch>
                      <a:fillRect/>
                    </a:stretch>
                  </pic:blipFill>
                  <pic:spPr bwMode="auto">
                    <a:xfrm>
                      <a:off x="0" y="0"/>
                      <a:ext cx="7030720" cy="28702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7"/>
          <w:szCs w:val="17"/>
          <w:color w:val="auto"/>
        </w:rPr>
        <w:t>Total current assets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4" o:spid="_x0000_s1179"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360" w:right="280" w:hanging="345"/>
        <w:spacing w:after="0" w:line="247" w:lineRule="auto"/>
        <w:rPr>
          <w:sz w:val="20"/>
          <w:szCs w:val="20"/>
          <w:color w:val="auto"/>
        </w:rPr>
      </w:pPr>
      <w:r>
        <w:rPr>
          <w:rFonts w:ascii="Arial" w:cs="Arial" w:eastAsia="Arial" w:hAnsi="Arial"/>
          <w:sz w:val="17"/>
          <w:szCs w:val="17"/>
          <w:color w:val="auto"/>
        </w:rPr>
        <w:t>Long-term investments (including $20,000 and nil associated with a related party as of December 31, 2024 and 2023,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 noncurrent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5" o:spid="_x0000_s1180"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equity securities of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9525</wp:posOffset>
            </wp:positionV>
            <wp:extent cx="7030720" cy="174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8">
                      <a:extLst>
                        <a:ext uri="{28A0092B-C50C-407E-A947-70E740481C1C}"/>
                      </a:extLst>
                    </a:blip>
                    <a:srcRect/>
                    <a:stretch>
                      <a:fillRect/>
                    </a:stretch>
                  </pic:blipFill>
                  <pic:spPr bwMode="auto">
                    <a:xfrm>
                      <a:off x="0" y="0"/>
                      <a:ext cx="7030720" cy="1746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TOTAL ASSETS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-111760</wp:posOffset>
                </wp:positionV>
                <wp:extent cx="7016750" cy="13652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7" o:spid="_x0000_s1182" style="position:absolute;margin-left:-2.2499pt;margin-top:-8.79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58" o:spid="_x0000_s1183"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22225</wp:posOffset>
            </wp:positionV>
            <wp:extent cx="7030720" cy="278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9">
                      <a:extLst>
                        <a:ext uri="{28A0092B-C50C-407E-A947-70E740481C1C}"/>
                      </a:extLst>
                    </a:blip>
                    <a:srcRect/>
                    <a:stretch>
                      <a:fillRect/>
                    </a:stretch>
                  </pic:blipFill>
                  <pic:spPr bwMode="auto">
                    <a:xfrm>
                      <a:off x="0" y="0"/>
                      <a:ext cx="7030720" cy="278130"/>
                    </a:xfrm>
                    <a:prstGeom prst="rect">
                      <a:avLst/>
                    </a:prstGeom>
                    <a:noFill/>
                  </pic:spPr>
                </pic:pic>
              </a:graphicData>
            </a:graphic>
          </wp:anchor>
        </w:drawing>
      </w:r>
    </w:p>
    <w:p>
      <w:pPr>
        <w:spacing w:after="0" w:line="15" w:lineRule="exact"/>
        <w:rPr>
          <w:sz w:val="20"/>
          <w:szCs w:val="20"/>
          <w:color w:val="auto"/>
        </w:rPr>
      </w:pPr>
    </w:p>
    <w:p>
      <w:pPr>
        <w:ind w:left="520" w:right="80" w:hanging="345"/>
        <w:spacing w:after="0" w:line="247" w:lineRule="auto"/>
        <w:rPr>
          <w:sz w:val="20"/>
          <w:szCs w:val="20"/>
          <w:color w:val="auto"/>
        </w:rPr>
      </w:pPr>
      <w:r>
        <w:rPr>
          <w:rFonts w:ascii="Arial" w:cs="Arial" w:eastAsia="Arial" w:hAnsi="Arial"/>
          <w:sz w:val="17"/>
          <w:szCs w:val="17"/>
          <w:color w:val="auto"/>
        </w:rPr>
        <w:t>Other current liabilities (including $126,417 and $92,258 associated with related parties as of December 31, 2024 and 2023, respectively)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 current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Finance lease liabilities, net of current portion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60" o:spid="_x0000_s1185"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warrant liability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FFFFFF"/>
                        </a:solidFill>
                      </wps:spPr>
                      <wps:bodyPr/>
                    </wps:wsp>
                  </a:graphicData>
                </a:graphic>
              </wp:anchor>
            </w:drawing>
          </mc:Choice>
          <mc:Fallback>
            <w:pict>
              <v:rect id="Shape 161" o:spid="_x0000_s1186"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Long-term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62" o:spid="_x0000_s1187"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360" w:right="260" w:hanging="345"/>
        <w:spacing w:after="0" w:line="249" w:lineRule="auto"/>
        <w:rPr>
          <w:sz w:val="20"/>
          <w:szCs w:val="20"/>
          <w:color w:val="auto"/>
        </w:rPr>
      </w:pPr>
      <w:r>
        <w:rPr>
          <w:rFonts w:ascii="Arial" w:cs="Arial" w:eastAsia="Arial" w:hAnsi="Arial"/>
          <w:sz w:val="17"/>
          <w:szCs w:val="17"/>
          <w:color w:val="auto"/>
        </w:rPr>
        <w:t>Other long-term liabilities (including $121,136 and $178,311 associated with related parties as of December 31, 2024 and 2023,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Derivative liabilities associated with redeemable convertible preferred stock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-119380</wp:posOffset>
            </wp:positionV>
            <wp:extent cx="7030720" cy="159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0">
                      <a:extLst>
                        <a:ext uri="{28A0092B-C50C-407E-A947-70E740481C1C}"/>
                      </a:extLst>
                    </a:blip>
                    <a:srcRect/>
                    <a:stretch>
                      <a:fillRect/>
                    </a:stretch>
                  </pic:blipFill>
                  <pic:spPr bwMode="auto">
                    <a:xfrm>
                      <a:off x="0" y="0"/>
                      <a:ext cx="7030720" cy="159385"/>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 liabilities</w:t>
      </w:r>
    </w:p>
    <w:p>
      <w:pPr>
        <w:spacing w:after="0" w:line="21" w:lineRule="exact"/>
        <w:rPr>
          <w:sz w:val="20"/>
          <w:szCs w:val="20"/>
          <w:color w:val="auto"/>
        </w:rPr>
      </w:pPr>
    </w:p>
    <w:p>
      <w:pPr>
        <w:ind w:right="4100"/>
        <w:spacing w:after="0" w:line="420" w:lineRule="auto"/>
        <w:rPr>
          <w:sz w:val="20"/>
          <w:szCs w:val="20"/>
          <w:color w:val="auto"/>
        </w:rPr>
      </w:pPr>
      <w:r>
        <w:rPr>
          <w:rFonts w:ascii="Arial" w:cs="Arial" w:eastAsia="Arial" w:hAnsi="Arial"/>
          <w:sz w:val="17"/>
          <w:szCs w:val="17"/>
          <w:color w:val="auto"/>
        </w:rPr>
        <w:t xml:space="preserve">Commitments and contingencies (Note 12) </w:t>
      </w:r>
      <w:r>
        <w:rPr>
          <w:rFonts w:ascii="Arial" w:cs="Arial" w:eastAsia="Arial" w:hAnsi="Arial"/>
          <w:sz w:val="17"/>
          <w:szCs w:val="17"/>
          <w:b w:val="1"/>
          <w:bCs w:val="1"/>
          <w:color w:val="auto"/>
        </w:rPr>
        <w:t>REDEEMABLE CONVERTIBLE PREFERRED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-424815</wp:posOffset>
                </wp:positionV>
                <wp:extent cx="7016750" cy="13716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7160"/>
                        </a:xfrm>
                        <a:prstGeom prst="rect">
                          <a:avLst/>
                        </a:prstGeom>
                        <a:solidFill>
                          <a:srgbClr val="E6E6E6"/>
                        </a:solidFill>
                      </wps:spPr>
                      <wps:bodyPr/>
                    </wps:wsp>
                  </a:graphicData>
                </a:graphic>
              </wp:anchor>
            </w:drawing>
          </mc:Choice>
          <mc:Fallback>
            <w:pict>
              <v:rect id="Shape 164" o:spid="_x0000_s1189" style="position:absolute;margin-left:-2.2499pt;margin-top:-33.4499pt;width:552.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-28575</wp:posOffset>
                </wp:positionH>
                <wp:positionV relativeFrom="paragraph">
                  <wp:posOffset>-150495</wp:posOffset>
                </wp:positionV>
                <wp:extent cx="7016750" cy="13716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7160"/>
                        </a:xfrm>
                        <a:prstGeom prst="rect">
                          <a:avLst/>
                        </a:prstGeom>
                        <a:solidFill>
                          <a:srgbClr val="E6E6E6"/>
                        </a:solidFill>
                      </wps:spPr>
                      <wps:bodyPr/>
                    </wps:wsp>
                  </a:graphicData>
                </a:graphic>
              </wp:anchor>
            </w:drawing>
          </mc:Choice>
          <mc:Fallback>
            <w:pict>
              <v:rect id="Shape 165" o:spid="_x0000_s1190" style="position:absolute;margin-left:-2.2499pt;margin-top:-11.8499pt;width:552.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360" w:hanging="344"/>
        <w:spacing w:after="0" w:line="228" w:lineRule="auto"/>
        <w:rPr>
          <w:sz w:val="20"/>
          <w:szCs w:val="20"/>
          <w:color w:val="auto"/>
        </w:rPr>
      </w:pPr>
      <w:r>
        <w:rPr>
          <w:rFonts w:ascii="Arial" w:cs="Arial" w:eastAsia="Arial" w:hAnsi="Arial"/>
          <w:sz w:val="17"/>
          <w:szCs w:val="17"/>
          <w:color w:val="auto"/>
        </w:rPr>
        <w:t>Preferred stock 10,000,000 shares authorized as of December 31, 2024 and 2023, Series A redeemable convertible preferred stock, par value $0.0001; 100,000 and 0 shares issued and outstanding as of December 31, 2024 and 2023, respectively; liquidation preference of $1,138,825 and nil as of December 31, 2024 and 2023, respectively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26670</wp:posOffset>
            </wp:positionV>
            <wp:extent cx="7030720" cy="525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1">
                      <a:extLst>
                        <a:ext uri="{28A0092B-C50C-407E-A947-70E740481C1C}"/>
                      </a:extLst>
                    </a:blip>
                    <a:srcRect/>
                    <a:stretch>
                      <a:fillRect/>
                    </a:stretch>
                  </pic:blipFill>
                  <pic:spPr bwMode="auto">
                    <a:xfrm>
                      <a:off x="0" y="0"/>
                      <a:ext cx="7030720" cy="525145"/>
                    </a:xfrm>
                    <a:prstGeom prst="rect">
                      <a:avLst/>
                    </a:prstGeom>
                    <a:noFill/>
                  </pic:spPr>
                </pic:pic>
              </a:graphicData>
            </a:graphic>
          </wp:anchor>
        </w:drawing>
      </w:r>
    </w:p>
    <w:p>
      <w:pPr>
        <w:spacing w:after="0" w:line="44" w:lineRule="exact"/>
        <w:rPr>
          <w:sz w:val="20"/>
          <w:szCs w:val="20"/>
          <w:color w:val="auto"/>
        </w:rPr>
      </w:pPr>
    </w:p>
    <w:p>
      <w:pPr>
        <w:ind w:left="360" w:right="100" w:hanging="344"/>
        <w:spacing w:after="0" w:line="228" w:lineRule="auto"/>
        <w:rPr>
          <w:sz w:val="20"/>
          <w:szCs w:val="20"/>
          <w:color w:val="auto"/>
        </w:rPr>
      </w:pPr>
      <w:r>
        <w:rPr>
          <w:rFonts w:ascii="Arial" w:cs="Arial" w:eastAsia="Arial" w:hAnsi="Arial"/>
          <w:sz w:val="17"/>
          <w:szCs w:val="17"/>
          <w:color w:val="auto"/>
        </w:rPr>
        <w:t>Preferred stock 10,000,000 shares authorized as of December 31, 2024 and 2023, Series B redeemable convertible preferred stock, par value $0.0001; 75,000 and 0 shares issued and outstanding as of December 31, 2024 and 2023, respectively; liquidation preference of $800,442 and nil as of December 31, 2024 and 2023, respectively (related party)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 redeemable convertible preferred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21590</wp:posOffset>
                </wp:positionV>
                <wp:extent cx="7016750" cy="13716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7160"/>
                        </a:xfrm>
                        <a:prstGeom prst="rect">
                          <a:avLst/>
                        </a:prstGeom>
                        <a:solidFill>
                          <a:srgbClr val="E6E6E6"/>
                        </a:solidFill>
                      </wps:spPr>
                      <wps:bodyPr/>
                    </wps:wsp>
                  </a:graphicData>
                </a:graphic>
              </wp:anchor>
            </w:drawing>
          </mc:Choice>
          <mc:Fallback>
            <w:pict>
              <v:rect id="Shape 167" o:spid="_x0000_s1192" style="position:absolute;margin-left:-2.2499pt;margin-top:1.7pt;width:552.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24765</wp:posOffset>
                </wp:positionV>
                <wp:extent cx="7017385" cy="39370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7385" cy="393700"/>
                        </a:xfrm>
                        <a:prstGeom prst="rect">
                          <a:avLst/>
                        </a:prstGeom>
                        <a:solidFill>
                          <a:srgbClr val="E6E6E6"/>
                        </a:solidFill>
                      </wps:spPr>
                      <wps:bodyPr/>
                    </wps:wsp>
                  </a:graphicData>
                </a:graphic>
              </wp:anchor>
            </w:drawing>
          </mc:Choice>
          <mc:Fallback>
            <w:pict>
              <v:rect id="Shape 168" o:spid="_x0000_s1193" style="position:absolute;margin-left:-2.2499pt;margin-top:1.95pt;width:552.55pt;height: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jc w:val="both"/>
        <w:ind w:left="360" w:right="40" w:hanging="345"/>
        <w:spacing w:after="0" w:line="234" w:lineRule="auto"/>
        <w:rPr>
          <w:sz w:val="20"/>
          <w:szCs w:val="20"/>
          <w:color w:val="auto"/>
        </w:rPr>
      </w:pPr>
      <w:r>
        <w:rPr>
          <w:rFonts w:ascii="Arial" w:cs="Arial" w:eastAsia="Arial" w:hAnsi="Arial"/>
          <w:sz w:val="17"/>
          <w:szCs w:val="17"/>
          <w:color w:val="auto"/>
        </w:rPr>
        <w:t>Common stock, par value $0.0001; 15,000,000,000 shares authorized as of December 31, 2024 and 2023; 3,032,219,724 and 2,300,111,489 shares issued and 3,031,361,899 and 2,299,253,664 shares outstanding as of December 31, 2024 and 2023,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Additional paid-in capital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at cost, 857,825 shares at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-114935</wp:posOffset>
                </wp:positionV>
                <wp:extent cx="7016750" cy="136525"/>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6750" cy="136525"/>
                        </a:xfrm>
                        <a:prstGeom prst="rect">
                          <a:avLst/>
                        </a:prstGeom>
                        <a:solidFill>
                          <a:srgbClr val="E6E6E6"/>
                        </a:solidFill>
                      </wps:spPr>
                      <wps:bodyPr/>
                    </wps:wsp>
                  </a:graphicData>
                </a:graphic>
              </wp:anchor>
            </w:drawing>
          </mc:Choice>
          <mc:Fallback>
            <w:pict>
              <v:rect id="Shape 169" o:spid="_x0000_s1194" style="position:absolute;margin-left:-2.2499pt;margin-top:-9.0499pt;width:552.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income (loss)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-114300</wp:posOffset>
            </wp:positionV>
            <wp:extent cx="7030720" cy="149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2">
                      <a:extLst>
                        <a:ext uri="{28A0092B-C50C-407E-A947-70E740481C1C}"/>
                      </a:extLst>
                    </a:blip>
                    <a:srcRect/>
                    <a:stretch>
                      <a:fillRect/>
                    </a:stretch>
                  </pic:blipFill>
                  <pic:spPr bwMode="auto">
                    <a:xfrm>
                      <a:off x="0" y="0"/>
                      <a:ext cx="7030720" cy="1498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9525</wp:posOffset>
            </wp:positionV>
            <wp:extent cx="7030720" cy="284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3">
                      <a:extLst>
                        <a:ext uri="{28A0092B-C50C-407E-A947-70E740481C1C}"/>
                      </a:extLst>
                    </a:blip>
                    <a:srcRect/>
                    <a:stretch>
                      <a:fillRect/>
                    </a:stretch>
                  </pic:blipFill>
                  <pic:spPr bwMode="auto">
                    <a:xfrm>
                      <a:off x="0" y="0"/>
                      <a:ext cx="7030720" cy="284480"/>
                    </a:xfrm>
                    <a:prstGeom prst="rect">
                      <a:avLst/>
                    </a:prstGeom>
                    <a:noFill/>
                  </pic:spPr>
                </pic:pic>
              </a:graphicData>
            </a:graphic>
          </wp:anchor>
        </w:drawing>
      </w:r>
    </w:p>
    <w:p>
      <w:pPr>
        <w:ind w:left="360" w:right="320" w:hanging="345"/>
        <w:spacing w:after="0" w:line="253" w:lineRule="auto"/>
        <w:rPr>
          <w:sz w:val="20"/>
          <w:szCs w:val="20"/>
          <w:color w:val="auto"/>
        </w:rPr>
      </w:pPr>
      <w:r>
        <w:rPr>
          <w:rFonts w:ascii="Arial" w:cs="Arial" w:eastAsia="Arial" w:hAnsi="Arial"/>
          <w:sz w:val="17"/>
          <w:szCs w:val="17"/>
          <w:b w:val="1"/>
          <w:bCs w:val="1"/>
          <w:color w:val="auto"/>
        </w:rPr>
        <w:t>TOTAL LIABILITIES, REDEEMABLE CONVERTIBLE PREFERRED STOCK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2"/>
              </w:rPr>
              <w:t>December 31,</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2"/>
              </w:rPr>
              <w:t>December 31,</w:t>
            </w:r>
          </w:p>
        </w:tc>
      </w:tr>
      <w:tr>
        <w:trPr>
          <w:trHeight w:val="205"/>
        </w:trPr>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7"/>
                <w:szCs w:val="17"/>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2023</w:t>
            </w:r>
          </w:p>
        </w:tc>
      </w:tr>
    </w:tbl>
    <w:p>
      <w:pPr>
        <w:spacing w:after="0" w:line="200" w:lineRule="exact"/>
        <w:rPr>
          <w:sz w:val="20"/>
          <w:szCs w:val="20"/>
          <w:color w:val="auto"/>
        </w:rPr>
      </w:pPr>
    </w:p>
    <w:p>
      <w:pPr>
        <w:spacing w:after="0" w:line="209" w:lineRule="exact"/>
        <w:rPr>
          <w:sz w:val="20"/>
          <w:szCs w:val="20"/>
          <w:color w:val="auto"/>
        </w:rPr>
      </w:pPr>
    </w:p>
    <w:p>
      <w:pPr>
        <w:ind w:left="460" w:hanging="411"/>
        <w:spacing w:after="0"/>
        <w:tabs>
          <w:tab w:leader="none" w:pos="4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1,606,865  $</w:t>
      </w:r>
      <w:r>
        <w:rPr>
          <w:rFonts w:ascii="Arial" w:cs="Arial" w:eastAsia="Arial" w:hAnsi="Arial"/>
          <w:sz w:val="15"/>
          <w:szCs w:val="15"/>
          <w:color w:val="auto"/>
        </w:rPr>
        <w:t>1,369,947</w:t>
      </w:r>
    </w:p>
    <w:p>
      <w:pPr>
        <w:spacing w:after="0" w:line="12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2,424,103</w:t>
      </w:r>
      <w:r>
        <w:rPr>
          <w:rFonts w:ascii="Arial" w:cs="Arial" w:eastAsia="Arial" w:hAnsi="Arial"/>
          <w:sz w:val="15"/>
          <w:szCs w:val="15"/>
          <w:color w:val="auto"/>
        </w:rPr>
        <w:t>2,489,798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112,025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51,822</w:t>
            </w:r>
          </w:p>
        </w:tc>
        <w:tc>
          <w:tcPr>
            <w:tcW w:w="20" w:type="dxa"/>
            <w:vAlign w:val="bottom"/>
          </w:tcPr>
          <w:p>
            <w:pPr>
              <w:spacing w:after="0"/>
              <w:rPr>
                <w:sz w:val="19"/>
                <w:szCs w:val="19"/>
                <w:color w:val="auto"/>
              </w:rPr>
            </w:pPr>
          </w:p>
        </w:tc>
      </w:tr>
      <w:tr>
        <w:trPr>
          <w:trHeight w:val="30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407,774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696,236</w:t>
            </w:r>
          </w:p>
        </w:tc>
        <w:tc>
          <w:tcPr>
            <w:tcW w:w="20" w:type="dxa"/>
            <w:vAlign w:val="bottom"/>
          </w:tcPr>
          <w:p>
            <w:pPr>
              <w:spacing w:after="0"/>
              <w:rPr>
                <w:sz w:val="24"/>
                <w:szCs w:val="24"/>
                <w:color w:val="auto"/>
              </w:rPr>
            </w:pPr>
          </w:p>
        </w:tc>
      </w:t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69,682</w:t>
            </w:r>
          </w:p>
        </w:tc>
        <w:tc>
          <w:tcPr>
            <w:tcW w:w="20" w:type="dxa"/>
            <w:vAlign w:val="bottom"/>
          </w:tcPr>
          <w:p>
            <w:pPr>
              <w:spacing w:after="0"/>
              <w:rPr>
                <w:sz w:val="19"/>
                <w:szCs w:val="19"/>
                <w:color w:val="auto"/>
              </w:rPr>
            </w:pPr>
          </w:p>
        </w:tc>
      </w:tr>
      <w:tr>
        <w:trPr>
          <w:trHeight w:val="31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270,218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79,670</w:t>
            </w:r>
          </w:p>
        </w:tc>
        <w:tc>
          <w:tcPr>
            <w:tcW w:w="20" w:type="dxa"/>
            <w:vAlign w:val="bottom"/>
          </w:tcPr>
          <w:p>
            <w:pPr>
              <w:spacing w:after="0"/>
              <w:rPr>
                <w:sz w:val="24"/>
                <w:szCs w:val="24"/>
                <w:color w:val="auto"/>
              </w:rPr>
            </w:pPr>
          </w:p>
        </w:tc>
      </w:tr>
      <w:tr>
        <w:trPr>
          <w:trHeight w:val="95"/>
        </w:trPr>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4,873,936</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4,757,155</w:t>
            </w:r>
          </w:p>
        </w:tc>
        <w:tc>
          <w:tcPr>
            <w:tcW w:w="20" w:type="dxa"/>
            <w:vAlign w:val="bottom"/>
            <w:tcBorders>
              <w:bottom w:val="single" w:sz="8" w:color="auto"/>
            </w:tcBorders>
          </w:tcPr>
          <w:p>
            <w:pPr>
              <w:spacing w:after="0"/>
              <w:rPr>
                <w:sz w:val="17"/>
                <w:szCs w:val="17"/>
                <w:color w:val="auto"/>
              </w:rPr>
            </w:pPr>
          </w:p>
        </w:tc>
      </w:tr>
      <w:tr>
        <w:trPr>
          <w:trHeight w:val="192"/>
        </w:trPr>
        <w:tc>
          <w:tcPr>
            <w:tcW w:w="22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3,262,612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2,810,867</w:t>
            </w:r>
          </w:p>
        </w:tc>
        <w:tc>
          <w:tcPr>
            <w:tcW w:w="20" w:type="dxa"/>
            <w:vAlign w:val="bottom"/>
          </w:tcPr>
          <w:p>
            <w:pPr>
              <w:spacing w:after="0"/>
              <w:rPr>
                <w:sz w:val="16"/>
                <w:szCs w:val="16"/>
                <w:color w:val="auto"/>
              </w:rPr>
            </w:pPr>
          </w:p>
        </w:tc>
      </w:t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211,886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221,508</w:t>
            </w:r>
          </w:p>
        </w:tc>
        <w:tc>
          <w:tcPr>
            <w:tcW w:w="20" w:type="dxa"/>
            <w:vAlign w:val="bottom"/>
          </w:tcPr>
          <w:p>
            <w:pPr>
              <w:spacing w:after="0"/>
              <w:rPr>
                <w:sz w:val="19"/>
                <w:szCs w:val="19"/>
                <w:color w:val="auto"/>
              </w:rPr>
            </w:pPr>
          </w:p>
        </w:tc>
      </w:tr>
      <w:tr>
        <w:trPr>
          <w:trHeight w:val="31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1,012,223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461,029</w:t>
            </w:r>
          </w:p>
        </w:tc>
        <w:tc>
          <w:tcPr>
            <w:tcW w:w="20" w:type="dxa"/>
            <w:vAlign w:val="bottom"/>
          </w:tcPr>
          <w:p>
            <w:pPr>
              <w:spacing w:after="0"/>
              <w:rPr>
                <w:sz w:val="24"/>
                <w:szCs w:val="24"/>
                <w:color w:val="auto"/>
              </w:rPr>
            </w:pPr>
          </w:p>
        </w:tc>
      </w:tr>
      <w:tr>
        <w:trPr>
          <w:trHeight w:val="30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249,443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180,626</w:t>
            </w:r>
          </w:p>
        </w:tc>
        <w:tc>
          <w:tcPr>
            <w:tcW w:w="20" w:type="dxa"/>
            <w:vAlign w:val="bottom"/>
          </w:tcPr>
          <w:p>
            <w:pPr>
              <w:spacing w:after="0"/>
              <w:rPr>
                <w:sz w:val="24"/>
                <w:szCs w:val="24"/>
                <w:color w:val="auto"/>
              </w:rPr>
            </w:pPr>
          </w:p>
        </w:tc>
      </w:tr>
      <w:tr>
        <w:trPr>
          <w:trHeight w:val="221"/>
        </w:trPr>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37,831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81,533</w:t>
            </w:r>
          </w:p>
        </w:tc>
        <w:tc>
          <w:tcPr>
            <w:tcW w:w="20" w:type="dxa"/>
            <w:vAlign w:val="bottom"/>
            <w:tcBorders>
              <w:bottom w:val="single" w:sz="8" w:color="auto"/>
            </w:tcBorders>
          </w:tcPr>
          <w:p>
            <w:pPr>
              <w:spacing w:after="0"/>
              <w:rPr>
                <w:sz w:val="19"/>
                <w:szCs w:val="19"/>
                <w:color w:val="auto"/>
              </w:rPr>
            </w:pPr>
          </w:p>
        </w:tc>
      </w:tr>
      <w:tr>
        <w:trPr>
          <w:trHeight w:val="177"/>
        </w:trPr>
        <w:tc>
          <w:tcPr>
            <w:tcW w:w="2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b w:val="1"/>
                <w:bCs w:val="1"/>
                <w:color w:val="auto"/>
              </w:rPr>
              <w:t>9,647,931</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4"/>
              <w:spacing w:after="0" w:line="177"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b w:val="1"/>
                <w:bCs w:val="1"/>
                <w:color w:val="auto"/>
              </w:rPr>
              <w:t>8,512,718</w:t>
            </w:r>
          </w:p>
        </w:tc>
        <w:tc>
          <w:tcPr>
            <w:tcW w:w="20" w:type="dxa"/>
            <w:vAlign w:val="bottom"/>
            <w:tcBorders>
              <w:bottom w:val="single" w:sz="8" w:color="auto"/>
            </w:tcBorders>
          </w:tcPr>
          <w:p>
            <w:pPr>
              <w:spacing w:after="0"/>
              <w:rPr>
                <w:sz w:val="15"/>
                <w:szCs w:val="15"/>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19"/>
        </w:trPr>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133,832</w:t>
            </w:r>
          </w:p>
        </w:tc>
        <w:tc>
          <w:tcPr>
            <w:tcW w:w="3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108,724</w:t>
            </w:r>
          </w:p>
        </w:tc>
        <w:tc>
          <w:tcPr>
            <w:tcW w:w="20" w:type="dxa"/>
            <w:vAlign w:val="bottom"/>
          </w:tcPr>
          <w:p>
            <w:pPr>
              <w:spacing w:after="0"/>
              <w:rPr>
                <w:sz w:val="24"/>
                <w:szCs w:val="24"/>
                <w:color w:val="auto"/>
              </w:rPr>
            </w:pPr>
          </w:p>
        </w:tc>
      </w:t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8,202</w:t>
            </w:r>
          </w:p>
        </w:tc>
        <w:tc>
          <w:tcPr>
            <w:tcW w:w="20" w:type="dxa"/>
            <w:vAlign w:val="bottom"/>
          </w:tcPr>
          <w:p>
            <w:pPr>
              <w:spacing w:after="0"/>
              <w:rPr>
                <w:sz w:val="19"/>
                <w:szCs w:val="19"/>
                <w:color w:val="auto"/>
              </w:rPr>
            </w:pPr>
          </w:p>
        </w:tc>
      </w:tr>
      <w:tr>
        <w:trPr>
          <w:trHeight w:val="31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1,024,671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891,484</w:t>
            </w:r>
          </w:p>
        </w:tc>
        <w:tc>
          <w:tcPr>
            <w:tcW w:w="20" w:type="dxa"/>
            <w:vAlign w:val="bottom"/>
          </w:tcPr>
          <w:p>
            <w:pPr>
              <w:spacing w:after="0"/>
              <w:rPr>
                <w:sz w:val="24"/>
                <w:szCs w:val="24"/>
                <w:color w:val="auto"/>
              </w:rPr>
            </w:pPr>
          </w:p>
        </w:tc>
      </w:tr>
      <w:tr>
        <w:trPr>
          <w:trHeight w:val="96"/>
        </w:trPr>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91"/>
        </w:trPr>
        <w:tc>
          <w:tcPr>
            <w:tcW w:w="22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1,165,291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1,008,410</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76,096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77,653</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53,664</w:t>
            </w:r>
          </w:p>
        </w:tc>
        <w:tc>
          <w:tcPr>
            <w:tcW w:w="20" w:type="dxa"/>
            <w:vAlign w:val="bottom"/>
          </w:tcPr>
          <w:p>
            <w:pPr>
              <w:spacing w:after="0"/>
              <w:rPr>
                <w:sz w:val="18"/>
                <w:szCs w:val="18"/>
                <w:color w:val="auto"/>
              </w:rPr>
            </w:pPr>
          </w:p>
        </w:tc>
      </w:t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2,002,151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1,996,960</w:t>
            </w:r>
          </w:p>
        </w:tc>
        <w:tc>
          <w:tcPr>
            <w:tcW w:w="20" w:type="dxa"/>
            <w:vAlign w:val="bottom"/>
          </w:tcPr>
          <w:p>
            <w:pPr>
              <w:spacing w:after="0"/>
              <w:rPr>
                <w:sz w:val="19"/>
                <w:szCs w:val="19"/>
                <w:color w:val="auto"/>
              </w:rPr>
            </w:pPr>
          </w:p>
        </w:tc>
      </w:tr>
      <w:tr>
        <w:trPr>
          <w:trHeight w:val="31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572,800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524,339</w:t>
            </w:r>
          </w:p>
        </w:tc>
        <w:tc>
          <w:tcPr>
            <w:tcW w:w="20" w:type="dxa"/>
            <w:vAlign w:val="bottom"/>
          </w:tcPr>
          <w:p>
            <w:pPr>
              <w:spacing w:after="0"/>
              <w:rPr>
                <w:sz w:val="24"/>
                <w:szCs w:val="24"/>
                <w:color w:val="auto"/>
              </w:rPr>
            </w:pPr>
          </w:p>
        </w:tc>
      </w:tr>
      <w:tr>
        <w:trPr>
          <w:trHeight w:val="325"/>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639,425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6"/>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4,475,277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3,661,026</w:t>
            </w:r>
          </w:p>
        </w:tc>
        <w:tc>
          <w:tcPr>
            <w:tcW w:w="20" w:type="dxa"/>
            <w:vAlign w:val="bottom"/>
          </w:tcPr>
          <w:p>
            <w:pPr>
              <w:spacing w:after="0"/>
              <w:rPr>
                <w:sz w:val="19"/>
                <w:szCs w:val="19"/>
                <w:color w:val="auto"/>
              </w:rPr>
            </w:pPr>
          </w:p>
        </w:tc>
      </w:tr>
      <w:tr>
        <w:trPr>
          <w:trHeight w:val="1136"/>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730,025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807"/>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569,817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90"/>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5"/>
        </w:trPr>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1,299,842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BFBFBF"/>
              </w:rPr>
              <w:t>—</w:t>
            </w:r>
          </w:p>
        </w:tc>
      </w:tr>
      <w:tr>
        <w:trPr>
          <w:trHeight w:val="826"/>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24"/>
                <w:szCs w:val="24"/>
                <w:color w:val="auto"/>
              </w:rPr>
            </w:pPr>
          </w:p>
        </w:tc>
      </w:tr>
      <w:tr>
        <w:trPr>
          <w:trHeight w:val="408"/>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16,808,018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15,066,080</w:t>
            </w:r>
          </w:p>
        </w:tc>
        <w:tc>
          <w:tcPr>
            <w:tcW w:w="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(20,716)</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4,850</w:t>
            </w:r>
          </w:p>
        </w:tc>
        <w:tc>
          <w:tcPr>
            <w:tcW w:w="20" w:type="dxa"/>
            <w:vAlign w:val="bottom"/>
          </w:tcPr>
          <w:p>
            <w:pPr>
              <w:spacing w:after="0"/>
              <w:rPr>
                <w:sz w:val="18"/>
                <w:szCs w:val="18"/>
                <w:color w:val="auto"/>
              </w:rPr>
            </w:pPr>
          </w:p>
        </w:tc>
      </w:tr>
      <w:tr>
        <w:trPr>
          <w:trHeight w:val="221"/>
        </w:trPr>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(12,912,694)</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(10,198,752)</w:t>
            </w:r>
          </w:p>
        </w:tc>
        <w:tc>
          <w:tcPr>
            <w:tcW w:w="20" w:type="dxa"/>
            <w:vAlign w:val="bottom"/>
          </w:tcPr>
          <w:p>
            <w:pPr>
              <w:spacing w:after="0"/>
              <w:rPr>
                <w:sz w:val="19"/>
                <w:szCs w:val="19"/>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3,872,812</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4,851,692</w:t>
            </w:r>
          </w:p>
        </w:tc>
        <w:tc>
          <w:tcPr>
            <w:tcW w:w="20" w:type="dxa"/>
            <w:vAlign w:val="bottom"/>
          </w:tcPr>
          <w:p>
            <w:pPr>
              <w:spacing w:after="0"/>
              <w:rPr>
                <w:sz w:val="17"/>
                <w:szCs w:val="17"/>
                <w:color w:val="auto"/>
              </w:rPr>
            </w:pPr>
          </w:p>
        </w:tc>
      </w:tr>
      <w:tr>
        <w:trPr>
          <w:trHeight w:val="286"/>
        </w:trPr>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9,647,931</w:t>
            </w:r>
          </w:p>
        </w:tc>
        <w:tc>
          <w:tcPr>
            <w:tcW w:w="30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8,512,718</w:t>
            </w:r>
          </w:p>
        </w:tc>
        <w:tc>
          <w:tcPr>
            <w:tcW w:w="20" w:type="dxa"/>
            <w:vAlign w:val="bottom"/>
          </w:tcPr>
          <w:p>
            <w:pPr>
              <w:spacing w:after="0"/>
              <w:rPr>
                <w:sz w:val="24"/>
                <w:szCs w:val="24"/>
                <w:color w:val="auto"/>
              </w:rPr>
            </w:pPr>
          </w:p>
        </w:tc>
      </w:tr>
      <w:tr>
        <w:trPr>
          <w:trHeight w:val="63"/>
        </w:trPr>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8400" w:space="100"/>
            <w:col w:w="2500"/>
          </w:cols>
          <w:pgMar w:left="460" w:top="756" w:right="420" w:bottom="0" w:gutter="0" w:footer="0" w:header="0"/>
        </w:sectPr>
      </w:pP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880" w:h="15480" w:orient="portrait"/>
          <w:cols w:equalWidth="0" w:num="1">
            <w:col w:w="11000"/>
          </w:cols>
          <w:pgMar w:left="460" w:top="756" w:right="420" w:bottom="0" w:gutter="0" w:footer="0" w:header="0"/>
          <w:type w:val="continuous"/>
        </w:sectPr>
      </w:pP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1000"/>
          </w:cols>
          <w:pgMar w:left="460" w:top="756" w:right="420" w:bottom="0" w:gutter="0" w:footer="0" w:header="0"/>
          <w:type w:val="continuous"/>
        </w:sectPr>
      </w:pPr>
    </w:p>
    <w:bookmarkStart w:id="218" w:name="page219"/>
    <w:bookmarkEnd w:id="218"/>
    <w:p>
      <w:pPr>
        <w:jc w:val="center"/>
        <w:spacing w:after="0"/>
        <w:rPr>
          <w:sz w:val="20"/>
          <w:szCs w:val="20"/>
          <w:color w:val="auto"/>
        </w:rPr>
      </w:pPr>
      <w:r>
        <w:rPr>
          <w:rFonts w:ascii="Arial" w:cs="Arial" w:eastAsia="Arial" w:hAnsi="Arial"/>
          <w:sz w:val="19"/>
          <w:szCs w:val="19"/>
          <w:b w:val="1"/>
          <w:bCs w:val="1"/>
          <w:color w:val="auto"/>
        </w:rPr>
        <w:t>LUCID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8"/>
          </w:tcPr>
          <w:p>
            <w:pPr>
              <w:ind w:left="800"/>
              <w:spacing w:after="0"/>
              <w:rPr>
                <w:sz w:val="20"/>
                <w:szCs w:val="20"/>
                <w:color w:val="auto"/>
              </w:rPr>
            </w:pPr>
            <w:r>
              <w:rPr>
                <w:rFonts w:ascii="Arial" w:cs="Arial" w:eastAsia="Arial" w:hAnsi="Arial"/>
                <w:sz w:val="15"/>
                <w:szCs w:val="15"/>
                <w:b w:val="1"/>
                <w:bCs w:val="1"/>
                <w:color w:val="auto"/>
                <w:w w:val="95"/>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2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75"/>
        </w:trPr>
        <w:tc>
          <w:tcPr>
            <w:tcW w:w="7400" w:type="dxa"/>
            <w:vAlign w:val="bottom"/>
            <w:gridSpan w:val="7"/>
            <w:shd w:val="clear" w:color="auto" w:fill="E6E6E6"/>
          </w:tcPr>
          <w:p>
            <w:pPr>
              <w:ind w:left="60"/>
              <w:spacing w:after="0" w:line="174" w:lineRule="exact"/>
              <w:rPr>
                <w:sz w:val="20"/>
                <w:szCs w:val="20"/>
                <w:color w:val="auto"/>
              </w:rPr>
            </w:pPr>
            <w:r>
              <w:rPr>
                <w:rFonts w:ascii="Arial" w:cs="Arial" w:eastAsia="Arial" w:hAnsi="Arial"/>
                <w:sz w:val="19"/>
                <w:szCs w:val="19"/>
                <w:color w:val="auto"/>
              </w:rPr>
              <w:t>Revenue (including $174,204, $43,714, and nil from a related party for the years ended</w:t>
            </w:r>
          </w:p>
        </w:tc>
        <w:tc>
          <w:tcPr>
            <w:tcW w:w="120" w:type="dxa"/>
            <w:vAlign w:val="bottom"/>
            <w:vMerge w:val="restart"/>
            <w:shd w:val="clear" w:color="auto" w:fill="E6E6E6"/>
          </w:tcPr>
          <w:p>
            <w:pPr>
              <w:spacing w:after="0"/>
              <w:rPr>
                <w:sz w:val="20"/>
                <w:szCs w:val="20"/>
                <w:color w:val="auto"/>
              </w:rPr>
            </w:pPr>
            <w:r>
              <w:rPr>
                <w:rFonts w:ascii="Arial" w:cs="Arial" w:eastAsia="Arial" w:hAnsi="Arial"/>
                <w:sz w:val="19"/>
                <w:szCs w:val="19"/>
                <w:color w:val="auto"/>
                <w:w w:val="94"/>
              </w:rPr>
              <w:t>$</w:t>
            </w: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807,832</w:t>
            </w:r>
          </w:p>
        </w:tc>
        <w:tc>
          <w:tcPr>
            <w:tcW w:w="20" w:type="dxa"/>
            <w:vAlign w:val="bottom"/>
            <w:shd w:val="clear" w:color="auto" w:fill="E6E6E6"/>
          </w:tcPr>
          <w:p>
            <w:pPr>
              <w:spacing w:after="0"/>
              <w:rPr>
                <w:sz w:val="15"/>
                <w:szCs w:val="15"/>
                <w:color w:val="auto"/>
              </w:rPr>
            </w:pPr>
          </w:p>
        </w:tc>
        <w:tc>
          <w:tcPr>
            <w:tcW w:w="280" w:type="dxa"/>
            <w:vAlign w:val="bottom"/>
            <w:gridSpan w:val="2"/>
            <w:vMerge w:val="restart"/>
            <w:shd w:val="clear" w:color="auto" w:fill="E6E6E6"/>
          </w:tcPr>
          <w:p>
            <w:pPr>
              <w:ind w:left="100"/>
              <w:spacing w:after="0"/>
              <w:rPr>
                <w:sz w:val="20"/>
                <w:szCs w:val="20"/>
                <w:color w:val="auto"/>
              </w:rPr>
            </w:pPr>
            <w:r>
              <w:rPr>
                <w:rFonts w:ascii="Arial" w:cs="Arial" w:eastAsia="Arial" w:hAnsi="Arial"/>
                <w:sz w:val="19"/>
                <w:szCs w:val="19"/>
                <w:color w:val="auto"/>
              </w:rPr>
              <w:t>$</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595,271</w:t>
            </w:r>
          </w:p>
        </w:tc>
        <w:tc>
          <w:tcPr>
            <w:tcW w:w="20" w:type="dxa"/>
            <w:vAlign w:val="bottom"/>
            <w:shd w:val="clear" w:color="auto" w:fill="E6E6E6"/>
          </w:tcPr>
          <w:p>
            <w:pPr>
              <w:spacing w:after="0"/>
              <w:rPr>
                <w:sz w:val="15"/>
                <w:szCs w:val="15"/>
                <w:color w:val="auto"/>
              </w:rPr>
            </w:pPr>
          </w:p>
        </w:tc>
        <w:tc>
          <w:tcPr>
            <w:tcW w:w="280" w:type="dxa"/>
            <w:vAlign w:val="bottom"/>
            <w:gridSpan w:val="2"/>
            <w:vMerge w:val="restart"/>
            <w:shd w:val="clear" w:color="auto" w:fill="E6E6E6"/>
          </w:tcPr>
          <w:p>
            <w:pPr>
              <w:ind w:left="80"/>
              <w:spacing w:after="0"/>
              <w:rPr>
                <w:sz w:val="20"/>
                <w:szCs w:val="20"/>
                <w:color w:val="auto"/>
              </w:rPr>
            </w:pPr>
            <w:r>
              <w:rPr>
                <w:rFonts w:ascii="Arial" w:cs="Arial" w:eastAsia="Arial" w:hAnsi="Arial"/>
                <w:sz w:val="19"/>
                <w:szCs w:val="19"/>
                <w:color w:val="auto"/>
              </w:rPr>
              <w:t>$</w:t>
            </w: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608,181</w:t>
            </w:r>
          </w:p>
        </w:tc>
        <w:tc>
          <w:tcPr>
            <w:tcW w:w="0" w:type="dxa"/>
            <w:vAlign w:val="bottom"/>
          </w:tcPr>
          <w:p>
            <w:pPr>
              <w:spacing w:after="0"/>
              <w:rPr>
                <w:sz w:val="1"/>
                <w:szCs w:val="1"/>
                <w:color w:val="auto"/>
              </w:rPr>
            </w:pPr>
          </w:p>
        </w:tc>
      </w:tr>
      <w:tr>
        <w:trPr>
          <w:trHeight w:val="262"/>
        </w:trPr>
        <w:tc>
          <w:tcPr>
            <w:tcW w:w="7400" w:type="dxa"/>
            <w:vAlign w:val="bottom"/>
            <w:gridSpan w:val="7"/>
            <w:shd w:val="clear" w:color="auto" w:fill="E6E6E6"/>
          </w:tcPr>
          <w:p>
            <w:pPr>
              <w:ind w:left="60"/>
              <w:spacing w:after="0"/>
              <w:rPr>
                <w:sz w:val="20"/>
                <w:szCs w:val="20"/>
                <w:color w:val="auto"/>
              </w:rPr>
            </w:pPr>
            <w:r>
              <w:rPr>
                <w:rFonts w:ascii="Arial" w:cs="Arial" w:eastAsia="Arial" w:hAnsi="Arial"/>
                <w:sz w:val="19"/>
                <w:szCs w:val="19"/>
                <w:color w:val="auto"/>
              </w:rPr>
              <w:t>December 31, 2024, 2023, and 2022, respectively)</w:t>
            </w:r>
          </w:p>
        </w:tc>
        <w:tc>
          <w:tcPr>
            <w:tcW w:w="120" w:type="dxa"/>
            <w:vAlign w:val="bottom"/>
            <w:vMerge w:val="continue"/>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80" w:type="dxa"/>
            <w:vAlign w:val="bottom"/>
            <w:gridSpan w:val="2"/>
            <w:vMerge w:val="continue"/>
            <w:shd w:val="clear" w:color="auto" w:fill="E6E6E6"/>
          </w:tcPr>
          <w:p>
            <w:pPr>
              <w:spacing w:after="0"/>
              <w:rPr>
                <w:sz w:val="22"/>
                <w:szCs w:val="22"/>
                <w:color w:val="auto"/>
              </w:rPr>
            </w:pPr>
          </w:p>
        </w:tc>
        <w:tc>
          <w:tcPr>
            <w:tcW w:w="100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80" w:type="dxa"/>
            <w:vAlign w:val="bottom"/>
            <w:gridSpan w:val="2"/>
            <w:vMerge w:val="continue"/>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400" w:type="dxa"/>
            <w:vAlign w:val="bottom"/>
            <w:gridSpan w:val="7"/>
            <w:shd w:val="clear" w:color="auto" w:fill="E6E6E6"/>
          </w:tcPr>
          <w:p>
            <w:pPr>
              <w:ind w:left="60"/>
              <w:spacing w:after="0"/>
              <w:rPr>
                <w:sz w:val="20"/>
                <w:szCs w:val="20"/>
                <w:color w:val="auto"/>
              </w:rPr>
            </w:pPr>
            <w:r>
              <w:rPr>
                <w:rFonts w:ascii="Arial" w:cs="Arial" w:eastAsia="Arial" w:hAnsi="Arial"/>
                <w:sz w:val="19"/>
                <w:szCs w:val="19"/>
                <w:b w:val="1"/>
                <w:bCs w:val="1"/>
                <w:color w:val="auto"/>
              </w:rPr>
              <w:t>Costs and expenses</w:t>
            </w:r>
          </w:p>
        </w:tc>
        <w:tc>
          <w:tcPr>
            <w:tcW w:w="12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180"/>
              <w:spacing w:after="0"/>
              <w:rPr>
                <w:sz w:val="20"/>
                <w:szCs w:val="20"/>
                <w:color w:val="auto"/>
              </w:rPr>
            </w:pPr>
            <w:r>
              <w:rPr>
                <w:rFonts w:ascii="Arial" w:cs="Arial" w:eastAsia="Arial" w:hAnsi="Arial"/>
                <w:sz w:val="19"/>
                <w:szCs w:val="19"/>
                <w:color w:val="auto"/>
              </w:rPr>
              <w:t>Cost of revenue</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1,730,943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1,936,066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1,646,086</w:t>
            </w:r>
          </w:p>
        </w:tc>
        <w:tc>
          <w:tcPr>
            <w:tcW w:w="0" w:type="dxa"/>
            <w:vAlign w:val="bottom"/>
          </w:tcPr>
          <w:p>
            <w:pPr>
              <w:spacing w:after="0"/>
              <w:rPr>
                <w:sz w:val="1"/>
                <w:szCs w:val="1"/>
                <w:color w:val="auto"/>
              </w:rPr>
            </w:pPr>
          </w:p>
        </w:tc>
      </w:tr>
      <w:tr>
        <w:trPr>
          <w:trHeight w:val="280"/>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Research and development</w:t>
            </w: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1,176,453</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937,012</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821,512</w:t>
            </w:r>
          </w:p>
        </w:tc>
        <w:tc>
          <w:tcPr>
            <w:tcW w:w="0" w:type="dxa"/>
            <w:vAlign w:val="bottom"/>
          </w:tcPr>
          <w:p>
            <w:pPr>
              <w:spacing w:after="0"/>
              <w:rPr>
                <w:sz w:val="1"/>
                <w:szCs w:val="1"/>
                <w:color w:val="auto"/>
              </w:rPr>
            </w:pPr>
          </w:p>
        </w:tc>
      </w:tr>
      <w:tr>
        <w:trPr>
          <w:trHeight w:val="268"/>
        </w:trPr>
        <w:tc>
          <w:tcPr>
            <w:tcW w:w="7400" w:type="dxa"/>
            <w:vAlign w:val="bottom"/>
            <w:gridSpan w:val="7"/>
          </w:tcPr>
          <w:p>
            <w:pPr>
              <w:ind w:left="180"/>
              <w:spacing w:after="0"/>
              <w:rPr>
                <w:sz w:val="20"/>
                <w:szCs w:val="20"/>
                <w:color w:val="auto"/>
              </w:rPr>
            </w:pPr>
            <w:r>
              <w:rPr>
                <w:rFonts w:ascii="Arial" w:cs="Arial" w:eastAsia="Arial" w:hAnsi="Arial"/>
                <w:sz w:val="19"/>
                <w:szCs w:val="19"/>
                <w:color w:val="auto"/>
              </w:rPr>
              <w:t>Selling, general and administrative</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900,952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797,235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734,574</w:t>
            </w:r>
          </w:p>
        </w:tc>
        <w:tc>
          <w:tcPr>
            <w:tcW w:w="0" w:type="dxa"/>
            <w:vAlign w:val="bottom"/>
          </w:tcPr>
          <w:p>
            <w:pPr>
              <w:spacing w:after="0"/>
              <w:rPr>
                <w:sz w:val="1"/>
                <w:szCs w:val="1"/>
                <w:color w:val="auto"/>
              </w:rPr>
            </w:pPr>
          </w:p>
        </w:tc>
      </w:tr>
      <w:tr>
        <w:trPr>
          <w:trHeight w:val="269"/>
        </w:trPr>
        <w:tc>
          <w:tcPr>
            <w:tcW w:w="7380" w:type="dxa"/>
            <w:vAlign w:val="bottom"/>
            <w:tcBorders>
              <w:bottom w:val="single" w:sz="8" w:color="E6E6E6"/>
            </w:tcBorders>
            <w:gridSpan w:val="6"/>
            <w:shd w:val="clear" w:color="auto" w:fill="E6E6E6"/>
          </w:tcPr>
          <w:p>
            <w:pPr>
              <w:ind w:left="180"/>
              <w:spacing w:after="0"/>
              <w:rPr>
                <w:sz w:val="20"/>
                <w:szCs w:val="20"/>
                <w:color w:val="auto"/>
              </w:rPr>
            </w:pPr>
            <w:r>
              <w:rPr>
                <w:rFonts w:ascii="Arial" w:cs="Arial" w:eastAsia="Arial" w:hAnsi="Arial"/>
                <w:sz w:val="19"/>
                <w:szCs w:val="19"/>
                <w:color w:val="auto"/>
              </w:rPr>
              <w:t>Restructuring charges</w:t>
            </w: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20,304</w:t>
            </w:r>
          </w:p>
        </w:tc>
        <w:tc>
          <w:tcPr>
            <w:tcW w:w="20" w:type="dxa"/>
            <w:vAlign w:val="bottom"/>
            <w:tcBorders>
              <w:bottom w:val="single" w:sz="8" w:color="auto"/>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24,546</w:t>
            </w:r>
          </w:p>
        </w:tc>
        <w:tc>
          <w:tcPr>
            <w:tcW w:w="20" w:type="dxa"/>
            <w:vAlign w:val="bottom"/>
            <w:tcBorders>
              <w:bottom w:val="single" w:sz="8" w:color="auto"/>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4"/>
        </w:trPr>
        <w:tc>
          <w:tcPr>
            <w:tcW w:w="7400" w:type="dxa"/>
            <w:vAlign w:val="bottom"/>
            <w:gridSpan w:val="7"/>
          </w:tcPr>
          <w:p>
            <w:pPr>
              <w:ind w:left="400"/>
              <w:spacing w:after="0"/>
              <w:rPr>
                <w:sz w:val="20"/>
                <w:szCs w:val="20"/>
                <w:color w:val="auto"/>
              </w:rPr>
            </w:pPr>
            <w:r>
              <w:rPr>
                <w:rFonts w:ascii="Arial" w:cs="Arial" w:eastAsia="Arial" w:hAnsi="Arial"/>
                <w:sz w:val="19"/>
                <w:szCs w:val="19"/>
                <w:color w:val="auto"/>
              </w:rPr>
              <w:t>Total cost and expenses</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3,828,652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3,694,859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3,202,172</w:t>
            </w:r>
          </w:p>
        </w:tc>
        <w:tc>
          <w:tcPr>
            <w:tcW w:w="0" w:type="dxa"/>
            <w:vAlign w:val="bottom"/>
          </w:tcPr>
          <w:p>
            <w:pPr>
              <w:spacing w:after="0"/>
              <w:rPr>
                <w:sz w:val="1"/>
                <w:szCs w:val="1"/>
                <w:color w:val="auto"/>
              </w:rPr>
            </w:pPr>
          </w:p>
        </w:tc>
      </w:tr>
      <w:tr>
        <w:trPr>
          <w:trHeight w:val="264"/>
        </w:trPr>
        <w:tc>
          <w:tcPr>
            <w:tcW w:w="728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auto"/>
            </w:tcBorders>
            <w:shd w:val="clear" w:color="auto" w:fill="E6E6E6"/>
          </w:tcPr>
          <w:p>
            <w:pPr>
              <w:spacing w:after="0"/>
              <w:rPr>
                <w:sz w:val="22"/>
                <w:szCs w:val="22"/>
                <w:color w:val="auto"/>
              </w:rPr>
            </w:pPr>
          </w:p>
        </w:tc>
        <w:tc>
          <w:tcPr>
            <w:tcW w:w="120" w:type="dxa"/>
            <w:vAlign w:val="bottom"/>
            <w:tcBorders>
              <w:top w:val="single" w:sz="8" w:color="auto"/>
            </w:tcBorders>
            <w:shd w:val="clear" w:color="auto" w:fill="E6E6E6"/>
          </w:tcPr>
          <w:p>
            <w:pPr>
              <w:spacing w:after="0"/>
              <w:rPr>
                <w:sz w:val="22"/>
                <w:szCs w:val="22"/>
                <w:color w:val="auto"/>
              </w:rPr>
            </w:pPr>
          </w:p>
        </w:tc>
        <w:tc>
          <w:tcPr>
            <w:tcW w:w="980" w:type="dxa"/>
            <w:vAlign w:val="bottom"/>
            <w:tcBorders>
              <w:top w:val="single" w:sz="8" w:color="auto"/>
            </w:tcBorders>
            <w:shd w:val="clear" w:color="auto" w:fill="E6E6E6"/>
          </w:tcPr>
          <w:p>
            <w:pPr>
              <w:spacing w:after="0"/>
              <w:rPr>
                <w:sz w:val="22"/>
                <w:szCs w:val="22"/>
                <w:color w:val="auto"/>
              </w:rPr>
            </w:pPr>
          </w:p>
        </w:tc>
        <w:tc>
          <w:tcPr>
            <w:tcW w:w="20" w:type="dxa"/>
            <w:vAlign w:val="bottom"/>
            <w:tcBorders>
              <w:top w:val="single" w:sz="8" w:color="auto"/>
            </w:tcBorders>
            <w:shd w:val="clear" w:color="auto" w:fill="E6E6E6"/>
          </w:tcPr>
          <w:p>
            <w:pPr>
              <w:spacing w:after="0"/>
              <w:rPr>
                <w:sz w:val="22"/>
                <w:szCs w:val="22"/>
                <w:color w:val="auto"/>
              </w:rPr>
            </w:pPr>
          </w:p>
        </w:tc>
        <w:tc>
          <w:tcPr>
            <w:tcW w:w="40" w:type="dxa"/>
            <w:vAlign w:val="bottom"/>
            <w:tcBorders>
              <w:top w:val="single" w:sz="8" w:color="E6E6E6"/>
            </w:tcBorders>
            <w:shd w:val="clear" w:color="auto" w:fill="E6E6E6"/>
          </w:tcPr>
          <w:p>
            <w:pPr>
              <w:spacing w:after="0"/>
              <w:rPr>
                <w:sz w:val="22"/>
                <w:szCs w:val="22"/>
                <w:color w:val="auto"/>
              </w:rPr>
            </w:pPr>
          </w:p>
        </w:tc>
        <w:tc>
          <w:tcPr>
            <w:tcW w:w="240" w:type="dxa"/>
            <w:vAlign w:val="bottom"/>
            <w:tcBorders>
              <w:top w:val="single" w:sz="8" w:color="auto"/>
            </w:tcBorders>
            <w:shd w:val="clear" w:color="auto" w:fill="E6E6E6"/>
          </w:tcPr>
          <w:p>
            <w:pPr>
              <w:spacing w:after="0"/>
              <w:rPr>
                <w:sz w:val="22"/>
                <w:szCs w:val="22"/>
                <w:color w:val="auto"/>
              </w:rPr>
            </w:pPr>
          </w:p>
        </w:tc>
        <w:tc>
          <w:tcPr>
            <w:tcW w:w="1000" w:type="dxa"/>
            <w:vAlign w:val="bottom"/>
            <w:tcBorders>
              <w:top w:val="single" w:sz="8" w:color="auto"/>
            </w:tcBorders>
            <w:shd w:val="clear" w:color="auto" w:fill="E6E6E6"/>
          </w:tcPr>
          <w:p>
            <w:pPr>
              <w:spacing w:after="0"/>
              <w:rPr>
                <w:sz w:val="22"/>
                <w:szCs w:val="22"/>
                <w:color w:val="auto"/>
              </w:rPr>
            </w:pPr>
          </w:p>
        </w:tc>
        <w:tc>
          <w:tcPr>
            <w:tcW w:w="20" w:type="dxa"/>
            <w:vAlign w:val="bottom"/>
            <w:tcBorders>
              <w:top w:val="single" w:sz="8" w:color="auto"/>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260" w:type="dxa"/>
            <w:vAlign w:val="bottom"/>
            <w:tcBorders>
              <w:top w:val="single" w:sz="8" w:color="auto"/>
            </w:tcBorders>
            <w:shd w:val="clear" w:color="auto" w:fill="E6E6E6"/>
          </w:tcPr>
          <w:p>
            <w:pPr>
              <w:spacing w:after="0"/>
              <w:rPr>
                <w:sz w:val="22"/>
                <w:szCs w:val="22"/>
                <w:color w:val="auto"/>
              </w:rPr>
            </w:pPr>
          </w:p>
        </w:tc>
        <w:tc>
          <w:tcPr>
            <w:tcW w:w="98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60"/>
              <w:spacing w:after="0"/>
              <w:rPr>
                <w:sz w:val="20"/>
                <w:szCs w:val="20"/>
                <w:color w:val="auto"/>
              </w:rPr>
            </w:pPr>
            <w:r>
              <w:rPr>
                <w:rFonts w:ascii="Arial" w:cs="Arial" w:eastAsia="Arial" w:hAnsi="Arial"/>
                <w:sz w:val="19"/>
                <w:szCs w:val="19"/>
                <w:color w:val="auto"/>
              </w:rPr>
              <w:t>Loss from operations</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8"/>
              </w:rPr>
              <w:t>(3,020,820)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w w:val="98"/>
              </w:rPr>
              <w:t>(3,099,588)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6"/>
              </w:rPr>
              <w:t>(2,593,991)</w:t>
            </w:r>
          </w:p>
        </w:tc>
        <w:tc>
          <w:tcPr>
            <w:tcW w:w="0" w:type="dxa"/>
            <w:vAlign w:val="bottom"/>
          </w:tcPr>
          <w:p>
            <w:pPr>
              <w:spacing w:after="0"/>
              <w:rPr>
                <w:sz w:val="1"/>
                <w:szCs w:val="1"/>
                <w:color w:val="auto"/>
              </w:rPr>
            </w:pPr>
          </w:p>
        </w:tc>
      </w:tr>
      <w:tr>
        <w:trPr>
          <w:trHeight w:val="280"/>
        </w:trPr>
        <w:tc>
          <w:tcPr>
            <w:tcW w:w="72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60"/>
              <w:spacing w:after="0"/>
              <w:rPr>
                <w:sz w:val="20"/>
                <w:szCs w:val="20"/>
                <w:color w:val="auto"/>
              </w:rPr>
            </w:pPr>
            <w:r>
              <w:rPr>
                <w:rFonts w:ascii="Arial" w:cs="Arial" w:eastAsia="Arial" w:hAnsi="Arial"/>
                <w:sz w:val="19"/>
                <w:szCs w:val="19"/>
                <w:b w:val="1"/>
                <w:bCs w:val="1"/>
                <w:color w:val="auto"/>
              </w:rPr>
              <w:t>Other income (expense), net</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Change in fair value of common stock warrant liability</w:t>
            </w: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34,150</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86,926</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1,254,218</w:t>
            </w:r>
          </w:p>
        </w:tc>
        <w:tc>
          <w:tcPr>
            <w:tcW w:w="0" w:type="dxa"/>
            <w:vAlign w:val="bottom"/>
          </w:tcPr>
          <w:p>
            <w:pPr>
              <w:spacing w:after="0"/>
              <w:rPr>
                <w:sz w:val="1"/>
                <w:szCs w:val="1"/>
                <w:color w:val="auto"/>
              </w:rPr>
            </w:pPr>
          </w:p>
        </w:tc>
      </w:tr>
      <w:tr>
        <w:trPr>
          <w:trHeight w:val="268"/>
        </w:trPr>
        <w:tc>
          <w:tcPr>
            <w:tcW w:w="7400" w:type="dxa"/>
            <w:vAlign w:val="bottom"/>
            <w:gridSpan w:val="7"/>
          </w:tcPr>
          <w:p>
            <w:pPr>
              <w:ind w:left="180"/>
              <w:spacing w:after="0"/>
              <w:rPr>
                <w:sz w:val="20"/>
                <w:szCs w:val="20"/>
                <w:color w:val="auto"/>
              </w:rPr>
            </w:pPr>
            <w:r>
              <w:rPr>
                <w:rFonts w:ascii="Arial" w:cs="Arial" w:eastAsia="Arial" w:hAnsi="Arial"/>
                <w:sz w:val="19"/>
                <w:szCs w:val="19"/>
                <w:color w:val="auto"/>
              </w:rPr>
              <w:t>Change in fair value of equity securities of a related party</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(43,057)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5,999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0"/>
        </w:trPr>
        <w:tc>
          <w:tcPr>
            <w:tcW w:w="7400" w:type="dxa"/>
            <w:vAlign w:val="bottom"/>
            <w:gridSpan w:val="7"/>
            <w:shd w:val="clear" w:color="auto" w:fill="E6E6E6"/>
          </w:tcPr>
          <w:p>
            <w:pPr>
              <w:ind w:left="180"/>
              <w:spacing w:after="0" w:line="191" w:lineRule="exact"/>
              <w:rPr>
                <w:sz w:val="20"/>
                <w:szCs w:val="20"/>
                <w:color w:val="auto"/>
              </w:rPr>
            </w:pPr>
            <w:r>
              <w:rPr>
                <w:rFonts w:ascii="Arial" w:cs="Arial" w:eastAsia="Arial" w:hAnsi="Arial"/>
                <w:sz w:val="19"/>
                <w:szCs w:val="19"/>
                <w:color w:val="auto"/>
              </w:rPr>
              <w:t>Change in fair value of derivative liabilities associated with redeemable convertible</w:t>
            </w:r>
          </w:p>
        </w:tc>
        <w:tc>
          <w:tcPr>
            <w:tcW w:w="12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155,350</w:t>
            </w: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1020" w:type="dxa"/>
            <w:vAlign w:val="bottom"/>
            <w:gridSpan w:val="2"/>
            <w:vMerge w:val="restart"/>
            <w:shd w:val="clear" w:color="auto" w:fill="E6E6E6"/>
          </w:tcPr>
          <w:p>
            <w:pPr>
              <w:jc w:val="right"/>
              <w:ind w:right="100"/>
              <w:spacing w:after="0"/>
              <w:rPr>
                <w:sz w:val="20"/>
                <w:szCs w:val="20"/>
                <w:color w:val="auto"/>
              </w:rPr>
            </w:pPr>
            <w:r>
              <w:rPr>
                <w:rFonts w:ascii="Arial" w:cs="Arial" w:eastAsia="Arial" w:hAnsi="Arial"/>
                <w:sz w:val="19"/>
                <w:szCs w:val="19"/>
                <w:color w:val="auto"/>
              </w:rPr>
              <w:t>—</w:t>
            </w: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2"/>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preferred stock (related party)</w:t>
            </w:r>
          </w:p>
        </w:tc>
        <w:tc>
          <w:tcPr>
            <w:tcW w:w="12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gridSpan w:val="2"/>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180"/>
              <w:spacing w:after="0"/>
              <w:rPr>
                <w:sz w:val="20"/>
                <w:szCs w:val="20"/>
                <w:color w:val="auto"/>
              </w:rPr>
            </w:pPr>
            <w:r>
              <w:rPr>
                <w:rFonts w:ascii="Arial" w:cs="Arial" w:eastAsia="Arial" w:hAnsi="Arial"/>
                <w:sz w:val="19"/>
                <w:szCs w:val="19"/>
                <w:color w:val="auto"/>
              </w:rPr>
              <w:t>Interest income</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213,026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204,274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56,756</w:t>
            </w:r>
          </w:p>
        </w:tc>
        <w:tc>
          <w:tcPr>
            <w:tcW w:w="0" w:type="dxa"/>
            <w:vAlign w:val="bottom"/>
          </w:tcPr>
          <w:p>
            <w:pPr>
              <w:spacing w:after="0"/>
              <w:rPr>
                <w:sz w:val="1"/>
                <w:szCs w:val="1"/>
                <w:color w:val="auto"/>
              </w:rPr>
            </w:pPr>
          </w:p>
        </w:tc>
      </w:tr>
      <w:tr>
        <w:trPr>
          <w:trHeight w:val="190"/>
        </w:trPr>
        <w:tc>
          <w:tcPr>
            <w:tcW w:w="7400" w:type="dxa"/>
            <w:vAlign w:val="bottom"/>
            <w:gridSpan w:val="7"/>
            <w:shd w:val="clear" w:color="auto" w:fill="E6E6E6"/>
          </w:tcPr>
          <w:p>
            <w:pPr>
              <w:ind w:left="180"/>
              <w:spacing w:after="0" w:line="191" w:lineRule="exact"/>
              <w:rPr>
                <w:sz w:val="20"/>
                <w:szCs w:val="20"/>
                <w:color w:val="auto"/>
              </w:rPr>
            </w:pPr>
            <w:r>
              <w:rPr>
                <w:rFonts w:ascii="Arial" w:cs="Arial" w:eastAsia="Arial" w:hAnsi="Arial"/>
                <w:sz w:val="19"/>
                <w:szCs w:val="19"/>
                <w:color w:val="auto"/>
                <w:w w:val="94"/>
              </w:rPr>
              <w:t>Interest expense (including $6,980, $2,159, and $283 to a related party for the years ended</w:t>
            </w:r>
          </w:p>
        </w:tc>
        <w:tc>
          <w:tcPr>
            <w:tcW w:w="12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(32,923)</w:t>
            </w: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(24,915)</w:t>
            </w: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(30,596)</w:t>
            </w:r>
          </w:p>
        </w:tc>
        <w:tc>
          <w:tcPr>
            <w:tcW w:w="0" w:type="dxa"/>
            <w:vAlign w:val="bottom"/>
          </w:tcPr>
          <w:p>
            <w:pPr>
              <w:spacing w:after="0"/>
              <w:rPr>
                <w:sz w:val="1"/>
                <w:szCs w:val="1"/>
                <w:color w:val="auto"/>
              </w:rPr>
            </w:pPr>
          </w:p>
        </w:tc>
      </w:tr>
      <w:tr>
        <w:trPr>
          <w:trHeight w:val="262"/>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December 31, 2024, 2023, and 2022, respectively)</w:t>
            </w:r>
          </w:p>
        </w:tc>
        <w:tc>
          <w:tcPr>
            <w:tcW w:w="12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0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E6E6E6"/>
            </w:tcBorders>
            <w:gridSpan w:val="6"/>
          </w:tcPr>
          <w:p>
            <w:pPr>
              <w:ind w:left="180"/>
              <w:spacing w:after="0"/>
              <w:rPr>
                <w:sz w:val="20"/>
                <w:szCs w:val="20"/>
                <w:color w:val="auto"/>
              </w:rPr>
            </w:pPr>
            <w:r>
              <w:rPr>
                <w:rFonts w:ascii="Arial" w:cs="Arial" w:eastAsia="Arial" w:hAnsi="Arial"/>
                <w:sz w:val="19"/>
                <w:szCs w:val="19"/>
                <w:color w:val="auto"/>
              </w:rPr>
              <w:t>Other income (expense), net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(18,469)</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9,532</w:t>
            </w:r>
          </w:p>
        </w:tc>
        <w:tc>
          <w:tcPr>
            <w:tcW w:w="0" w:type="dxa"/>
            <w:vAlign w:val="bottom"/>
          </w:tcPr>
          <w:p>
            <w:pPr>
              <w:spacing w:after="0"/>
              <w:rPr>
                <w:sz w:val="1"/>
                <w:szCs w:val="1"/>
                <w:color w:val="auto"/>
              </w:rPr>
            </w:pPr>
          </w:p>
        </w:tc>
      </w:tr>
      <w:tr>
        <w:trPr>
          <w:trHeight w:val="254"/>
        </w:trPr>
        <w:tc>
          <w:tcPr>
            <w:tcW w:w="7380" w:type="dxa"/>
            <w:vAlign w:val="bottom"/>
            <w:tcBorders>
              <w:bottom w:val="single" w:sz="8" w:color="E6E6E6"/>
            </w:tcBorders>
            <w:gridSpan w:val="6"/>
            <w:shd w:val="clear" w:color="auto" w:fill="E6E6E6"/>
          </w:tcPr>
          <w:p>
            <w:pPr>
              <w:ind w:left="400"/>
              <w:spacing w:after="0"/>
              <w:rPr>
                <w:sz w:val="20"/>
                <w:szCs w:val="20"/>
                <w:color w:val="auto"/>
              </w:rPr>
            </w:pPr>
            <w:r>
              <w:rPr>
                <w:rFonts w:ascii="Arial" w:cs="Arial" w:eastAsia="Arial" w:hAnsi="Arial"/>
                <w:sz w:val="19"/>
                <w:szCs w:val="19"/>
                <w:color w:val="auto"/>
              </w:rPr>
              <w:t>Total other income, net</w:t>
            </w:r>
          </w:p>
        </w:tc>
        <w:tc>
          <w:tcPr>
            <w:tcW w:w="2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308,077</w:t>
            </w:r>
          </w:p>
        </w:tc>
        <w:tc>
          <w:tcPr>
            <w:tcW w:w="20" w:type="dxa"/>
            <w:vAlign w:val="bottom"/>
            <w:tcBorders>
              <w:bottom w:val="single" w:sz="8" w:color="auto"/>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272,194</w:t>
            </w:r>
          </w:p>
        </w:tc>
        <w:tc>
          <w:tcPr>
            <w:tcW w:w="20" w:type="dxa"/>
            <w:vAlign w:val="bottom"/>
            <w:tcBorders>
              <w:bottom w:val="single" w:sz="8" w:color="auto"/>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1,289,910</w:t>
            </w:r>
          </w:p>
        </w:tc>
        <w:tc>
          <w:tcPr>
            <w:tcW w:w="0" w:type="dxa"/>
            <w:vAlign w:val="bottom"/>
          </w:tcPr>
          <w:p>
            <w:pPr>
              <w:spacing w:after="0"/>
              <w:rPr>
                <w:sz w:val="1"/>
                <w:szCs w:val="1"/>
                <w:color w:val="auto"/>
              </w:rPr>
            </w:pPr>
          </w:p>
        </w:tc>
      </w:tr>
      <w:tr>
        <w:trPr>
          <w:trHeight w:val="258"/>
        </w:trPr>
        <w:tc>
          <w:tcPr>
            <w:tcW w:w="7400" w:type="dxa"/>
            <w:vAlign w:val="bottom"/>
            <w:gridSpan w:val="7"/>
          </w:tcPr>
          <w:p>
            <w:pPr>
              <w:ind w:left="60"/>
              <w:spacing w:after="0"/>
              <w:rPr>
                <w:sz w:val="20"/>
                <w:szCs w:val="20"/>
                <w:color w:val="auto"/>
              </w:rPr>
            </w:pPr>
            <w:r>
              <w:rPr>
                <w:rFonts w:ascii="Arial" w:cs="Arial" w:eastAsia="Arial" w:hAnsi="Arial"/>
                <w:sz w:val="19"/>
                <w:szCs w:val="19"/>
                <w:color w:val="auto"/>
              </w:rPr>
              <w:t>Loss before provision for income taxes</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8"/>
              </w:rPr>
              <w:t>(2,712,743)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w w:val="98"/>
              </w:rPr>
              <w:t>(2,827,394)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6"/>
              </w:rPr>
              <w:t>(1,304,081)</w:t>
            </w:r>
          </w:p>
        </w:tc>
        <w:tc>
          <w:tcPr>
            <w:tcW w:w="0" w:type="dxa"/>
            <w:vAlign w:val="bottom"/>
          </w:tcPr>
          <w:p>
            <w:pPr>
              <w:spacing w:after="0"/>
              <w:rPr>
                <w:sz w:val="1"/>
                <w:szCs w:val="1"/>
                <w:color w:val="auto"/>
              </w:rPr>
            </w:pPr>
          </w:p>
        </w:tc>
      </w:tr>
      <w:tr>
        <w:trPr>
          <w:trHeight w:val="289"/>
        </w:trPr>
        <w:tc>
          <w:tcPr>
            <w:tcW w:w="7400" w:type="dxa"/>
            <w:vAlign w:val="bottom"/>
            <w:gridSpan w:val="7"/>
            <w:shd w:val="clear" w:color="auto" w:fill="E6E6E6"/>
          </w:tcPr>
          <w:p>
            <w:pPr>
              <w:ind w:left="60"/>
              <w:spacing w:after="0"/>
              <w:rPr>
                <w:sz w:val="20"/>
                <w:szCs w:val="20"/>
                <w:color w:val="auto"/>
              </w:rPr>
            </w:pPr>
            <w:r>
              <w:rPr>
                <w:rFonts w:ascii="Arial" w:cs="Arial" w:eastAsia="Arial" w:hAnsi="Arial"/>
                <w:sz w:val="19"/>
                <w:szCs w:val="19"/>
                <w:color w:val="auto"/>
              </w:rPr>
              <w:t>Provision for income taxes</w:t>
            </w: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1,199</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1,026</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379</w:t>
            </w:r>
          </w:p>
        </w:tc>
        <w:tc>
          <w:tcPr>
            <w:tcW w:w="0" w:type="dxa"/>
            <w:vAlign w:val="bottom"/>
          </w:tcPr>
          <w:p>
            <w:pPr>
              <w:spacing w:after="0"/>
              <w:rPr>
                <w:sz w:val="1"/>
                <w:szCs w:val="1"/>
                <w:color w:val="auto"/>
              </w:rPr>
            </w:pPr>
          </w:p>
        </w:tc>
      </w:tr>
      <w:tr>
        <w:trPr>
          <w:trHeight w:val="239"/>
        </w:trPr>
        <w:tc>
          <w:tcPr>
            <w:tcW w:w="7380" w:type="dxa"/>
            <w:vAlign w:val="bottom"/>
            <w:tcBorders>
              <w:top w:val="single" w:sz="8" w:color="E6E6E6"/>
            </w:tcBorders>
            <w:gridSpan w:val="6"/>
          </w:tcPr>
          <w:p>
            <w:pPr>
              <w:ind w:left="60"/>
              <w:spacing w:after="0"/>
              <w:rPr>
                <w:sz w:val="20"/>
                <w:szCs w:val="20"/>
                <w:color w:val="auto"/>
              </w:rPr>
            </w:pPr>
            <w:r>
              <w:rPr>
                <w:rFonts w:ascii="Arial" w:cs="Arial" w:eastAsia="Arial" w:hAnsi="Arial"/>
                <w:sz w:val="19"/>
                <w:szCs w:val="19"/>
                <w:b w:val="1"/>
                <w:bCs w:val="1"/>
                <w:color w:val="auto"/>
              </w:rPr>
              <w:t>Net loss</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8"/>
              </w:rPr>
              <w:t>(2,713,942)</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8"/>
              </w:rPr>
              <w:t>(2,828,420)</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E6E6E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(1,304,460)</w:t>
            </w:r>
          </w:p>
        </w:tc>
        <w:tc>
          <w:tcPr>
            <w:tcW w:w="0" w:type="dxa"/>
            <w:vAlign w:val="bottom"/>
          </w:tcPr>
          <w:p>
            <w:pPr>
              <w:spacing w:after="0"/>
              <w:rPr>
                <w:sz w:val="1"/>
                <w:szCs w:val="1"/>
                <w:color w:val="auto"/>
              </w:rPr>
            </w:pPr>
          </w:p>
        </w:tc>
      </w:tr>
      <w:tr>
        <w:trPr>
          <w:trHeight w:val="289"/>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Accretion of redeemable convertible preferred stock (related party)</w:t>
            </w: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(347,610)</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color w:val="auto"/>
              </w:rPr>
              <w:t>—</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7360" w:type="dxa"/>
            <w:vAlign w:val="bottom"/>
            <w:tcBorders>
              <w:top w:val="single" w:sz="8" w:color="E6E6E6"/>
              <w:bottom w:val="single" w:sz="8" w:color="E6E6E6"/>
            </w:tcBorders>
            <w:gridSpan w:val="5"/>
          </w:tcPr>
          <w:p>
            <w:pPr>
              <w:ind w:left="60"/>
              <w:spacing w:after="0" w:line="216" w:lineRule="exact"/>
              <w:rPr>
                <w:sz w:val="20"/>
                <w:szCs w:val="20"/>
                <w:color w:val="auto"/>
              </w:rPr>
            </w:pPr>
            <w:r>
              <w:rPr>
                <w:rFonts w:ascii="Arial" w:cs="Arial" w:eastAsia="Arial" w:hAnsi="Arial"/>
                <w:sz w:val="19"/>
                <w:szCs w:val="19"/>
                <w:b w:val="1"/>
                <w:bCs w:val="1"/>
                <w:color w:val="auto"/>
              </w:rPr>
              <w:t>Net loss attributable to common stockholders, basic</w:t>
            </w:r>
          </w:p>
        </w:tc>
        <w:tc>
          <w:tcPr>
            <w:tcW w:w="40" w:type="dxa"/>
            <w:vAlign w:val="bottom"/>
            <w:tcBorders>
              <w:top w:val="single" w:sz="8" w:color="auto"/>
              <w:bottom w:val="single" w:sz="8" w:color="auto"/>
            </w:tcBorders>
            <w:gridSpan w:val="2"/>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19"/>
                <w:szCs w:val="19"/>
                <w:color w:val="auto"/>
                <w:w w:val="98"/>
              </w:rPr>
              <w:t>(3,061,552)</w:t>
            </w:r>
          </w:p>
        </w:tc>
        <w:tc>
          <w:tcPr>
            <w:tcW w:w="20" w:type="dxa"/>
            <w:vAlign w:val="bottom"/>
            <w:tcBorders>
              <w:top w:val="single" w:sz="8" w:color="E6E6E6"/>
              <w:bottom w:val="single" w:sz="8" w:color="E6E6E6"/>
            </w:tcBorders>
          </w:tcPr>
          <w:p>
            <w:pPr>
              <w:spacing w:after="0"/>
              <w:rPr>
                <w:sz w:val="22"/>
                <w:szCs w:val="22"/>
                <w:color w:val="auto"/>
              </w:rPr>
            </w:pPr>
          </w:p>
        </w:tc>
        <w:tc>
          <w:tcPr>
            <w:tcW w:w="40" w:type="dxa"/>
            <w:vAlign w:val="bottom"/>
            <w:tcBorders>
              <w:top w:val="single" w:sz="8" w:color="E6E6E6"/>
              <w:bottom w:val="single" w:sz="8" w:color="E6E6E6"/>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19"/>
                <w:szCs w:val="19"/>
                <w:color w:val="auto"/>
                <w:w w:val="98"/>
              </w:rPr>
              <w:t>(2,828,420)</w:t>
            </w:r>
          </w:p>
        </w:tc>
        <w:tc>
          <w:tcPr>
            <w:tcW w:w="20" w:type="dxa"/>
            <w:vAlign w:val="bottom"/>
            <w:tcBorders>
              <w:top w:val="single" w:sz="8" w:color="E6E6E6"/>
              <w:bottom w:val="single" w:sz="8" w:color="E6E6E6"/>
            </w:tcBorders>
          </w:tcPr>
          <w:p>
            <w:pPr>
              <w:spacing w:after="0"/>
              <w:rPr>
                <w:sz w:val="22"/>
                <w:szCs w:val="22"/>
                <w:color w:val="auto"/>
              </w:rPr>
            </w:pPr>
          </w:p>
        </w:tc>
        <w:tc>
          <w:tcPr>
            <w:tcW w:w="20" w:type="dxa"/>
            <w:vAlign w:val="bottom"/>
            <w:tcBorders>
              <w:top w:val="single" w:sz="8" w:color="E6E6E6"/>
              <w:bottom w:val="single" w:sz="8" w:color="E6E6E6"/>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19"/>
                <w:szCs w:val="19"/>
                <w:color w:val="auto"/>
                <w:w w:val="96"/>
              </w:rPr>
              <w:t>(1,304,460)</w:t>
            </w:r>
          </w:p>
        </w:tc>
        <w:tc>
          <w:tcPr>
            <w:tcW w:w="0" w:type="dxa"/>
            <w:vAlign w:val="bottom"/>
          </w:tcPr>
          <w:p>
            <w:pPr>
              <w:spacing w:after="0"/>
              <w:rPr>
                <w:sz w:val="1"/>
                <w:szCs w:val="1"/>
                <w:color w:val="auto"/>
              </w:rPr>
            </w:pPr>
          </w:p>
        </w:tc>
      </w:tr>
      <w:tr>
        <w:trPr>
          <w:trHeight w:val="255"/>
        </w:trPr>
        <w:tc>
          <w:tcPr>
            <w:tcW w:w="7340" w:type="dxa"/>
            <w:vAlign w:val="bottom"/>
            <w:tcBorders>
              <w:bottom w:val="single" w:sz="8" w:color="E6E6E6"/>
            </w:tcBorders>
            <w:gridSpan w:val="4"/>
            <w:shd w:val="clear" w:color="auto" w:fill="E6E6E6"/>
          </w:tcPr>
          <w:p>
            <w:pPr>
              <w:ind w:left="180"/>
              <w:spacing w:after="0"/>
              <w:rPr>
                <w:sz w:val="20"/>
                <w:szCs w:val="20"/>
                <w:color w:val="auto"/>
              </w:rPr>
            </w:pPr>
            <w:r>
              <w:rPr>
                <w:rFonts w:ascii="Arial" w:cs="Arial" w:eastAsia="Arial" w:hAnsi="Arial"/>
                <w:sz w:val="19"/>
                <w:szCs w:val="19"/>
                <w:color w:val="auto"/>
              </w:rPr>
              <w:t>Change in fair value of dilutive warrants</w:t>
            </w:r>
          </w:p>
        </w:tc>
        <w:tc>
          <w:tcPr>
            <w:tcW w:w="20" w:type="dxa"/>
            <w:vAlign w:val="bottom"/>
            <w:tcBorders>
              <w:bottom w:val="single" w:sz="8" w:color="auto"/>
            </w:tcBorders>
            <w:shd w:val="clear" w:color="auto" w:fill="E6E6E6"/>
          </w:tcPr>
          <w:p>
            <w:pPr>
              <w:spacing w:after="0"/>
              <w:rPr>
                <w:sz w:val="22"/>
                <w:szCs w:val="22"/>
                <w:color w:val="auto"/>
              </w:rPr>
            </w:pPr>
          </w:p>
        </w:tc>
        <w:tc>
          <w:tcPr>
            <w:tcW w:w="40" w:type="dxa"/>
            <w:vAlign w:val="bottom"/>
            <w:tcBorders>
              <w:bottom w:val="single" w:sz="8" w:color="auto"/>
            </w:tcBorders>
            <w:gridSpan w:val="2"/>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6"/>
              </w:rPr>
              <w:t>(1,254,218)</w:t>
            </w:r>
          </w:p>
        </w:tc>
        <w:tc>
          <w:tcPr>
            <w:tcW w:w="0" w:type="dxa"/>
            <w:vAlign w:val="bottom"/>
          </w:tcPr>
          <w:p>
            <w:pPr>
              <w:spacing w:after="0"/>
              <w:rPr>
                <w:sz w:val="1"/>
                <w:szCs w:val="1"/>
                <w:color w:val="auto"/>
              </w:rPr>
            </w:pPr>
          </w:p>
        </w:tc>
      </w:tr>
      <w:tr>
        <w:trPr>
          <w:trHeight w:val="252"/>
        </w:trPr>
        <w:tc>
          <w:tcPr>
            <w:tcW w:w="7340" w:type="dxa"/>
            <w:vAlign w:val="bottom"/>
            <w:gridSpan w:val="4"/>
          </w:tcPr>
          <w:p>
            <w:pPr>
              <w:ind w:left="60"/>
              <w:spacing w:after="0" w:line="214" w:lineRule="exact"/>
              <w:rPr>
                <w:sz w:val="20"/>
                <w:szCs w:val="20"/>
                <w:color w:val="auto"/>
              </w:rPr>
            </w:pPr>
            <w:r>
              <w:rPr>
                <w:rFonts w:ascii="Arial" w:cs="Arial" w:eastAsia="Arial" w:hAnsi="Arial"/>
                <w:sz w:val="19"/>
                <w:szCs w:val="19"/>
                <w:b w:val="1"/>
                <w:bCs w:val="1"/>
                <w:color w:val="auto"/>
              </w:rPr>
              <w:t>Net loss attributable to common stockholders, diluted</w:t>
            </w:r>
          </w:p>
        </w:tc>
        <w:tc>
          <w:tcPr>
            <w:tcW w:w="60" w:type="dxa"/>
            <w:vAlign w:val="bottom"/>
            <w:gridSpan w:val="3"/>
          </w:tcPr>
          <w:p>
            <w:pPr>
              <w:spacing w:after="0"/>
              <w:rPr>
                <w:sz w:val="21"/>
                <w:szCs w:val="21"/>
                <w:color w:val="auto"/>
              </w:rPr>
            </w:pPr>
          </w:p>
        </w:tc>
        <w:tc>
          <w:tcPr>
            <w:tcW w:w="120" w:type="dxa"/>
            <w:vAlign w:val="bottom"/>
          </w:tcPr>
          <w:p>
            <w:pPr>
              <w:spacing w:after="0" w:line="214" w:lineRule="exact"/>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line="214" w:lineRule="exact"/>
              <w:rPr>
                <w:sz w:val="20"/>
                <w:szCs w:val="20"/>
                <w:color w:val="auto"/>
              </w:rPr>
            </w:pPr>
            <w:r>
              <w:rPr>
                <w:rFonts w:ascii="Arial" w:cs="Arial" w:eastAsia="Arial" w:hAnsi="Arial"/>
                <w:sz w:val="19"/>
                <w:szCs w:val="19"/>
                <w:color w:val="auto"/>
                <w:w w:val="98"/>
              </w:rPr>
              <w:t>(3,061,552)</w:t>
            </w:r>
          </w:p>
        </w:tc>
        <w:tc>
          <w:tcPr>
            <w:tcW w:w="20" w:type="dxa"/>
            <w:vAlign w:val="bottom"/>
          </w:tcPr>
          <w:p>
            <w:pPr>
              <w:spacing w:after="0"/>
              <w:rPr>
                <w:sz w:val="21"/>
                <w:szCs w:val="21"/>
                <w:color w:val="auto"/>
              </w:rPr>
            </w:pPr>
          </w:p>
        </w:tc>
        <w:tc>
          <w:tcPr>
            <w:tcW w:w="280" w:type="dxa"/>
            <w:vAlign w:val="bottom"/>
            <w:gridSpan w:val="2"/>
          </w:tcPr>
          <w:p>
            <w:pPr>
              <w:ind w:left="100"/>
              <w:spacing w:after="0" w:line="214"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4" w:lineRule="exact"/>
              <w:rPr>
                <w:sz w:val="20"/>
                <w:szCs w:val="20"/>
                <w:color w:val="auto"/>
              </w:rPr>
            </w:pPr>
            <w:r>
              <w:rPr>
                <w:rFonts w:ascii="Arial" w:cs="Arial" w:eastAsia="Arial" w:hAnsi="Arial"/>
                <w:sz w:val="19"/>
                <w:szCs w:val="19"/>
                <w:color w:val="auto"/>
                <w:w w:val="98"/>
              </w:rPr>
              <w:t>(2,828,420)</w:t>
            </w:r>
          </w:p>
        </w:tc>
        <w:tc>
          <w:tcPr>
            <w:tcW w:w="20" w:type="dxa"/>
            <w:vAlign w:val="bottom"/>
          </w:tcPr>
          <w:p>
            <w:pPr>
              <w:spacing w:after="0"/>
              <w:rPr>
                <w:sz w:val="21"/>
                <w:szCs w:val="21"/>
                <w:color w:val="auto"/>
              </w:rPr>
            </w:pPr>
          </w:p>
        </w:tc>
        <w:tc>
          <w:tcPr>
            <w:tcW w:w="280" w:type="dxa"/>
            <w:vAlign w:val="bottom"/>
            <w:gridSpan w:val="2"/>
          </w:tcPr>
          <w:p>
            <w:pPr>
              <w:ind w:left="80"/>
              <w:spacing w:after="0" w:line="214"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4" w:lineRule="exact"/>
              <w:rPr>
                <w:sz w:val="20"/>
                <w:szCs w:val="20"/>
                <w:color w:val="auto"/>
              </w:rPr>
            </w:pPr>
            <w:r>
              <w:rPr>
                <w:rFonts w:ascii="Arial" w:cs="Arial" w:eastAsia="Arial" w:hAnsi="Arial"/>
                <w:sz w:val="19"/>
                <w:szCs w:val="19"/>
                <w:color w:val="auto"/>
                <w:w w:val="96"/>
              </w:rPr>
              <w:t>(2,558,678)</w:t>
            </w:r>
          </w:p>
        </w:tc>
        <w:tc>
          <w:tcPr>
            <w:tcW w:w="0" w:type="dxa"/>
            <w:vAlign w:val="bottom"/>
          </w:tcPr>
          <w:p>
            <w:pPr>
              <w:spacing w:after="0"/>
              <w:rPr>
                <w:sz w:val="1"/>
                <w:szCs w:val="1"/>
                <w:color w:val="auto"/>
              </w:rPr>
            </w:pPr>
          </w:p>
        </w:tc>
      </w:tr>
      <w:tr>
        <w:trPr>
          <w:trHeight w:val="245"/>
        </w:trPr>
        <w:tc>
          <w:tcPr>
            <w:tcW w:w="728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12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4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00" w:type="dxa"/>
            <w:vAlign w:val="bottom"/>
            <w:gridSpan w:val="7"/>
          </w:tcPr>
          <w:p>
            <w:pPr>
              <w:ind w:left="60"/>
              <w:spacing w:after="0"/>
              <w:rPr>
                <w:sz w:val="20"/>
                <w:szCs w:val="20"/>
                <w:color w:val="auto"/>
              </w:rPr>
            </w:pPr>
            <w:r>
              <w:rPr>
                <w:rFonts w:ascii="Arial" w:cs="Arial" w:eastAsia="Arial" w:hAnsi="Arial"/>
                <w:sz w:val="19"/>
                <w:szCs w:val="19"/>
                <w:color w:val="auto"/>
              </w:rPr>
              <w:t>Weighted-average shares outstanding attributable to common stockholders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400" w:type="dxa"/>
            <w:vAlign w:val="bottom"/>
            <w:tcBorders>
              <w:bottom w:val="single" w:sz="8" w:color="E6E6E6"/>
            </w:tcBorders>
            <w:gridSpan w:val="7"/>
            <w:shd w:val="clear" w:color="auto" w:fill="E6E6E6"/>
          </w:tcPr>
          <w:p>
            <w:pPr>
              <w:ind w:left="280"/>
              <w:spacing w:after="0"/>
              <w:rPr>
                <w:sz w:val="20"/>
                <w:szCs w:val="20"/>
                <w:color w:val="auto"/>
              </w:rPr>
            </w:pPr>
            <w:r>
              <w:rPr>
                <w:rFonts w:ascii="Arial" w:cs="Arial" w:eastAsia="Arial" w:hAnsi="Arial"/>
                <w:sz w:val="19"/>
                <w:szCs w:val="19"/>
                <w:color w:val="auto"/>
              </w:rPr>
              <w:t>Basic</w:t>
            </w:r>
          </w:p>
        </w:tc>
        <w:tc>
          <w:tcPr>
            <w:tcW w:w="110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w w:val="88"/>
              </w:rPr>
              <w:t>2,445,176,539</w:t>
            </w:r>
          </w:p>
        </w:tc>
        <w:tc>
          <w:tcPr>
            <w:tcW w:w="20" w:type="dxa"/>
            <w:vAlign w:val="bottom"/>
            <w:tcBorders>
              <w:bottom w:val="single" w:sz="8" w:color="E6E6E6"/>
            </w:tcBorders>
            <w:shd w:val="clear" w:color="auto" w:fill="E6E6E6"/>
          </w:tcPr>
          <w:p>
            <w:pPr>
              <w:spacing w:after="0"/>
              <w:rPr>
                <w:sz w:val="22"/>
                <w:szCs w:val="22"/>
                <w:color w:val="auto"/>
              </w:rPr>
            </w:pPr>
          </w:p>
        </w:tc>
        <w:tc>
          <w:tcPr>
            <w:tcW w:w="1280" w:type="dxa"/>
            <w:vAlign w:val="bottom"/>
            <w:tcBorders>
              <w:bottom w:val="single" w:sz="8" w:color="E6E6E6"/>
            </w:tcBorders>
            <w:gridSpan w:val="3"/>
            <w:shd w:val="clear" w:color="auto" w:fill="E6E6E6"/>
          </w:tcPr>
          <w:p>
            <w:pPr>
              <w:ind w:left="100"/>
              <w:spacing w:after="0"/>
              <w:rPr>
                <w:sz w:val="20"/>
                <w:szCs w:val="20"/>
                <w:color w:val="auto"/>
              </w:rPr>
            </w:pPr>
            <w:r>
              <w:rPr>
                <w:rFonts w:ascii="Arial" w:cs="Arial" w:eastAsia="Arial" w:hAnsi="Arial"/>
                <w:sz w:val="19"/>
                <w:szCs w:val="19"/>
                <w:color w:val="auto"/>
                <w:w w:val="95"/>
              </w:rPr>
              <w:t>2,081,772,622</w:t>
            </w:r>
          </w:p>
        </w:tc>
        <w:tc>
          <w:tcPr>
            <w:tcW w:w="20" w:type="dxa"/>
            <w:vAlign w:val="bottom"/>
            <w:tcBorders>
              <w:bottom w:val="single" w:sz="8" w:color="E6E6E6"/>
            </w:tcBorders>
            <w:shd w:val="clear" w:color="auto" w:fill="E6E6E6"/>
          </w:tcPr>
          <w:p>
            <w:pPr>
              <w:spacing w:after="0"/>
              <w:rPr>
                <w:sz w:val="22"/>
                <w:szCs w:val="22"/>
                <w:color w:val="auto"/>
              </w:rPr>
            </w:pPr>
          </w:p>
        </w:tc>
        <w:tc>
          <w:tcPr>
            <w:tcW w:w="1260" w:type="dxa"/>
            <w:vAlign w:val="bottom"/>
            <w:tcBorders>
              <w:bottom w:val="single" w:sz="8" w:color="E6E6E6"/>
            </w:tcBorders>
            <w:gridSpan w:val="3"/>
            <w:shd w:val="clear" w:color="auto" w:fill="E6E6E6"/>
          </w:tcPr>
          <w:p>
            <w:pPr>
              <w:ind w:left="80"/>
              <w:spacing w:after="0"/>
              <w:rPr>
                <w:sz w:val="20"/>
                <w:szCs w:val="20"/>
                <w:color w:val="auto"/>
              </w:rPr>
            </w:pPr>
            <w:r>
              <w:rPr>
                <w:rFonts w:ascii="Arial" w:cs="Arial" w:eastAsia="Arial" w:hAnsi="Arial"/>
                <w:sz w:val="19"/>
                <w:szCs w:val="19"/>
                <w:color w:val="auto"/>
                <w:w w:val="95"/>
              </w:rPr>
              <w:t>1,678,346,079</w:t>
            </w:r>
          </w:p>
        </w:tc>
        <w:tc>
          <w:tcPr>
            <w:tcW w:w="0" w:type="dxa"/>
            <w:vAlign w:val="bottom"/>
          </w:tcPr>
          <w:p>
            <w:pPr>
              <w:spacing w:after="0"/>
              <w:rPr>
                <w:sz w:val="1"/>
                <w:szCs w:val="1"/>
                <w:color w:val="auto"/>
              </w:rPr>
            </w:pPr>
          </w:p>
        </w:tc>
      </w:tr>
      <w:tr>
        <w:trPr>
          <w:trHeight w:val="251"/>
        </w:trPr>
        <w:tc>
          <w:tcPr>
            <w:tcW w:w="7400" w:type="dxa"/>
            <w:vAlign w:val="bottom"/>
            <w:gridSpan w:val="7"/>
          </w:tcPr>
          <w:p>
            <w:pPr>
              <w:ind w:left="280"/>
              <w:spacing w:after="0"/>
              <w:rPr>
                <w:sz w:val="20"/>
                <w:szCs w:val="20"/>
                <w:color w:val="auto"/>
              </w:rPr>
            </w:pPr>
            <w:r>
              <w:rPr>
                <w:rFonts w:ascii="Arial" w:cs="Arial" w:eastAsia="Arial" w:hAnsi="Arial"/>
                <w:sz w:val="19"/>
                <w:szCs w:val="19"/>
                <w:color w:val="auto"/>
              </w:rPr>
              <w:t>Diluted</w:t>
            </w:r>
          </w:p>
        </w:tc>
        <w:tc>
          <w:tcPr>
            <w:tcW w:w="1100" w:type="dxa"/>
            <w:vAlign w:val="bottom"/>
            <w:gridSpan w:val="2"/>
          </w:tcPr>
          <w:p>
            <w:pPr>
              <w:spacing w:after="0"/>
              <w:rPr>
                <w:sz w:val="20"/>
                <w:szCs w:val="20"/>
                <w:color w:val="auto"/>
              </w:rPr>
            </w:pPr>
            <w:r>
              <w:rPr>
                <w:rFonts w:ascii="Arial" w:cs="Arial" w:eastAsia="Arial" w:hAnsi="Arial"/>
                <w:sz w:val="19"/>
                <w:szCs w:val="19"/>
                <w:color w:val="auto"/>
                <w:w w:val="88"/>
              </w:rPr>
              <w:t>2,445,176,539</w:t>
            </w:r>
          </w:p>
        </w:tc>
        <w:tc>
          <w:tcPr>
            <w:tcW w:w="20" w:type="dxa"/>
            <w:vAlign w:val="bottom"/>
          </w:tcPr>
          <w:p>
            <w:pPr>
              <w:spacing w:after="0"/>
              <w:rPr>
                <w:sz w:val="21"/>
                <w:szCs w:val="21"/>
                <w:color w:val="auto"/>
              </w:rPr>
            </w:pPr>
          </w:p>
        </w:tc>
        <w:tc>
          <w:tcPr>
            <w:tcW w:w="1280" w:type="dxa"/>
            <w:vAlign w:val="bottom"/>
            <w:gridSpan w:val="3"/>
          </w:tcPr>
          <w:p>
            <w:pPr>
              <w:ind w:left="100"/>
              <w:spacing w:after="0"/>
              <w:rPr>
                <w:sz w:val="20"/>
                <w:szCs w:val="20"/>
                <w:color w:val="auto"/>
              </w:rPr>
            </w:pPr>
            <w:r>
              <w:rPr>
                <w:rFonts w:ascii="Arial" w:cs="Arial" w:eastAsia="Arial" w:hAnsi="Arial"/>
                <w:sz w:val="19"/>
                <w:szCs w:val="19"/>
                <w:color w:val="auto"/>
                <w:w w:val="95"/>
              </w:rPr>
              <w:t>2,081,772,622</w:t>
            </w:r>
          </w:p>
        </w:tc>
        <w:tc>
          <w:tcPr>
            <w:tcW w:w="2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Arial" w:cs="Arial" w:eastAsia="Arial" w:hAnsi="Arial"/>
                <w:sz w:val="19"/>
                <w:szCs w:val="19"/>
                <w:color w:val="auto"/>
                <w:w w:val="95"/>
              </w:rPr>
              <w:t>1,693,258,608</w:t>
            </w: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2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60"/>
              <w:spacing w:after="0"/>
              <w:rPr>
                <w:sz w:val="20"/>
                <w:szCs w:val="20"/>
                <w:color w:val="auto"/>
              </w:rPr>
            </w:pPr>
            <w:r>
              <w:rPr>
                <w:rFonts w:ascii="Arial" w:cs="Arial" w:eastAsia="Arial" w:hAnsi="Arial"/>
                <w:sz w:val="19"/>
                <w:szCs w:val="19"/>
                <w:color w:val="auto"/>
              </w:rPr>
              <w:t>Net loss per share attributable to common stockholders</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400" w:type="dxa"/>
            <w:vAlign w:val="bottom"/>
            <w:gridSpan w:val="7"/>
            <w:shd w:val="clear" w:color="auto" w:fill="E6E6E6"/>
          </w:tcPr>
          <w:p>
            <w:pPr>
              <w:ind w:left="280"/>
              <w:spacing w:after="0"/>
              <w:rPr>
                <w:sz w:val="20"/>
                <w:szCs w:val="20"/>
                <w:color w:val="auto"/>
              </w:rPr>
            </w:pPr>
            <w:r>
              <w:rPr>
                <w:rFonts w:ascii="Arial" w:cs="Arial" w:eastAsia="Arial" w:hAnsi="Arial"/>
                <w:sz w:val="19"/>
                <w:szCs w:val="19"/>
                <w:color w:val="auto"/>
              </w:rPr>
              <w:t>Basic</w:t>
            </w:r>
          </w:p>
        </w:tc>
        <w:tc>
          <w:tcPr>
            <w:tcW w:w="120" w:type="dxa"/>
            <w:vAlign w:val="bottom"/>
            <w:shd w:val="clear" w:color="auto" w:fill="E6E6E6"/>
          </w:tcPr>
          <w:p>
            <w:pPr>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(1.25)</w:t>
            </w:r>
          </w:p>
        </w:tc>
        <w:tc>
          <w:tcPr>
            <w:tcW w:w="20" w:type="dxa"/>
            <w:vAlign w:val="bottom"/>
            <w:shd w:val="clear" w:color="auto" w:fill="E6E6E6"/>
          </w:tcPr>
          <w:p>
            <w:pPr>
              <w:spacing w:after="0"/>
              <w:rPr>
                <w:sz w:val="24"/>
                <w:szCs w:val="24"/>
                <w:color w:val="auto"/>
              </w:rPr>
            </w:pPr>
          </w:p>
        </w:tc>
        <w:tc>
          <w:tcPr>
            <w:tcW w:w="280" w:type="dxa"/>
            <w:vAlign w:val="bottom"/>
            <w:gridSpan w:val="2"/>
            <w:shd w:val="clear" w:color="auto" w:fill="E6E6E6"/>
          </w:tcPr>
          <w:p>
            <w:pPr>
              <w:ind w:left="100"/>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(1.36)</w:t>
            </w:r>
          </w:p>
        </w:tc>
        <w:tc>
          <w:tcPr>
            <w:tcW w:w="20" w:type="dxa"/>
            <w:vAlign w:val="bottom"/>
            <w:shd w:val="clear" w:color="auto" w:fill="E6E6E6"/>
          </w:tcPr>
          <w:p>
            <w:pPr>
              <w:spacing w:after="0"/>
              <w:rPr>
                <w:sz w:val="24"/>
                <w:szCs w:val="24"/>
                <w:color w:val="auto"/>
              </w:rPr>
            </w:pPr>
          </w:p>
        </w:tc>
        <w:tc>
          <w:tcPr>
            <w:tcW w:w="280" w:type="dxa"/>
            <w:vAlign w:val="bottom"/>
            <w:gridSpan w:val="2"/>
            <w:shd w:val="clear" w:color="auto" w:fill="E6E6E6"/>
          </w:tcPr>
          <w:p>
            <w:pPr>
              <w:ind w:left="80"/>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(0.78)</w:t>
            </w:r>
          </w:p>
        </w:tc>
        <w:tc>
          <w:tcPr>
            <w:tcW w:w="0" w:type="dxa"/>
            <w:vAlign w:val="bottom"/>
          </w:tcPr>
          <w:p>
            <w:pPr>
              <w:spacing w:after="0"/>
              <w:rPr>
                <w:sz w:val="1"/>
                <w:szCs w:val="1"/>
                <w:color w:val="auto"/>
              </w:rPr>
            </w:pPr>
          </w:p>
        </w:tc>
      </w:tr>
      <w:tr>
        <w:trPr>
          <w:trHeight w:val="268"/>
        </w:trPr>
        <w:tc>
          <w:tcPr>
            <w:tcW w:w="7400" w:type="dxa"/>
            <w:vAlign w:val="bottom"/>
            <w:gridSpan w:val="7"/>
          </w:tcPr>
          <w:p>
            <w:pPr>
              <w:ind w:left="280"/>
              <w:spacing w:after="0"/>
              <w:rPr>
                <w:sz w:val="20"/>
                <w:szCs w:val="20"/>
                <w:color w:val="auto"/>
              </w:rPr>
            </w:pPr>
            <w:r>
              <w:rPr>
                <w:rFonts w:ascii="Arial" w:cs="Arial" w:eastAsia="Arial" w:hAnsi="Arial"/>
                <w:sz w:val="19"/>
                <w:szCs w:val="19"/>
                <w:color w:val="auto"/>
              </w:rPr>
              <w:t>Diluted</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(1.25)</w:t>
            </w:r>
          </w:p>
        </w:tc>
        <w:tc>
          <w:tcPr>
            <w:tcW w:w="20" w:type="dxa"/>
            <w:vAlign w:val="bottom"/>
          </w:tcPr>
          <w:p>
            <w:pPr>
              <w:spacing w:after="0"/>
              <w:rPr>
                <w:sz w:val="23"/>
                <w:szCs w:val="23"/>
                <w:color w:val="auto"/>
              </w:rPr>
            </w:pPr>
          </w:p>
        </w:tc>
        <w:tc>
          <w:tcPr>
            <w:tcW w:w="280" w:type="dxa"/>
            <w:vAlign w:val="bottom"/>
            <w:gridSpan w:val="2"/>
          </w:tcPr>
          <w:p>
            <w:pPr>
              <w:ind w:left="100"/>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(1.36)</w:t>
            </w:r>
          </w:p>
        </w:tc>
        <w:tc>
          <w:tcPr>
            <w:tcW w:w="20" w:type="dxa"/>
            <w:vAlign w:val="bottom"/>
          </w:tcPr>
          <w:p>
            <w:pPr>
              <w:spacing w:after="0"/>
              <w:rPr>
                <w:sz w:val="23"/>
                <w:szCs w:val="23"/>
                <w:color w:val="auto"/>
              </w:rPr>
            </w:pPr>
          </w:p>
        </w:tc>
        <w:tc>
          <w:tcPr>
            <w:tcW w:w="280" w:type="dxa"/>
            <w:vAlign w:val="bottom"/>
            <w:gridSpan w:val="2"/>
          </w:tcPr>
          <w:p>
            <w:pPr>
              <w:ind w:left="8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(1.51)</w:t>
            </w:r>
          </w:p>
        </w:tc>
        <w:tc>
          <w:tcPr>
            <w:tcW w:w="0" w:type="dxa"/>
            <w:vAlign w:val="bottom"/>
          </w:tcPr>
          <w:p>
            <w:pPr>
              <w:spacing w:after="0"/>
              <w:rPr>
                <w:sz w:val="1"/>
                <w:szCs w:val="1"/>
                <w:color w:val="auto"/>
              </w:rPr>
            </w:pPr>
          </w:p>
        </w:tc>
      </w:tr>
      <w:tr>
        <w:trPr>
          <w:trHeight w:val="280"/>
        </w:trPr>
        <w:tc>
          <w:tcPr>
            <w:tcW w:w="72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400" w:type="dxa"/>
            <w:vAlign w:val="bottom"/>
            <w:gridSpan w:val="7"/>
          </w:tcPr>
          <w:p>
            <w:pPr>
              <w:ind w:left="80"/>
              <w:spacing w:after="0"/>
              <w:rPr>
                <w:sz w:val="20"/>
                <w:szCs w:val="20"/>
                <w:color w:val="auto"/>
              </w:rPr>
            </w:pPr>
            <w:r>
              <w:rPr>
                <w:rFonts w:ascii="Arial" w:cs="Arial" w:eastAsia="Arial" w:hAnsi="Arial"/>
                <w:sz w:val="19"/>
                <w:szCs w:val="19"/>
                <w:b w:val="1"/>
                <w:bCs w:val="1"/>
                <w:color w:val="auto"/>
              </w:rPr>
              <w:t>Other comprehensive income (loss)</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400" w:type="dxa"/>
            <w:vAlign w:val="bottom"/>
            <w:gridSpan w:val="7"/>
            <w:shd w:val="clear" w:color="auto" w:fill="E6E6E6"/>
          </w:tcPr>
          <w:p>
            <w:pPr>
              <w:ind w:left="180"/>
              <w:spacing w:after="0"/>
              <w:rPr>
                <w:sz w:val="20"/>
                <w:szCs w:val="20"/>
                <w:color w:val="auto"/>
              </w:rPr>
            </w:pPr>
            <w:r>
              <w:rPr>
                <w:rFonts w:ascii="Arial" w:cs="Arial" w:eastAsia="Arial" w:hAnsi="Arial"/>
                <w:sz w:val="19"/>
                <w:szCs w:val="19"/>
                <w:color w:val="auto"/>
              </w:rPr>
              <w:t>Net unrealized gains (losses) on investments, net of tax</w:t>
            </w:r>
          </w:p>
        </w:tc>
        <w:tc>
          <w:tcPr>
            <w:tcW w:w="120" w:type="dxa"/>
            <w:vAlign w:val="bottom"/>
            <w:shd w:val="clear" w:color="auto" w:fill="E6E6E6"/>
          </w:tcPr>
          <w:p>
            <w:pPr>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1,942</w:t>
            </w:r>
          </w:p>
        </w:tc>
        <w:tc>
          <w:tcPr>
            <w:tcW w:w="20" w:type="dxa"/>
            <w:vAlign w:val="bottom"/>
            <w:shd w:val="clear" w:color="auto" w:fill="E6E6E6"/>
          </w:tcPr>
          <w:p>
            <w:pPr>
              <w:spacing w:after="0"/>
              <w:rPr>
                <w:sz w:val="24"/>
                <w:szCs w:val="24"/>
                <w:color w:val="auto"/>
              </w:rPr>
            </w:pPr>
          </w:p>
        </w:tc>
        <w:tc>
          <w:tcPr>
            <w:tcW w:w="280" w:type="dxa"/>
            <w:vAlign w:val="bottom"/>
            <w:gridSpan w:val="2"/>
            <w:shd w:val="clear" w:color="auto" w:fill="E6E6E6"/>
          </w:tcPr>
          <w:p>
            <w:pPr>
              <w:ind w:left="100"/>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12,669</w:t>
            </w:r>
          </w:p>
        </w:tc>
        <w:tc>
          <w:tcPr>
            <w:tcW w:w="20" w:type="dxa"/>
            <w:vAlign w:val="bottom"/>
            <w:shd w:val="clear" w:color="auto" w:fill="E6E6E6"/>
          </w:tcPr>
          <w:p>
            <w:pPr>
              <w:spacing w:after="0"/>
              <w:rPr>
                <w:sz w:val="24"/>
                <w:szCs w:val="24"/>
                <w:color w:val="auto"/>
              </w:rPr>
            </w:pPr>
          </w:p>
        </w:tc>
        <w:tc>
          <w:tcPr>
            <w:tcW w:w="280" w:type="dxa"/>
            <w:vAlign w:val="bottom"/>
            <w:gridSpan w:val="2"/>
            <w:shd w:val="clear" w:color="auto" w:fill="E6E6E6"/>
          </w:tcPr>
          <w:p>
            <w:pPr>
              <w:ind w:left="80"/>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(11,572)</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E6E6E6"/>
            </w:tcBorders>
            <w:gridSpan w:val="3"/>
          </w:tcPr>
          <w:p>
            <w:pPr>
              <w:ind w:left="180"/>
              <w:spacing w:after="0"/>
              <w:rPr>
                <w:sz w:val="20"/>
                <w:szCs w:val="20"/>
                <w:color w:val="auto"/>
              </w:rPr>
            </w:pPr>
            <w:r>
              <w:rPr>
                <w:rFonts w:ascii="Arial" w:cs="Arial" w:eastAsia="Arial" w:hAnsi="Arial"/>
                <w:sz w:val="19"/>
                <w:szCs w:val="19"/>
                <w:color w:val="auto"/>
              </w:rPr>
              <w:t>Foreign currency translation adjustments</w:t>
            </w:r>
          </w:p>
        </w:tc>
        <w:tc>
          <w:tcPr>
            <w:tcW w:w="80" w:type="dxa"/>
            <w:vAlign w:val="bottom"/>
            <w:tcBorders>
              <w:bottom w:val="single" w:sz="8" w:color="auto"/>
            </w:tcBorders>
            <w:gridSpan w:val="4"/>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(8,891)</w:t>
            </w: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3,753</w:t>
            </w: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3"/>
        </w:trPr>
        <w:tc>
          <w:tcPr>
            <w:tcW w:w="7400" w:type="dxa"/>
            <w:vAlign w:val="bottom"/>
            <w:gridSpan w:val="7"/>
            <w:shd w:val="clear" w:color="auto" w:fill="E6E6E6"/>
          </w:tcPr>
          <w:p>
            <w:pPr>
              <w:ind w:left="400"/>
              <w:spacing w:after="0"/>
              <w:rPr>
                <w:sz w:val="20"/>
                <w:szCs w:val="20"/>
                <w:color w:val="auto"/>
              </w:rPr>
            </w:pPr>
            <w:r>
              <w:rPr>
                <w:rFonts w:ascii="Arial" w:cs="Arial" w:eastAsia="Arial" w:hAnsi="Arial"/>
                <w:sz w:val="19"/>
                <w:szCs w:val="19"/>
                <w:color w:val="auto"/>
              </w:rPr>
              <w:t>Total other comprehensive income (loss)</w:t>
            </w:r>
          </w:p>
        </w:tc>
        <w:tc>
          <w:tcPr>
            <w:tcW w:w="12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(6,949)</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16,422</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(11,572)</w:t>
            </w:r>
          </w:p>
        </w:tc>
        <w:tc>
          <w:tcPr>
            <w:tcW w:w="0" w:type="dxa"/>
            <w:vAlign w:val="bottom"/>
          </w:tcPr>
          <w:p>
            <w:pPr>
              <w:spacing w:after="0"/>
              <w:rPr>
                <w:sz w:val="1"/>
                <w:szCs w:val="1"/>
                <w:color w:val="auto"/>
              </w:rPr>
            </w:pPr>
          </w:p>
        </w:tc>
      </w:tr>
      <w:tr>
        <w:trPr>
          <w:trHeight w:val="234"/>
        </w:trPr>
        <w:tc>
          <w:tcPr>
            <w:tcW w:w="7320" w:type="dxa"/>
            <w:vAlign w:val="bottom"/>
            <w:tcBorders>
              <w:top w:val="single" w:sz="8" w:color="E6E6E6"/>
              <w:bottom w:val="single" w:sz="8" w:color="E6E6E6"/>
            </w:tcBorders>
            <w:gridSpan w:val="3"/>
          </w:tcPr>
          <w:p>
            <w:pPr>
              <w:ind w:left="60"/>
              <w:spacing w:after="0"/>
              <w:rPr>
                <w:sz w:val="20"/>
                <w:szCs w:val="20"/>
                <w:color w:val="auto"/>
              </w:rPr>
            </w:pPr>
            <w:r>
              <w:rPr>
                <w:rFonts w:ascii="Arial" w:cs="Arial" w:eastAsia="Arial" w:hAnsi="Arial"/>
                <w:sz w:val="19"/>
                <w:szCs w:val="19"/>
                <w:b w:val="1"/>
                <w:bCs w:val="1"/>
                <w:color w:val="auto"/>
              </w:rPr>
              <w:t>Comprehensive loss</w:t>
            </w:r>
          </w:p>
        </w:tc>
        <w:tc>
          <w:tcPr>
            <w:tcW w:w="80" w:type="dxa"/>
            <w:vAlign w:val="bottom"/>
            <w:tcBorders>
              <w:top w:val="single" w:sz="8" w:color="auto"/>
              <w:bottom w:val="single" w:sz="8" w:color="auto"/>
            </w:tcBorders>
            <w:gridSpan w:val="4"/>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8"/>
              </w:rPr>
              <w:t>(2,720,891)</w:t>
            </w:r>
          </w:p>
        </w:tc>
        <w:tc>
          <w:tcPr>
            <w:tcW w:w="20" w:type="dxa"/>
            <w:vAlign w:val="bottom"/>
            <w:tcBorders>
              <w:top w:val="single" w:sz="8" w:color="E6E6E6"/>
              <w:bottom w:val="single" w:sz="8" w:color="E6E6E6"/>
            </w:tcBorders>
          </w:tcPr>
          <w:p>
            <w:pPr>
              <w:spacing w:after="0"/>
              <w:rPr>
                <w:sz w:val="20"/>
                <w:szCs w:val="20"/>
                <w:color w:val="auto"/>
              </w:rPr>
            </w:pPr>
          </w:p>
        </w:tc>
        <w:tc>
          <w:tcPr>
            <w:tcW w:w="40" w:type="dxa"/>
            <w:vAlign w:val="bottom"/>
            <w:tcBorders>
              <w:top w:val="single" w:sz="8" w:color="E6E6E6"/>
              <w:bottom w:val="single" w:sz="8" w:color="E6E6E6"/>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8"/>
              </w:rPr>
              <w:t>(2,811,998)</w:t>
            </w:r>
          </w:p>
        </w:tc>
        <w:tc>
          <w:tcPr>
            <w:tcW w:w="20" w:type="dxa"/>
            <w:vAlign w:val="bottom"/>
            <w:tcBorders>
              <w:top w:val="single" w:sz="8" w:color="E6E6E6"/>
              <w:bottom w:val="single" w:sz="8" w:color="auto"/>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6"/>
              </w:rPr>
              <w:t>(1,316,032)</w:t>
            </w:r>
          </w:p>
        </w:tc>
        <w:tc>
          <w:tcPr>
            <w:tcW w:w="0" w:type="dxa"/>
            <w:vAlign w:val="bottom"/>
          </w:tcPr>
          <w:p>
            <w:pPr>
              <w:spacing w:after="0"/>
              <w:rPr>
                <w:sz w:val="1"/>
                <w:szCs w:val="1"/>
                <w:color w:val="auto"/>
              </w:rPr>
            </w:pPr>
          </w:p>
        </w:tc>
      </w:tr>
      <w:tr>
        <w:trPr>
          <w:trHeight w:val="273"/>
        </w:trPr>
        <w:tc>
          <w:tcPr>
            <w:tcW w:w="730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19"/>
                <w:szCs w:val="19"/>
                <w:color w:val="auto"/>
              </w:rPr>
              <w:t>Accretion of redeemable convertible preferred stock (related party)</w:t>
            </w:r>
          </w:p>
        </w:tc>
        <w:tc>
          <w:tcPr>
            <w:tcW w:w="100" w:type="dxa"/>
            <w:vAlign w:val="bottom"/>
            <w:tcBorders>
              <w:bottom w:val="single" w:sz="8" w:color="auto"/>
            </w:tcBorders>
            <w:gridSpan w:val="5"/>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(347,610)</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ind w:left="60"/>
              <w:spacing w:after="0" w:line="216" w:lineRule="exact"/>
              <w:rPr>
                <w:sz w:val="20"/>
                <w:szCs w:val="20"/>
                <w:color w:val="auto"/>
              </w:rPr>
            </w:pPr>
            <w:r>
              <w:rPr>
                <w:rFonts w:ascii="Arial" w:cs="Arial" w:eastAsia="Arial" w:hAnsi="Arial"/>
                <w:sz w:val="19"/>
                <w:szCs w:val="19"/>
                <w:b w:val="1"/>
                <w:bCs w:val="1"/>
                <w:color w:val="auto"/>
              </w:rPr>
              <w:t>Comprehensive loss attributable to common stockholders</w:t>
            </w:r>
          </w:p>
        </w:tc>
        <w:tc>
          <w:tcPr>
            <w:tcW w:w="100" w:type="dxa"/>
            <w:vAlign w:val="bottom"/>
            <w:gridSpan w:val="5"/>
          </w:tcPr>
          <w:p>
            <w:pPr>
              <w:spacing w:after="0"/>
              <w:rPr>
                <w:sz w:val="18"/>
                <w:szCs w:val="18"/>
                <w:color w:val="auto"/>
              </w:rPr>
            </w:pPr>
          </w:p>
        </w:tc>
        <w:tc>
          <w:tcPr>
            <w:tcW w:w="120" w:type="dxa"/>
            <w:vAlign w:val="bottom"/>
          </w:tcPr>
          <w:p>
            <w:pPr>
              <w:spacing w:after="0" w:line="216" w:lineRule="exact"/>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w w:val="98"/>
              </w:rPr>
              <w:t>(3,068,501)</w:t>
            </w:r>
          </w:p>
        </w:tc>
        <w:tc>
          <w:tcPr>
            <w:tcW w:w="20" w:type="dxa"/>
            <w:vAlign w:val="bottom"/>
          </w:tcPr>
          <w:p>
            <w:pPr>
              <w:spacing w:after="0"/>
              <w:rPr>
                <w:sz w:val="18"/>
                <w:szCs w:val="18"/>
                <w:color w:val="auto"/>
              </w:rPr>
            </w:pPr>
          </w:p>
        </w:tc>
        <w:tc>
          <w:tcPr>
            <w:tcW w:w="28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w w:val="98"/>
              </w:rPr>
              <w:t>(2,811,998)</w:t>
            </w:r>
          </w:p>
        </w:tc>
        <w:tc>
          <w:tcPr>
            <w:tcW w:w="20" w:type="dxa"/>
            <w:vAlign w:val="bottom"/>
          </w:tcPr>
          <w:p>
            <w:pPr>
              <w:spacing w:after="0"/>
              <w:rPr>
                <w:sz w:val="18"/>
                <w:szCs w:val="18"/>
                <w:color w:val="auto"/>
              </w:rPr>
            </w:pPr>
          </w:p>
        </w:tc>
        <w:tc>
          <w:tcPr>
            <w:tcW w:w="280" w:type="dxa"/>
            <w:vAlign w:val="bottom"/>
            <w:gridSpan w:val="2"/>
          </w:tcPr>
          <w:p>
            <w:pPr>
              <w:ind w:left="80"/>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w w:val="96"/>
              </w:rPr>
              <w:t>(1,316,032)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-7661275</wp:posOffset>
            </wp:positionV>
            <wp:extent cx="24320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4">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-6334760</wp:posOffset>
            </wp:positionV>
            <wp:extent cx="24320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5">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-6160770</wp:posOffset>
            </wp:positionV>
            <wp:extent cx="24320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6">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-4202430</wp:posOffset>
            </wp:positionV>
            <wp:extent cx="24320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7">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-4029075</wp:posOffset>
            </wp:positionV>
            <wp:extent cx="24320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8">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-3681095</wp:posOffset>
            </wp:positionV>
            <wp:extent cx="24320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9">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-3333115</wp:posOffset>
            </wp:positionV>
            <wp:extent cx="24320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0">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-3171825</wp:posOffset>
            </wp:positionV>
            <wp:extent cx="243205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1">
                      <a:extLst>
                        <a:ext uri="{28A0092B-C50C-407E-A947-70E740481C1C}"/>
                      </a:extLst>
                    </a:blip>
                    <a:srcRect/>
                    <a:stretch>
                      <a:fillRect/>
                    </a:stretch>
                  </pic:blipFill>
                  <pic:spPr bwMode="auto">
                    <a:xfrm>
                      <a:off x="0" y="0"/>
                      <a:ext cx="2432050" cy="4953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-2985770</wp:posOffset>
            </wp:positionV>
            <wp:extent cx="24320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2">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-2823845</wp:posOffset>
            </wp:positionV>
            <wp:extent cx="2432050"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3">
                      <a:extLst>
                        <a:ext uri="{28A0092B-C50C-407E-A947-70E740481C1C}"/>
                      </a:extLst>
                    </a:blip>
                    <a:srcRect/>
                    <a:stretch>
                      <a:fillRect/>
                    </a:stretch>
                  </pic:blipFill>
                  <pic:spPr bwMode="auto">
                    <a:xfrm>
                      <a:off x="0" y="0"/>
                      <a:ext cx="2432050" cy="4953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-725805</wp:posOffset>
            </wp:positionV>
            <wp:extent cx="24320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14">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-551815</wp:posOffset>
            </wp:positionV>
            <wp:extent cx="24320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5">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-377825</wp:posOffset>
            </wp:positionV>
            <wp:extent cx="24320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6">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-204470</wp:posOffset>
            </wp:positionV>
            <wp:extent cx="24320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7">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5426710</wp:posOffset>
            </wp:positionH>
            <wp:positionV relativeFrom="paragraph">
              <wp:posOffset>-42545</wp:posOffset>
            </wp:positionV>
            <wp:extent cx="1617345"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18">
                      <a:extLst>
                        <a:ext uri="{28A0092B-C50C-407E-A947-70E740481C1C}"/>
                      </a:extLst>
                    </a:blip>
                    <a:srcRect/>
                    <a:stretch>
                      <a:fillRect/>
                    </a:stretch>
                  </pic:blipFill>
                  <pic:spPr bwMode="auto">
                    <a:xfrm>
                      <a:off x="0" y="0"/>
                      <a:ext cx="1617345" cy="4953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11080"/>
          </w:cols>
          <w:pgMar w:left="400" w:top="756" w:right="400" w:bottom="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1080"/>
          </w:cols>
          <w:pgMar w:left="400" w:top="756" w:right="400" w:bottom="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9"/>
          <w:szCs w:val="19"/>
          <w:b w:val="1"/>
          <w:bCs w:val="1"/>
          <w:color w:val="auto"/>
        </w:rPr>
        <w:t>LUCID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6"/>
          </w:tcPr>
          <w:p>
            <w:pPr>
              <w:jc w:val="right"/>
              <w:ind w:right="14"/>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7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5"/>
        </w:trPr>
        <w:tc>
          <w:tcPr>
            <w:tcW w:w="7260" w:type="dxa"/>
            <w:vAlign w:val="bottom"/>
            <w:tcBorders>
              <w:bottom w:val="single" w:sz="8" w:color="E6E6E6"/>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260" w:type="dxa"/>
            <w:vAlign w:val="bottom"/>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(2,713,942)</w:t>
            </w:r>
          </w:p>
        </w:tc>
        <w:tc>
          <w:tcPr>
            <w:tcW w:w="3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(2,828,420)</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(1,304,460)</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295,337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233,531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186,583</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Amortization of insurance premium</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33,330</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39,507</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35,620</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Non-cash operating lease cost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30,765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26,201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19,711</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Stock-based compensation</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285,872</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257,283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423,500</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Inventory and firm purchase commitments write-downs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590,198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906,069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569,479</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Change in fair value of common stock warrant liability</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(34,150)</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(86,926)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(1,254,218)</w:t>
            </w: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Change in fair value of equity securities of a related party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43,057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(5,999)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7260" w:type="dxa"/>
            <w:vAlign w:val="bottom"/>
            <w:shd w:val="clear" w:color="auto" w:fill="E6E6E6"/>
          </w:tcPr>
          <w:p>
            <w:pPr>
              <w:ind w:left="220"/>
              <w:spacing w:after="0" w:line="186" w:lineRule="exact"/>
              <w:rPr>
                <w:sz w:val="20"/>
                <w:szCs w:val="20"/>
                <w:color w:val="auto"/>
              </w:rPr>
            </w:pPr>
            <w:r>
              <w:rPr>
                <w:rFonts w:ascii="Arial" w:cs="Arial" w:eastAsia="Arial" w:hAnsi="Arial"/>
                <w:sz w:val="17"/>
                <w:szCs w:val="17"/>
                <w:color w:val="auto"/>
                <w:w w:val="95"/>
              </w:rPr>
              <w:t>Change in fair value of derivative liabilities associated with redeemable convertible preferred stock</w:t>
            </w: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(155,350)</w:t>
            </w: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(related party)</w:t>
            </w:r>
          </w:p>
        </w:tc>
        <w:tc>
          <w:tcPr>
            <w:tcW w:w="260" w:type="dxa"/>
            <w:vAlign w:val="bottom"/>
            <w:shd w:val="clear" w:color="auto" w:fill="E6E6E6"/>
          </w:tcPr>
          <w:p>
            <w:pPr>
              <w:spacing w:after="0"/>
              <w:rPr>
                <w:sz w:val="20"/>
                <w:szCs w:val="20"/>
                <w:color w:val="auto"/>
              </w:rPr>
            </w:pPr>
          </w:p>
        </w:tc>
        <w:tc>
          <w:tcPr>
            <w:tcW w:w="96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4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Net accretion of investment discounts/premiums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(76,739)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(105,432)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(20,695)</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Other non-cash items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5,983</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34,205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10,353</w:t>
            </w:r>
          </w:p>
        </w:tc>
        <w:tc>
          <w:tcPr>
            <w:tcW w:w="0" w:type="dxa"/>
            <w:vAlign w:val="bottom"/>
          </w:tcPr>
          <w:p>
            <w:pPr>
              <w:spacing w:after="0"/>
              <w:rPr>
                <w:sz w:val="1"/>
                <w:szCs w:val="1"/>
                <w:color w:val="auto"/>
              </w:rPr>
            </w:pPr>
          </w:p>
        </w:tc>
      </w:tr>
      <w:tr>
        <w:trPr>
          <w:trHeight w:val="266"/>
        </w:trPr>
        <w:tc>
          <w:tcPr>
            <w:tcW w:w="7260" w:type="dxa"/>
            <w:vAlign w:val="bottom"/>
          </w:tcPr>
          <w:p>
            <w:pPr>
              <w:ind w:left="4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7260" w:type="dxa"/>
            <w:vAlign w:val="bottom"/>
            <w:shd w:val="clear" w:color="auto" w:fill="E6E6E6"/>
          </w:tcPr>
          <w:p>
            <w:pPr>
              <w:ind w:left="220"/>
              <w:spacing w:after="0" w:line="185" w:lineRule="exact"/>
              <w:rPr>
                <w:sz w:val="20"/>
                <w:szCs w:val="20"/>
                <w:color w:val="auto"/>
              </w:rPr>
            </w:pPr>
            <w:r>
              <w:rPr>
                <w:rFonts w:ascii="Arial" w:cs="Arial" w:eastAsia="Arial" w:hAnsi="Arial"/>
                <w:sz w:val="17"/>
                <w:szCs w:val="17"/>
                <w:color w:val="auto"/>
                <w:w w:val="93"/>
              </w:rPr>
              <w:t>Accounts receivable (including $(22,383), $(35,526), and nil from a related party for the years ended</w:t>
            </w: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(61,279)</w:t>
            </w: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(32,509)</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(16,498)</w:t>
            </w:r>
          </w:p>
        </w:tc>
        <w:tc>
          <w:tcPr>
            <w:tcW w:w="0" w:type="dxa"/>
            <w:vAlign w:val="bottom"/>
          </w:tcPr>
          <w:p>
            <w:pPr>
              <w:spacing w:after="0"/>
              <w:rPr>
                <w:sz w:val="1"/>
                <w:szCs w:val="1"/>
                <w:color w:val="auto"/>
              </w:rPr>
            </w:pPr>
          </w:p>
        </w:tc>
      </w:tr>
      <w:tr>
        <w:trPr>
          <w:trHeight w:val="240"/>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December 31, 2024, 2023, and 2022, respectively)</w:t>
            </w:r>
          </w:p>
        </w:tc>
        <w:tc>
          <w:tcPr>
            <w:tcW w:w="260" w:type="dxa"/>
            <w:vAlign w:val="bottom"/>
            <w:shd w:val="clear" w:color="auto" w:fill="E6E6E6"/>
          </w:tcPr>
          <w:p>
            <w:pPr>
              <w:spacing w:after="0"/>
              <w:rPr>
                <w:sz w:val="20"/>
                <w:szCs w:val="20"/>
                <w:color w:val="auto"/>
              </w:rPr>
            </w:pPr>
          </w:p>
        </w:tc>
        <w:tc>
          <w:tcPr>
            <w:tcW w:w="96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4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(334,242)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(658,010)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(1,256,349)</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Prepaid expenses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(16,675)</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(45,641)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(28,822)</w:t>
            </w: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(141,110)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4,758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(43,591)</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Other noncurrent assets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(62,759)</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(121,790)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(43,230)</w:t>
            </w: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34,756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(139,519)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180,469</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Other current liabilities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131,627</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(42,508)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284,862</w:t>
            </w:r>
          </w:p>
        </w:tc>
        <w:tc>
          <w:tcPr>
            <w:tcW w:w="0" w:type="dxa"/>
            <w:vAlign w:val="bottom"/>
          </w:tcPr>
          <w:p>
            <w:pPr>
              <w:spacing w:after="0"/>
              <w:rPr>
                <w:sz w:val="1"/>
                <w:szCs w:val="1"/>
                <w:color w:val="auto"/>
              </w:rPr>
            </w:pPr>
          </w:p>
        </w:tc>
      </w:tr>
      <w:tr>
        <w:trPr>
          <w:trHeight w:val="178"/>
        </w:trPr>
        <w:tc>
          <w:tcPr>
            <w:tcW w:w="7260" w:type="dxa"/>
            <w:vAlign w:val="bottom"/>
          </w:tcPr>
          <w:p>
            <w:pPr>
              <w:ind w:left="220"/>
              <w:spacing w:after="0" w:line="178" w:lineRule="exact"/>
              <w:rPr>
                <w:sz w:val="20"/>
                <w:szCs w:val="20"/>
                <w:color w:val="auto"/>
              </w:rPr>
            </w:pPr>
            <w:r>
              <w:rPr>
                <w:rFonts w:ascii="Arial" w:cs="Arial" w:eastAsia="Arial" w:hAnsi="Arial"/>
                <w:sz w:val="17"/>
                <w:szCs w:val="17"/>
                <w:color w:val="auto"/>
                <w:w w:val="97"/>
              </w:rPr>
              <w:t>Other long-term liabilities (including $4,900, $107,763, and nil associated with a related party for</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125,647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75,447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31,028</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E6E6E6"/>
            </w:tcBorders>
          </w:tcPr>
          <w:p>
            <w:pPr>
              <w:ind w:left="220"/>
              <w:spacing w:after="0"/>
              <w:rPr>
                <w:sz w:val="20"/>
                <w:szCs w:val="20"/>
                <w:color w:val="auto"/>
              </w:rPr>
            </w:pPr>
            <w:r>
              <w:rPr>
                <w:rFonts w:ascii="Arial" w:cs="Arial" w:eastAsia="Arial" w:hAnsi="Arial"/>
                <w:sz w:val="17"/>
                <w:szCs w:val="17"/>
                <w:color w:val="auto"/>
              </w:rPr>
              <w:t>the years ended December 31, 2024, 2023, and 2022, respectively)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26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Net cash used in operating activities</w:t>
            </w:r>
          </w:p>
        </w:tc>
        <w:tc>
          <w:tcPr>
            <w:tcW w:w="26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(2,019,674)</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(2,489,753)</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(2,226,258)</w:t>
            </w:r>
          </w:p>
        </w:tc>
        <w:tc>
          <w:tcPr>
            <w:tcW w:w="0" w:type="dxa"/>
            <w:vAlign w:val="bottom"/>
          </w:tcPr>
          <w:p>
            <w:pPr>
              <w:spacing w:after="0"/>
              <w:rPr>
                <w:sz w:val="1"/>
                <w:szCs w:val="1"/>
                <w:color w:val="auto"/>
              </w:rPr>
            </w:pPr>
          </w:p>
        </w:tc>
      </w:tr>
      <w:tr>
        <w:trPr>
          <w:trHeight w:val="239"/>
        </w:trPr>
        <w:tc>
          <w:tcPr>
            <w:tcW w:w="726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E6E6E6"/>
          </w:tcPr>
          <w:p>
            <w:pPr>
              <w:ind w:left="220"/>
              <w:spacing w:after="0" w:line="185" w:lineRule="exact"/>
              <w:rPr>
                <w:sz w:val="20"/>
                <w:szCs w:val="20"/>
                <w:color w:val="auto"/>
              </w:rPr>
            </w:pPr>
            <w:r>
              <w:rPr>
                <w:rFonts w:ascii="Arial" w:cs="Arial" w:eastAsia="Arial" w:hAnsi="Arial"/>
                <w:sz w:val="17"/>
                <w:szCs w:val="17"/>
                <w:color w:val="auto"/>
                <w:w w:val="94"/>
              </w:rPr>
              <w:t>Purchases of property, plant and equipment (including $(164,683), $(80,511), and $(18,834) from a</w:t>
            </w:r>
          </w:p>
        </w:tc>
        <w:tc>
          <w:tcPr>
            <w:tcW w:w="260" w:type="dxa"/>
            <w:vAlign w:val="bottom"/>
            <w:shd w:val="clear" w:color="auto" w:fill="E6E6E6"/>
          </w:tcPr>
          <w:p>
            <w:pPr>
              <w:spacing w:after="0"/>
              <w:rPr>
                <w:sz w:val="16"/>
                <w:szCs w:val="16"/>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(883,841)</w:t>
            </w: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(910,644)</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(1,074,852)</w:t>
            </w:r>
          </w:p>
        </w:tc>
        <w:tc>
          <w:tcPr>
            <w:tcW w:w="0" w:type="dxa"/>
            <w:vAlign w:val="bottom"/>
          </w:tcPr>
          <w:p>
            <w:pPr>
              <w:spacing w:after="0"/>
              <w:rPr>
                <w:sz w:val="1"/>
                <w:szCs w:val="1"/>
                <w:color w:val="auto"/>
              </w:rPr>
            </w:pPr>
          </w:p>
        </w:tc>
      </w:tr>
      <w:tr>
        <w:trPr>
          <w:trHeight w:val="240"/>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related party for the years ended December 31, 2024, 2023, and 2022, respectively)</w:t>
            </w:r>
          </w:p>
        </w:tc>
        <w:tc>
          <w:tcPr>
            <w:tcW w:w="260" w:type="dxa"/>
            <w:vAlign w:val="bottom"/>
            <w:shd w:val="clear" w:color="auto" w:fill="E6E6E6"/>
          </w:tcPr>
          <w:p>
            <w:pPr>
              <w:spacing w:after="0"/>
              <w:rPr>
                <w:sz w:val="20"/>
                <w:szCs w:val="20"/>
                <w:color w:val="auto"/>
              </w:rPr>
            </w:pPr>
          </w:p>
        </w:tc>
        <w:tc>
          <w:tcPr>
            <w:tcW w:w="96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4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260" w:type="dxa"/>
            <w:vAlign w:val="bottom"/>
          </w:tcPr>
          <w:p>
            <w:pPr>
              <w:ind w:left="220"/>
              <w:spacing w:after="0" w:line="178" w:lineRule="exact"/>
              <w:rPr>
                <w:sz w:val="20"/>
                <w:szCs w:val="20"/>
                <w:color w:val="auto"/>
              </w:rPr>
            </w:pPr>
            <w:r>
              <w:rPr>
                <w:rFonts w:ascii="Arial" w:cs="Arial" w:eastAsia="Arial" w:hAnsi="Arial"/>
                <w:sz w:val="17"/>
                <w:szCs w:val="17"/>
                <w:color w:val="auto"/>
                <w:w w:val="95"/>
              </w:rPr>
              <w:t>Purchases of investments (including $(35,000), nil, and nil from a related party for the years ended</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(4,622,890)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(3,998,282)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(3,854,129)</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7"/>
                <w:szCs w:val="17"/>
                <w:color w:val="auto"/>
              </w:rPr>
              <w:t>December 31, 2024, 2023, and 2022, respectively)</w:t>
            </w: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Proceeds from maturities of investments</w:t>
            </w:r>
          </w:p>
        </w:tc>
        <w:tc>
          <w:tcPr>
            <w:tcW w:w="2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4,112,084</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3,720,890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1,149,714</w:t>
            </w: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Proceeds from sale of 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100,193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148,388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Proceeds from government grant</w:t>
            </w:r>
          </w:p>
        </w:tc>
        <w:tc>
          <w:tcPr>
            <w:tcW w:w="26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97,500</w:t>
            </w: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97,267</w:t>
            </w:r>
          </w:p>
        </w:tc>
        <w:tc>
          <w:tcPr>
            <w:tcW w:w="0" w:type="dxa"/>
            <w:vAlign w:val="bottom"/>
          </w:tcPr>
          <w:p>
            <w:pPr>
              <w:spacing w:after="0"/>
              <w:rPr>
                <w:sz w:val="1"/>
                <w:szCs w:val="1"/>
                <w:color w:val="auto"/>
              </w:rPr>
            </w:pPr>
          </w:p>
        </w:tc>
      </w:tr>
      <w:tr>
        <w:trPr>
          <w:trHeight w:val="263"/>
        </w:trPr>
        <w:tc>
          <w:tcPr>
            <w:tcW w:w="7260" w:type="dxa"/>
            <w:vAlign w:val="bottom"/>
            <w:tcBorders>
              <w:bottom w:val="single" w:sz="8" w:color="E6E6E6"/>
            </w:tcBorders>
          </w:tcPr>
          <w:p>
            <w:pPr>
              <w:ind w:left="220"/>
              <w:spacing w:after="0"/>
              <w:rPr>
                <w:sz w:val="20"/>
                <w:szCs w:val="20"/>
                <w:color w:val="auto"/>
              </w:rPr>
            </w:pPr>
            <w:r>
              <w:rPr>
                <w:rFonts w:ascii="Arial" w:cs="Arial" w:eastAsia="Arial" w:hAnsi="Arial"/>
                <w:sz w:val="17"/>
                <w:szCs w:val="17"/>
                <w:color w:val="auto"/>
              </w:rPr>
              <w:t>Other investing activities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(4,827)</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54"/>
        </w:trPr>
        <w:tc>
          <w:tcPr>
            <w:tcW w:w="726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auto"/>
            </w:tcBorders>
            <w:shd w:val="clear" w:color="auto" w:fill="E6E6E6"/>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(1,294,454)</w:t>
            </w:r>
          </w:p>
        </w:tc>
        <w:tc>
          <w:tcPr>
            <w:tcW w:w="6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(946,975)</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(3,681,677)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-5846445</wp:posOffset>
            </wp:positionV>
            <wp:extent cx="24320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9">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-1747520</wp:posOffset>
            </wp:positionV>
            <wp:extent cx="24320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0">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-1573530</wp:posOffset>
            </wp:positionV>
            <wp:extent cx="24320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1">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-191770</wp:posOffset>
            </wp:positionV>
            <wp:extent cx="24320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2">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-18415</wp:posOffset>
            </wp:positionV>
            <wp:extent cx="24320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3">
                      <a:extLst>
                        <a:ext uri="{28A0092B-C50C-407E-A947-70E740481C1C}"/>
                      </a:extLst>
                    </a:blip>
                    <a:srcRect/>
                    <a:stretch>
                      <a:fillRect/>
                    </a:stretch>
                  </pic:blipFill>
                  <pic:spPr bwMode="auto">
                    <a:xfrm>
                      <a:off x="0" y="0"/>
                      <a:ext cx="243205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11040"/>
          </w:cols>
          <w:pgMar w:left="420" w:top="756" w:right="420" w:bottom="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1040"/>
          </w:cols>
          <w:pgMar w:left="420" w:top="756" w:right="420" w:bottom="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19"/>
          <w:szCs w:val="19"/>
          <w:b w:val="1"/>
          <w:bCs w:val="1"/>
          <w:color w:val="auto"/>
        </w:rPr>
        <w:t>LUCID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6"/>
          </w:tcPr>
          <w:p>
            <w:pPr>
              <w:jc w:val="right"/>
              <w:ind w:right="100"/>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7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5"/>
        </w:trPr>
        <w:tc>
          <w:tcPr>
            <w:tcW w:w="7260" w:type="dxa"/>
            <w:vAlign w:val="bottom"/>
            <w:tcBorders>
              <w:bottom w:val="single" w:sz="8" w:color="E6E6E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Borders>
              <w:bottom w:val="single" w:sz="8" w:color="E6E6E6"/>
            </w:tcBorders>
            <w:shd w:val="clear" w:color="auto" w:fill="E6E6E6"/>
          </w:tcPr>
          <w:p>
            <w:pPr>
              <w:spacing w:after="0"/>
              <w:rPr>
                <w:sz w:val="21"/>
                <w:szCs w:val="21"/>
                <w:color w:val="auto"/>
              </w:rPr>
            </w:pPr>
          </w:p>
        </w:tc>
        <w:tc>
          <w:tcPr>
            <w:tcW w:w="92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92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9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60" w:type="dxa"/>
            <w:vAlign w:val="bottom"/>
          </w:tcPr>
          <w:p>
            <w:pPr>
              <w:ind w:left="220"/>
              <w:spacing w:after="0"/>
              <w:rPr>
                <w:sz w:val="20"/>
                <w:szCs w:val="20"/>
                <w:color w:val="auto"/>
              </w:rPr>
            </w:pPr>
            <w:r>
              <w:rPr>
                <w:rFonts w:ascii="Arial" w:cs="Arial" w:eastAsia="Arial" w:hAnsi="Arial"/>
                <w:sz w:val="17"/>
                <w:szCs w:val="17"/>
                <w:color w:val="auto"/>
                <w:w w:val="92"/>
              </w:rPr>
              <w:t>Proceeds from issuance of common stock under 2024 Underwriting Agreement, net of issuance costs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718,357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7260" w:type="dxa"/>
            <w:vAlign w:val="bottom"/>
            <w:shd w:val="clear" w:color="auto" w:fill="E6E6E6"/>
          </w:tcPr>
          <w:p>
            <w:pPr>
              <w:ind w:left="220"/>
              <w:spacing w:after="0" w:line="186" w:lineRule="exact"/>
              <w:rPr>
                <w:sz w:val="20"/>
                <w:szCs w:val="20"/>
                <w:color w:val="auto"/>
              </w:rPr>
            </w:pPr>
            <w:r>
              <w:rPr>
                <w:rFonts w:ascii="Arial" w:cs="Arial" w:eastAsia="Arial" w:hAnsi="Arial"/>
                <w:sz w:val="17"/>
                <w:szCs w:val="17"/>
                <w:color w:val="auto"/>
                <w:w w:val="92"/>
              </w:rPr>
              <w:t>Proceeds from issuance of common stock under 2024 Subscription Agreement to a related party, net</w:t>
            </w: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1,025,660</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of issuance costs</w:t>
            </w: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60" w:type="dxa"/>
            <w:vAlign w:val="bottom"/>
          </w:tcPr>
          <w:p>
            <w:pPr>
              <w:ind w:left="220"/>
              <w:spacing w:after="0"/>
              <w:rPr>
                <w:sz w:val="20"/>
                <w:szCs w:val="20"/>
                <w:color w:val="auto"/>
              </w:rPr>
            </w:pPr>
            <w:r>
              <w:rPr>
                <w:rFonts w:ascii="Arial" w:cs="Arial" w:eastAsia="Arial" w:hAnsi="Arial"/>
                <w:sz w:val="17"/>
                <w:szCs w:val="17"/>
                <w:color w:val="auto"/>
                <w:w w:val="92"/>
              </w:rPr>
              <w:t>Proceeds from issuance of common stock under 2023 Underwriting Agreement, net of issuance costs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1,184,224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7260" w:type="dxa"/>
            <w:vAlign w:val="bottom"/>
            <w:shd w:val="clear" w:color="auto" w:fill="E6E6E6"/>
          </w:tcPr>
          <w:p>
            <w:pPr>
              <w:ind w:left="220"/>
              <w:spacing w:after="0" w:line="186" w:lineRule="exact"/>
              <w:rPr>
                <w:sz w:val="20"/>
                <w:szCs w:val="20"/>
                <w:color w:val="auto"/>
              </w:rPr>
            </w:pPr>
            <w:r>
              <w:rPr>
                <w:rFonts w:ascii="Arial" w:cs="Arial" w:eastAsia="Arial" w:hAnsi="Arial"/>
                <w:sz w:val="17"/>
                <w:szCs w:val="17"/>
                <w:color w:val="auto"/>
                <w:w w:val="92"/>
              </w:rPr>
              <w:t>Proceeds from issuance of common stock under 2023 Subscription Agreement to a related party, net</w:t>
            </w: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1,812,641</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of issuance costs</w:t>
            </w: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2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w w:val="99"/>
              </w:rPr>
              <w:t>Proceeds from issuance of common stock under At-the-Market Offering, net of issuance costs</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594,317</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w w:val="96"/>
              </w:rPr>
              <w:t>Proceeds from issuance of common stock under 2022 Subscription Agreement to a related party</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915,000</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w w:val="99"/>
              </w:rPr>
              <w:t>Proceeds from issuance of Series A redeemable convertible preferred stock to a related party</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w w:val="99"/>
              </w:rPr>
              <w:t>Proceeds from issuance of Series B redeemable convertible preferred stock to a related party</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750,000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Payments of issuance costs for Series A redeemable convertible preferred stock</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Payments of issuance costs for Series B redeemable convertible preferred stock</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(641)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9"/>
        </w:trPr>
        <w:tc>
          <w:tcPr>
            <w:tcW w:w="7260" w:type="dxa"/>
            <w:vAlign w:val="bottom"/>
          </w:tcPr>
          <w:p>
            <w:pPr>
              <w:ind w:left="220"/>
              <w:spacing w:after="0" w:line="179" w:lineRule="exact"/>
              <w:rPr>
                <w:sz w:val="20"/>
                <w:szCs w:val="20"/>
                <w:color w:val="auto"/>
              </w:rPr>
            </w:pPr>
            <w:r>
              <w:rPr>
                <w:rFonts w:ascii="Arial" w:cs="Arial" w:eastAsia="Arial" w:hAnsi="Arial"/>
                <w:sz w:val="17"/>
                <w:szCs w:val="17"/>
                <w:color w:val="auto"/>
                <w:w w:val="97"/>
              </w:rPr>
              <w:t>Payment for credit facility issuance costs (including $(5,625), nil, and nil to a related party for the</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(6,244)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(6,631)</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7"/>
                <w:szCs w:val="17"/>
                <w:color w:val="auto"/>
              </w:rPr>
              <w:t>years ended December 31, 2024, 2023, and 2022, respectively)</w:t>
            </w:r>
          </w:p>
        </w:tc>
        <w:tc>
          <w:tcPr>
            <w:tcW w:w="3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Payment for short-term insurance financing note</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(15,330)</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Payment for finance lease liabilities</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(5,425)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(4,977)</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Proceeds from borrowings from a related party</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79,844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62,911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29,818</w:t>
            </w:r>
          </w:p>
        </w:tc>
        <w:tc>
          <w:tcPr>
            <w:tcW w:w="0" w:type="dxa"/>
            <w:vAlign w:val="bottom"/>
          </w:tcPr>
          <w:p>
            <w:pPr>
              <w:spacing w:after="0"/>
              <w:rPr>
                <w:sz w:val="1"/>
                <w:szCs w:val="1"/>
                <w:color w:val="auto"/>
              </w:rPr>
            </w:pPr>
          </w:p>
        </w:tc>
      </w:tr>
      <w:tr>
        <w:trPr>
          <w:trHeight w:val="267"/>
        </w:trPr>
        <w:tc>
          <w:tcPr>
            <w:tcW w:w="7260" w:type="dxa"/>
            <w:vAlign w:val="bottom"/>
          </w:tcPr>
          <w:p>
            <w:pPr>
              <w:ind w:left="220"/>
              <w:spacing w:after="0"/>
              <w:rPr>
                <w:sz w:val="20"/>
                <w:szCs w:val="20"/>
                <w:color w:val="auto"/>
              </w:rPr>
            </w:pPr>
            <w:r>
              <w:rPr>
                <w:rFonts w:ascii="Arial" w:cs="Arial" w:eastAsia="Arial" w:hAnsi="Arial"/>
                <w:sz w:val="17"/>
                <w:szCs w:val="17"/>
                <w:color w:val="auto"/>
              </w:rPr>
              <w:t>Repayment of borrowings to a related party</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(25,856)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(20,223)</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Proceeds from failed sale-leaseback transaction</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31,700</w:t>
            </w:r>
          </w:p>
        </w:tc>
        <w:tc>
          <w:tcPr>
            <w:tcW w:w="0" w:type="dxa"/>
            <w:vAlign w:val="bottom"/>
          </w:tcPr>
          <w:p>
            <w:pPr>
              <w:spacing w:after="0"/>
              <w:rPr>
                <w:sz w:val="1"/>
                <w:szCs w:val="1"/>
                <w:color w:val="auto"/>
              </w:rPr>
            </w:pPr>
          </w:p>
        </w:tc>
      </w:tr>
      <w:tr>
        <w:trPr>
          <w:trHeight w:val="266"/>
        </w:trPr>
        <w:tc>
          <w:tcPr>
            <w:tcW w:w="7260" w:type="dxa"/>
            <w:vAlign w:val="bottom"/>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4,883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10,343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17,788</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220"/>
              <w:spacing w:after="0"/>
              <w:rPr>
                <w:sz w:val="20"/>
                <w:szCs w:val="20"/>
                <w:color w:val="auto"/>
              </w:rPr>
            </w:pPr>
            <w:r>
              <w:rPr>
                <w:rFonts w:ascii="Arial" w:cs="Arial" w:eastAsia="Arial" w:hAnsi="Arial"/>
                <w:sz w:val="17"/>
                <w:szCs w:val="17"/>
                <w:color w:val="auto"/>
              </w:rPr>
              <w:t>Proceeds from employee stock purchase plan</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19,208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23,836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24,562</w:t>
            </w:r>
          </w:p>
        </w:tc>
        <w:tc>
          <w:tcPr>
            <w:tcW w:w="0" w:type="dxa"/>
            <w:vAlign w:val="bottom"/>
          </w:tcPr>
          <w:p>
            <w:pPr>
              <w:spacing w:after="0"/>
              <w:rPr>
                <w:sz w:val="1"/>
                <w:szCs w:val="1"/>
                <w:color w:val="auto"/>
              </w:rPr>
            </w:pPr>
          </w:p>
        </w:tc>
      </w:tr>
      <w:tr>
        <w:trPr>
          <w:trHeight w:val="263"/>
        </w:trPr>
        <w:tc>
          <w:tcPr>
            <w:tcW w:w="7260" w:type="dxa"/>
            <w:vAlign w:val="bottom"/>
            <w:tcBorders>
              <w:bottom w:val="single" w:sz="8" w:color="E6E6E6"/>
            </w:tcBorders>
          </w:tcPr>
          <w:p>
            <w:pPr>
              <w:ind w:left="220"/>
              <w:spacing w:after="0"/>
              <w:rPr>
                <w:sz w:val="20"/>
                <w:szCs w:val="20"/>
                <w:color w:val="auto"/>
              </w:rPr>
            </w:pPr>
            <w:r>
              <w:rPr>
                <w:rFonts w:ascii="Arial" w:cs="Arial" w:eastAsia="Arial" w:hAnsi="Arial"/>
                <w:sz w:val="17"/>
                <w:szCs w:val="17"/>
                <w:color w:val="auto"/>
              </w:rPr>
              <w:t>Tax withholding payments for net settlement of employee awards</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(10,021)</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(218,789)</w:t>
            </w:r>
          </w:p>
        </w:tc>
        <w:tc>
          <w:tcPr>
            <w:tcW w:w="0" w:type="dxa"/>
            <w:vAlign w:val="bottom"/>
          </w:tcPr>
          <w:p>
            <w:pPr>
              <w:spacing w:after="0"/>
              <w:rPr>
                <w:sz w:val="1"/>
                <w:szCs w:val="1"/>
                <w:color w:val="auto"/>
              </w:rPr>
            </w:pPr>
          </w:p>
        </w:tc>
      </w:tr>
      <w:tr>
        <w:trPr>
          <w:trHeight w:val="254"/>
        </w:trPr>
        <w:tc>
          <w:tcPr>
            <w:tcW w:w="726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3,549,673</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3,070,915</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1,347,235</w:t>
            </w:r>
          </w:p>
        </w:tc>
        <w:tc>
          <w:tcPr>
            <w:tcW w:w="0" w:type="dxa"/>
            <w:vAlign w:val="bottom"/>
          </w:tcPr>
          <w:p>
            <w:pPr>
              <w:spacing w:after="0"/>
              <w:rPr>
                <w:sz w:val="1"/>
                <w:szCs w:val="1"/>
                <w:color w:val="auto"/>
              </w:rPr>
            </w:pPr>
          </w:p>
        </w:tc>
      </w:tr>
      <w:tr>
        <w:trPr>
          <w:trHeight w:val="257"/>
        </w:trPr>
        <w:tc>
          <w:tcPr>
            <w:tcW w:w="7260" w:type="dxa"/>
            <w:vAlign w:val="bottom"/>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235,545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(365,813)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(4,560,700)</w:t>
            </w:r>
          </w:p>
        </w:tc>
        <w:tc>
          <w:tcPr>
            <w:tcW w:w="0" w:type="dxa"/>
            <w:vAlign w:val="bottom"/>
          </w:tcPr>
          <w:p>
            <w:pPr>
              <w:spacing w:after="0"/>
              <w:rPr>
                <w:sz w:val="1"/>
                <w:szCs w:val="1"/>
                <w:color w:val="auto"/>
              </w:rPr>
            </w:pPr>
          </w:p>
        </w:tc>
      </w:tr>
      <w:tr>
        <w:trPr>
          <w:trHeight w:val="271"/>
        </w:trPr>
        <w:tc>
          <w:tcPr>
            <w:tcW w:w="7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Beginning cash, cash equivalents, and restricted cash</w:t>
            </w:r>
          </w:p>
        </w:tc>
        <w:tc>
          <w:tcPr>
            <w:tcW w:w="3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1,371,507</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1,737,320</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6,298,020</w:t>
            </w:r>
          </w:p>
        </w:tc>
        <w:tc>
          <w:tcPr>
            <w:tcW w:w="0" w:type="dxa"/>
            <w:vAlign w:val="bottom"/>
          </w:tcPr>
          <w:p>
            <w:pPr>
              <w:spacing w:after="0"/>
              <w:rPr>
                <w:sz w:val="1"/>
                <w:szCs w:val="1"/>
                <w:color w:val="auto"/>
              </w:rPr>
            </w:pPr>
          </w:p>
        </w:tc>
      </w:tr>
      <w:tr>
        <w:trPr>
          <w:trHeight w:val="273"/>
        </w:trPr>
        <w:tc>
          <w:tcPr>
            <w:tcW w:w="7260" w:type="dxa"/>
            <w:vAlign w:val="bottom"/>
          </w:tcPr>
          <w:p>
            <w:pPr>
              <w:ind w:left="40"/>
              <w:spacing w:after="0"/>
              <w:rPr>
                <w:sz w:val="20"/>
                <w:szCs w:val="20"/>
                <w:color w:val="auto"/>
              </w:rPr>
            </w:pPr>
            <w:r>
              <w:rPr>
                <w:rFonts w:ascii="Arial" w:cs="Arial" w:eastAsia="Arial" w:hAnsi="Arial"/>
                <w:sz w:val="17"/>
                <w:szCs w:val="17"/>
                <w:color w:val="auto"/>
              </w:rPr>
              <w:t>Ending cash, cash equivalents, and restricted cash</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1,607,052</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1,371,507</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1,737,320</w:t>
            </w:r>
          </w:p>
        </w:tc>
        <w:tc>
          <w:tcPr>
            <w:tcW w:w="0" w:type="dxa"/>
            <w:vAlign w:val="bottom"/>
          </w:tcPr>
          <w:p>
            <w:pPr>
              <w:spacing w:after="0"/>
              <w:rPr>
                <w:sz w:val="1"/>
                <w:szCs w:val="1"/>
                <w:color w:val="auto"/>
              </w:rPr>
            </w:pPr>
          </w:p>
        </w:tc>
      </w:tr>
      <w:tr>
        <w:trPr>
          <w:trHeight w:val="245"/>
        </w:trPr>
        <w:tc>
          <w:tcPr>
            <w:tcW w:w="72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26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color w:val="auto"/>
              </w:rPr>
              <w:t>Cash paid for interest, net of amounts capitalized</w:t>
            </w:r>
          </w:p>
        </w:tc>
        <w:tc>
          <w:tcPr>
            <w:tcW w:w="300" w:type="dxa"/>
            <w:vAlign w:val="bottom"/>
            <w:shd w:val="clear" w:color="auto" w:fill="E6E6E6"/>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25,526</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18,182</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23,199</w:t>
            </w:r>
          </w:p>
        </w:tc>
        <w:tc>
          <w:tcPr>
            <w:tcW w:w="0" w:type="dxa"/>
            <w:vAlign w:val="bottom"/>
          </w:tcPr>
          <w:p>
            <w:pPr>
              <w:spacing w:after="0"/>
              <w:rPr>
                <w:sz w:val="1"/>
                <w:szCs w:val="1"/>
                <w:color w:val="auto"/>
              </w:rPr>
            </w:pPr>
          </w:p>
        </w:tc>
      </w:tr>
      <w:tr>
        <w:trPr>
          <w:trHeight w:val="266"/>
        </w:trPr>
        <w:tc>
          <w:tcPr>
            <w:tcW w:w="7260" w:type="dxa"/>
            <w:vAlign w:val="bottom"/>
          </w:tcPr>
          <w:p>
            <w:pPr>
              <w:ind w:left="40"/>
              <w:spacing w:after="0"/>
              <w:rPr>
                <w:sz w:val="20"/>
                <w:szCs w:val="20"/>
                <w:color w:val="auto"/>
              </w:rPr>
            </w:pPr>
            <w:r>
              <w:rPr>
                <w:rFonts w:ascii="Arial" w:cs="Arial" w:eastAsia="Arial" w:hAnsi="Arial"/>
                <w:sz w:val="17"/>
                <w:szCs w:val="17"/>
                <w:color w:val="auto"/>
              </w:rPr>
              <w:t>Cash paid for taxes</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260" w:type="dxa"/>
            <w:vAlign w:val="bottom"/>
          </w:tcPr>
          <w:p>
            <w:pPr>
              <w:ind w:left="40"/>
              <w:spacing w:after="0" w:line="170" w:lineRule="exact"/>
              <w:rPr>
                <w:sz w:val="20"/>
                <w:szCs w:val="20"/>
                <w:color w:val="auto"/>
              </w:rPr>
            </w:pPr>
            <w:r>
              <w:rPr>
                <w:rFonts w:ascii="Arial" w:cs="Arial" w:eastAsia="Arial" w:hAnsi="Arial"/>
                <w:sz w:val="17"/>
                <w:szCs w:val="17"/>
                <w:color w:val="auto"/>
              </w:rPr>
              <w:t>Increases (decrease) in accounts payable and accrued liabilities related to property, plant and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60" w:type="dxa"/>
            <w:vAlign w:val="bottom"/>
          </w:tcPr>
          <w:p>
            <w:pPr>
              <w:ind w:left="40"/>
              <w:spacing w:after="0" w:line="173" w:lineRule="exact"/>
              <w:rPr>
                <w:sz w:val="20"/>
                <w:szCs w:val="20"/>
                <w:color w:val="auto"/>
              </w:rPr>
            </w:pPr>
            <w:r>
              <w:rPr>
                <w:rFonts w:ascii="Arial" w:cs="Arial" w:eastAsia="Arial" w:hAnsi="Arial"/>
                <w:sz w:val="17"/>
                <w:szCs w:val="17"/>
                <w:color w:val="auto"/>
                <w:w w:val="92"/>
              </w:rPr>
              <w:t>equipment (including $(19,725), $8,530 and $11,196 associated with a related party for the years ended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7260" w:type="dxa"/>
            <w:vAlign w:val="bottom"/>
          </w:tcPr>
          <w:p>
            <w:pPr>
              <w:ind w:left="40"/>
              <w:spacing w:after="0"/>
              <w:rPr>
                <w:sz w:val="20"/>
                <w:szCs w:val="20"/>
                <w:color w:val="auto"/>
              </w:rPr>
            </w:pPr>
            <w:r>
              <w:rPr>
                <w:rFonts w:ascii="Arial" w:cs="Arial" w:eastAsia="Arial" w:hAnsi="Arial"/>
                <w:sz w:val="17"/>
                <w:szCs w:val="17"/>
                <w:color w:val="auto"/>
              </w:rPr>
              <w:t>December 31, 2024, 2023 and 2022, respectively)</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(68,930)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35,849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42,728</w:t>
            </w:r>
          </w:p>
        </w:tc>
        <w:tc>
          <w:tcPr>
            <w:tcW w:w="0" w:type="dxa"/>
            <w:vAlign w:val="bottom"/>
          </w:tcPr>
          <w:p>
            <w:pPr>
              <w:spacing w:after="0"/>
              <w:rPr>
                <w:sz w:val="1"/>
                <w:szCs w:val="1"/>
                <w:color w:val="auto"/>
              </w:rPr>
            </w:pPr>
          </w:p>
        </w:tc>
      </w:tr>
      <w:tr>
        <w:trPr>
          <w:trHeight w:val="249"/>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color w:val="auto"/>
              </w:rPr>
              <w:t>Government grant (related party) reflected in property, plant and equipment</w:t>
            </w:r>
          </w:p>
        </w:tc>
        <w:tc>
          <w:tcPr>
            <w:tcW w:w="300" w:type="dxa"/>
            <w:vAlign w:val="bottom"/>
            <w:shd w:val="clear" w:color="auto" w:fill="E6E6E6"/>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(62,471)</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(99,025)</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(33,297)</w:t>
            </w:r>
          </w:p>
        </w:tc>
        <w:tc>
          <w:tcPr>
            <w:tcW w:w="0" w:type="dxa"/>
            <w:vAlign w:val="bottom"/>
          </w:tcPr>
          <w:p>
            <w:pPr>
              <w:spacing w:after="0"/>
              <w:rPr>
                <w:sz w:val="1"/>
                <w:szCs w:val="1"/>
                <w:color w:val="auto"/>
              </w:rPr>
            </w:pPr>
          </w:p>
        </w:tc>
      </w:tr>
      <w:tr>
        <w:trPr>
          <w:trHeight w:val="238"/>
        </w:trPr>
        <w:tc>
          <w:tcPr>
            <w:tcW w:w="7260" w:type="dxa"/>
            <w:vAlign w:val="bottom"/>
          </w:tcPr>
          <w:p>
            <w:pPr>
              <w:ind w:left="40"/>
              <w:spacing w:after="0"/>
              <w:rPr>
                <w:sz w:val="20"/>
                <w:szCs w:val="20"/>
                <w:color w:val="auto"/>
              </w:rPr>
            </w:pPr>
            <w:r>
              <w:rPr>
                <w:rFonts w:ascii="Arial" w:cs="Arial" w:eastAsia="Arial" w:hAnsi="Arial"/>
                <w:sz w:val="17"/>
                <w:szCs w:val="17"/>
                <w:color w:val="auto"/>
              </w:rPr>
              <w:t>Property, plant and equipment and right-of-use assets obtained through leases</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24,173</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32,477</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157,894</w:t>
            </w:r>
          </w:p>
        </w:tc>
        <w:tc>
          <w:tcPr>
            <w:tcW w:w="0" w:type="dxa"/>
            <w:vAlign w:val="bottom"/>
          </w:tcPr>
          <w:p>
            <w:pPr>
              <w:spacing w:after="0"/>
              <w:rPr>
                <w:sz w:val="1"/>
                <w:szCs w:val="1"/>
                <w:color w:val="auto"/>
              </w:rPr>
            </w:pPr>
          </w:p>
        </w:tc>
      </w:tr>
      <w:tr>
        <w:trPr>
          <w:trHeight w:val="281"/>
        </w:trPr>
        <w:tc>
          <w:tcPr>
            <w:tcW w:w="7260" w:type="dxa"/>
            <w:vAlign w:val="bottom"/>
            <w:shd w:val="clear" w:color="auto" w:fill="E6E6E6"/>
          </w:tcPr>
          <w:p>
            <w:pPr>
              <w:ind w:left="40"/>
              <w:spacing w:after="0"/>
              <w:rPr>
                <w:sz w:val="20"/>
                <w:szCs w:val="20"/>
                <w:color w:val="auto"/>
              </w:rPr>
            </w:pPr>
            <w:r>
              <w:rPr>
                <w:rFonts w:ascii="Arial" w:cs="Arial" w:eastAsia="Arial" w:hAnsi="Arial"/>
                <w:sz w:val="17"/>
                <w:szCs w:val="17"/>
                <w:color w:val="auto"/>
              </w:rPr>
              <w:t>Equity securities obtained through Strategic Technology Arrangement</w:t>
            </w:r>
          </w:p>
        </w:tc>
        <w:tc>
          <w:tcPr>
            <w:tcW w:w="300" w:type="dxa"/>
            <w:vAlign w:val="bottom"/>
            <w:shd w:val="clear" w:color="auto" w:fill="E6E6E6"/>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73,193</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-6169660</wp:posOffset>
            </wp:positionV>
            <wp:extent cx="24320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4">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-2454910</wp:posOffset>
            </wp:positionV>
            <wp:extent cx="24320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25">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-2280920</wp:posOffset>
            </wp:positionV>
            <wp:extent cx="24320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6">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-1933575</wp:posOffset>
            </wp:positionV>
            <wp:extent cx="24320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7">
                      <a:extLst>
                        <a:ext uri="{28A0092B-C50C-407E-A947-70E740481C1C}"/>
                      </a:extLst>
                    </a:blip>
                    <a:srcRect/>
                    <a:stretch>
                      <a:fillRect/>
                    </a:stretch>
                  </pic:blipFill>
                  <pic:spPr bwMode="auto">
                    <a:xfrm>
                      <a:off x="0" y="0"/>
                      <a:ext cx="24320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-1771650</wp:posOffset>
            </wp:positionV>
            <wp:extent cx="2432050"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8">
                      <a:extLst>
                        <a:ext uri="{28A0092B-C50C-407E-A947-70E740481C1C}"/>
                      </a:extLst>
                    </a:blip>
                    <a:srcRect/>
                    <a:stretch>
                      <a:fillRect/>
                    </a:stretch>
                  </pic:blipFill>
                  <pic:spPr bwMode="auto">
                    <a:xfrm>
                      <a:off x="0" y="0"/>
                      <a:ext cx="2432050"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11040"/>
          </w:cols>
          <w:pgMar w:left="420" w:top="756" w:right="420" w:bottom="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1040"/>
          </w:cols>
          <w:pgMar w:left="420" w:top="756" w:right="420" w:bottom="0" w:gutter="0" w:footer="0" w:header="0"/>
          <w:type w:val="continuous"/>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95" w:type="dxa"/>
            <w:vAlign w:val="bottom"/>
            <w:textDirection w:val="tbRl"/>
          </w:tcPr>
          <w:p>
            <w:pPr>
              <w:spacing w:after="0"/>
              <w:rPr>
                <w:sz w:val="20"/>
                <w:szCs w:val="20"/>
                <w:color w:val="auto"/>
              </w:rPr>
            </w:pPr>
            <w:r>
              <w:rPr>
                <w:rFonts w:ascii="Arial" w:cs="Arial" w:eastAsia="Arial" w:hAnsi="Arial"/>
                <w:sz w:val="17"/>
                <w:szCs w:val="17"/>
                <w:color w:val="auto"/>
              </w:rPr>
              <w:t>101</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b w:val="1"/>
          <w:bCs w:val="1"/>
          <w:color w:val="auto"/>
        </w:rPr>
        <w:t>LUCID GROUP,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REDEEMABLE CONVERTIBLE PREFERRED STOCK AND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63"/>
        </w:trPr>
        <w:tc>
          <w:tcPr>
            <w:tcW w:w="52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300" w:type="dxa"/>
            <w:vAlign w:val="bottom"/>
            <w:gridSpan w:val="7"/>
            <w:vMerge w:val="restart"/>
          </w:tcPr>
          <w:p>
            <w:pPr>
              <w:jc w:val="center"/>
              <w:ind w:right="20"/>
              <w:spacing w:after="0"/>
              <w:rPr>
                <w:sz w:val="20"/>
                <w:szCs w:val="20"/>
                <w:color w:val="auto"/>
              </w:rPr>
            </w:pPr>
            <w:r>
              <w:rPr>
                <w:rFonts w:ascii="Arial" w:cs="Arial" w:eastAsia="Arial" w:hAnsi="Arial"/>
                <w:sz w:val="13"/>
                <w:szCs w:val="13"/>
                <w:b w:val="1"/>
                <w:bCs w:val="1"/>
                <w:color w:val="auto"/>
                <w:w w:val="92"/>
              </w:rPr>
              <w:t>Redeemable Convertible</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ind w:right="85"/>
              <w:spacing w:after="0"/>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center"/>
              <w:ind w:right="44"/>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300" w:type="dxa"/>
            <w:vAlign w:val="bottom"/>
            <w:gridSpan w:val="7"/>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7"/>
          </w:tcPr>
          <w:p>
            <w:pPr>
              <w:jc w:val="center"/>
              <w:ind w:right="80"/>
              <w:spacing w:after="0" w:line="133" w:lineRule="exact"/>
              <w:rPr>
                <w:sz w:val="20"/>
                <w:szCs w:val="20"/>
                <w:color w:val="auto"/>
              </w:rPr>
            </w:pPr>
            <w:r>
              <w:rPr>
                <w:rFonts w:ascii="Arial" w:cs="Arial" w:eastAsia="Arial" w:hAnsi="Arial"/>
                <w:sz w:val="13"/>
                <w:szCs w:val="13"/>
                <w:b w:val="1"/>
                <w:bCs w:val="1"/>
                <w:color w:val="auto"/>
                <w:w w:val="92"/>
              </w:rPr>
              <w:t>Preferred Stock</w:t>
            </w:r>
          </w:p>
        </w:tc>
        <w:tc>
          <w:tcPr>
            <w:tcW w:w="6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4"/>
              <w:spacing w:after="0" w:line="133"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5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jc w:val="right"/>
              <w:ind w:right="165"/>
              <w:spacing w:after="0" w:line="95" w:lineRule="exact"/>
              <w:rPr>
                <w:sz w:val="20"/>
                <w:szCs w:val="20"/>
                <w:color w:val="auto"/>
              </w:rPr>
            </w:pPr>
            <w:r>
              <w:rPr>
                <w:rFonts w:ascii="Arial" w:cs="Arial" w:eastAsia="Arial" w:hAnsi="Arial"/>
                <w:sz w:val="11"/>
                <w:szCs w:val="11"/>
                <w:b w:val="1"/>
                <w:bCs w:val="1"/>
                <w:color w:val="auto"/>
              </w:rPr>
              <w:t>Paid-In</w:t>
            </w: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700" w:type="dxa"/>
            <w:vAlign w:val="bottom"/>
            <w:vMerge w:val="restart"/>
          </w:tcPr>
          <w:p>
            <w:pPr>
              <w:jc w:val="right"/>
              <w:ind w:right="25"/>
              <w:spacing w:after="0" w:line="95" w:lineRule="exact"/>
              <w:rPr>
                <w:sz w:val="20"/>
                <w:szCs w:val="20"/>
                <w:color w:val="auto"/>
              </w:rPr>
            </w:pPr>
            <w:r>
              <w:rPr>
                <w:rFonts w:ascii="Arial" w:cs="Arial" w:eastAsia="Arial" w:hAnsi="Arial"/>
                <w:sz w:val="11"/>
                <w:szCs w:val="11"/>
                <w:b w:val="1"/>
                <w:bCs w:val="1"/>
                <w:color w:val="auto"/>
              </w:rPr>
              <w:t>Treasury</w:t>
            </w: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00" w:type="dxa"/>
            <w:vAlign w:val="bottom"/>
            <w:gridSpan w:val="2"/>
            <w:vMerge w:val="restart"/>
          </w:tcPr>
          <w:p>
            <w:pPr>
              <w:jc w:val="center"/>
              <w:spacing w:after="0" w:line="95" w:lineRule="exact"/>
              <w:rPr>
                <w:sz w:val="20"/>
                <w:szCs w:val="20"/>
                <w:color w:val="auto"/>
              </w:rPr>
            </w:pPr>
            <w:r>
              <w:rPr>
                <w:rFonts w:ascii="Arial" w:cs="Arial" w:eastAsia="Arial" w:hAnsi="Arial"/>
                <w:sz w:val="11"/>
                <w:szCs w:val="11"/>
                <w:b w:val="1"/>
                <w:bCs w:val="1"/>
                <w:color w:val="auto"/>
              </w:rPr>
              <w:t>Comprehensive</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ind w:right="65"/>
              <w:spacing w:after="0" w:line="95" w:lineRule="exact"/>
              <w:rPr>
                <w:sz w:val="20"/>
                <w:szCs w:val="20"/>
                <w:color w:val="auto"/>
              </w:rPr>
            </w:pPr>
            <w:r>
              <w:rPr>
                <w:rFonts w:ascii="Arial" w:cs="Arial" w:eastAsia="Arial" w:hAnsi="Arial"/>
                <w:sz w:val="11"/>
                <w:szCs w:val="11"/>
                <w:b w:val="1"/>
                <w:bCs w:val="1"/>
                <w:color w:val="auto"/>
              </w:rPr>
              <w:t>Accumulated</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00" w:type="dxa"/>
            <w:vAlign w:val="bottom"/>
            <w:gridSpan w:val="2"/>
            <w:vMerge w:val="restart"/>
          </w:tcPr>
          <w:p>
            <w:pPr>
              <w:jc w:val="center"/>
              <w:spacing w:after="0" w:line="95"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vMerge w:val="restart"/>
          </w:tcPr>
          <w:p>
            <w:pPr>
              <w:jc w:val="right"/>
              <w:ind w:right="305"/>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vMerge w:val="restart"/>
          </w:tcPr>
          <w:p>
            <w:pPr>
              <w:jc w:val="right"/>
              <w:ind w:right="245"/>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2"/>
            <w:vMerge w:val="restart"/>
          </w:tcPr>
          <w:p>
            <w:pPr>
              <w:jc w:val="right"/>
              <w:ind w:right="44"/>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125"/>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Income (Loss)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45"/>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4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9"/>
        </w:trPr>
        <w:tc>
          <w:tcPr>
            <w:tcW w:w="52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as of January 1, 2022</w:t>
            </w:r>
          </w:p>
        </w:tc>
        <w:tc>
          <w:tcPr>
            <w:tcW w:w="2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jc w:val="right"/>
              <w:ind w:right="2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right w:val="single" w:sz="8" w:color="E6E6E6"/>
            </w:tcBorders>
            <w:shd w:val="clear" w:color="auto" w:fill="E6E6E6"/>
          </w:tcPr>
          <w:p>
            <w:pPr>
              <w:spacing w:after="0"/>
              <w:rPr>
                <w:sz w:val="19"/>
                <w:szCs w:val="19"/>
                <w:color w:val="auto"/>
              </w:rPr>
            </w:pPr>
          </w:p>
        </w:tc>
        <w:tc>
          <w:tcPr>
            <w:tcW w:w="60" w:type="dxa"/>
            <w:vAlign w:val="bottom"/>
            <w:tcBorders>
              <w:top w:val="single" w:sz="8" w:color="E6E6E6"/>
              <w:left w:val="single" w:sz="8" w:color="auto"/>
            </w:tcBorders>
            <w:shd w:val="clear" w:color="auto" w:fill="E6E6E6"/>
          </w:tcPr>
          <w:p>
            <w:pPr>
              <w:spacing w:after="0"/>
              <w:rPr>
                <w:sz w:val="19"/>
                <w:szCs w:val="19"/>
                <w:color w:val="auto"/>
              </w:rPr>
            </w:pPr>
          </w:p>
        </w:tc>
        <w:tc>
          <w:tcPr>
            <w:tcW w:w="10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w w:val="97"/>
              </w:rPr>
              <w:t>1,647,555,590</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auto"/>
            </w:tcBorders>
            <w:gridSpan w:val="2"/>
            <w:shd w:val="clear" w:color="auto" w:fill="E6E6E6"/>
          </w:tcPr>
          <w:p>
            <w:pPr>
              <w:jc w:val="right"/>
              <w:ind w:right="109"/>
              <w:spacing w:after="0"/>
              <w:rPr>
                <w:sz w:val="20"/>
                <w:szCs w:val="20"/>
                <w:color w:val="auto"/>
              </w:rPr>
            </w:pPr>
            <w:r>
              <w:rPr>
                <w:rFonts w:ascii="Arial" w:cs="Arial" w:eastAsia="Arial" w:hAnsi="Arial"/>
                <w:sz w:val="15"/>
                <w:szCs w:val="15"/>
                <w:b w:val="1"/>
                <w:bCs w:val="1"/>
                <w:color w:val="auto"/>
              </w:rPr>
              <w:t>$</w:t>
            </w:r>
          </w:p>
        </w:tc>
        <w:tc>
          <w:tcPr>
            <w:tcW w:w="3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165</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tcBorders>
            <w:shd w:val="clear" w:color="auto" w:fill="E6E6E6"/>
          </w:tcPr>
          <w:p>
            <w:pPr>
              <w:jc w:val="right"/>
              <w:ind w:right="5"/>
              <w:spacing w:after="0"/>
              <w:rPr>
                <w:sz w:val="20"/>
                <w:szCs w:val="20"/>
                <w:color w:val="auto"/>
              </w:rPr>
            </w:pPr>
            <w:r>
              <w:rPr>
                <w:rFonts w:ascii="Arial" w:cs="Arial" w:eastAsia="Arial" w:hAnsi="Arial"/>
                <w:sz w:val="15"/>
                <w:szCs w:val="15"/>
                <w:b w:val="1"/>
                <w:bCs w:val="1"/>
                <w:color w:val="auto"/>
              </w:rPr>
              <w:t>9,995,778</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7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w w:val="99"/>
              </w:rPr>
              <w:t>$ (20,716)</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(6,065,872)</w:t>
            </w:r>
          </w:p>
        </w:tc>
        <w:tc>
          <w:tcPr>
            <w:tcW w:w="6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auto"/>
            </w:tcBorders>
            <w:gridSpan w:val="2"/>
            <w:shd w:val="clear" w:color="auto" w:fill="E6E6E6"/>
          </w:tcPr>
          <w:p>
            <w:pPr>
              <w:jc w:val="right"/>
              <w:ind w:right="34"/>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3,909,355</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(1,304,460)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(1,304,460)</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Other comprehensive loss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(11,572)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(11,572)</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Tax withholding payments for net settlement of employee awards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(218,789)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(218,789)</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vesting of employee RSUs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spacing w:after="0"/>
              <w:rPr>
                <w:sz w:val="20"/>
                <w:szCs w:val="20"/>
                <w:color w:val="auto"/>
              </w:rPr>
            </w:pPr>
            <w:r>
              <w:rPr>
                <w:rFonts w:ascii="Arial" w:cs="Arial" w:eastAsia="Arial" w:hAnsi="Arial"/>
                <w:sz w:val="15"/>
                <w:szCs w:val="15"/>
                <w:color w:val="auto"/>
              </w:rPr>
              <w:t>15,217,096</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Issuance of common stock under employee stock purchase plan</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2,106,158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24,562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24,562</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exercise of stock options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22,519,879</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17,786</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17,788</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w w:val="98"/>
              </w:rPr>
              <w:t>Issuance of common stock under At-the-Market Offering, net of issuance costs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56,203,334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594,311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594,317</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w w:val="98"/>
              </w:rPr>
              <w:t>Issuance of common stock under 2022 Subscription Agreement (related party)</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85,712,679</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914,991</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915,000</w:t>
            </w:r>
          </w:p>
        </w:tc>
        <w:tc>
          <w:tcPr>
            <w:tcW w:w="0" w:type="dxa"/>
            <w:vAlign w:val="bottom"/>
          </w:tcPr>
          <w:p>
            <w:pPr>
              <w:spacing w:after="0"/>
              <w:rPr>
                <w:sz w:val="1"/>
                <w:szCs w:val="1"/>
                <w:color w:val="auto"/>
              </w:rPr>
            </w:pPr>
          </w:p>
        </w:tc>
      </w:tr>
      <w:tr>
        <w:trPr>
          <w:trHeight w:val="218"/>
        </w:trPr>
        <w:tc>
          <w:tcPr>
            <w:tcW w:w="520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423,500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423,500</w:t>
            </w:r>
          </w:p>
        </w:tc>
        <w:tc>
          <w:tcPr>
            <w:tcW w:w="0" w:type="dxa"/>
            <w:vAlign w:val="bottom"/>
          </w:tcPr>
          <w:p>
            <w:pPr>
              <w:spacing w:after="0"/>
              <w:rPr>
                <w:sz w:val="1"/>
                <w:szCs w:val="1"/>
                <w:color w:val="auto"/>
              </w:rPr>
            </w:pPr>
          </w:p>
        </w:tc>
      </w:tr>
      <w:tr>
        <w:trPr>
          <w:trHeight w:val="219"/>
        </w:trPr>
        <w:tc>
          <w:tcPr>
            <w:tcW w:w="52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as of December 31, 2022</w:t>
            </w:r>
          </w:p>
        </w:tc>
        <w:tc>
          <w:tcPr>
            <w:tcW w:w="2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left w:val="single" w:sz="8" w:color="auto"/>
            </w:tcBorders>
            <w:shd w:val="clear" w:color="auto" w:fill="E6E6E6"/>
          </w:tcPr>
          <w:p>
            <w:pPr>
              <w:spacing w:after="0"/>
              <w:rPr>
                <w:sz w:val="19"/>
                <w:szCs w:val="19"/>
                <w:color w:val="auto"/>
              </w:rPr>
            </w:pPr>
          </w:p>
        </w:tc>
        <w:tc>
          <w:tcPr>
            <w:tcW w:w="1020" w:type="dxa"/>
            <w:vAlign w:val="bottom"/>
            <w:tcBorders>
              <w:top w:val="single" w:sz="8" w:color="auto"/>
            </w:tcBorders>
            <w:gridSpan w:val="2"/>
            <w:shd w:val="clear" w:color="auto" w:fill="E6E6E6"/>
          </w:tcPr>
          <w:p>
            <w:pPr>
              <w:jc w:val="right"/>
              <w:ind w:right="5"/>
              <w:spacing w:after="0"/>
              <w:rPr>
                <w:sz w:val="20"/>
                <w:szCs w:val="20"/>
                <w:color w:val="auto"/>
              </w:rPr>
            </w:pPr>
            <w:r>
              <w:rPr>
                <w:rFonts w:ascii="Arial" w:cs="Arial" w:eastAsia="Arial" w:hAnsi="Arial"/>
                <w:sz w:val="15"/>
                <w:szCs w:val="15"/>
                <w:b w:val="1"/>
                <w:bCs w:val="1"/>
                <w:color w:val="auto"/>
                <w:w w:val="95"/>
              </w:rPr>
              <w:t>1,829,314,736</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80" w:type="dxa"/>
            <w:vAlign w:val="bottom"/>
            <w:tcBorders>
              <w:top w:val="single" w:sz="8" w:color="auto"/>
            </w:tcBorders>
            <w:shd w:val="clear" w:color="auto" w:fill="E6E6E6"/>
          </w:tcPr>
          <w:p>
            <w:pPr>
              <w:spacing w:after="0"/>
              <w:rPr>
                <w:sz w:val="19"/>
                <w:szCs w:val="19"/>
                <w:color w:val="auto"/>
              </w:rPr>
            </w:pPr>
          </w:p>
        </w:tc>
        <w:tc>
          <w:tcPr>
            <w:tcW w:w="3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183</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780" w:type="dxa"/>
            <w:vAlign w:val="bottom"/>
            <w:tcBorders>
              <w:top w:val="single" w:sz="8" w:color="auto"/>
            </w:tcBorders>
            <w:shd w:val="clear" w:color="auto" w:fill="E6E6E6"/>
          </w:tcPr>
          <w:p>
            <w:pPr>
              <w:jc w:val="right"/>
              <w:ind w:right="5"/>
              <w:spacing w:after="0"/>
              <w:rPr>
                <w:sz w:val="20"/>
                <w:szCs w:val="20"/>
                <w:color w:val="auto"/>
              </w:rPr>
            </w:pPr>
            <w:r>
              <w:rPr>
                <w:rFonts w:ascii="Arial" w:cs="Arial" w:eastAsia="Arial" w:hAnsi="Arial"/>
                <w:sz w:val="15"/>
                <w:szCs w:val="15"/>
                <w:b w:val="1"/>
                <w:bCs w:val="1"/>
                <w:color w:val="auto"/>
                <w:w w:val="90"/>
              </w:rPr>
              <w:t>11,752,138</w:t>
            </w:r>
          </w:p>
        </w:tc>
        <w:tc>
          <w:tcPr>
            <w:tcW w:w="780" w:type="dxa"/>
            <w:vAlign w:val="bottom"/>
            <w:tcBorders>
              <w:top w:val="single" w:sz="8" w:color="auto"/>
            </w:tcBorders>
            <w:gridSpan w:val="4"/>
            <w:shd w:val="clear" w:color="auto" w:fill="E6E6E6"/>
          </w:tcPr>
          <w:p>
            <w:pPr>
              <w:jc w:val="right"/>
              <w:spacing w:after="0"/>
              <w:rPr>
                <w:sz w:val="20"/>
                <w:szCs w:val="20"/>
                <w:color w:val="auto"/>
              </w:rPr>
            </w:pPr>
            <w:r>
              <w:rPr>
                <w:rFonts w:ascii="Arial" w:cs="Arial" w:eastAsia="Arial" w:hAnsi="Arial"/>
                <w:sz w:val="15"/>
                <w:szCs w:val="15"/>
                <w:b w:val="1"/>
                <w:bCs w:val="1"/>
                <w:color w:val="auto"/>
              </w:rPr>
              <w:t>(20,716)</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(11,572)</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(7,370,332)</w:t>
            </w:r>
          </w:p>
        </w:tc>
        <w:tc>
          <w:tcPr>
            <w:tcW w:w="6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spacing w:after="0"/>
              <w:rPr>
                <w:sz w:val="19"/>
                <w:szCs w:val="19"/>
                <w:color w:val="auto"/>
              </w:rPr>
            </w:pP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4,349,701</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(2,828,420)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(2,828,420)</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Other comprehensive income</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16,422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16,422</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Tax withholding payments for net settlement of employee awards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(17,615)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(17,615)</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vesting of employee RSUs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16,947,760</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Issuance of common stock under employee stock purchase plan</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4,748,875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23,836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23,836</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exercise of stock options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9,003,642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10,342</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10,343</w:t>
            </w:r>
          </w:p>
        </w:tc>
        <w:tc>
          <w:tcPr>
            <w:tcW w:w="0" w:type="dxa"/>
            <w:vAlign w:val="bottom"/>
          </w:tcPr>
          <w:p>
            <w:pPr>
              <w:spacing w:after="0"/>
              <w:rPr>
                <w:sz w:val="1"/>
                <w:szCs w:val="1"/>
                <w:color w:val="auto"/>
              </w:rPr>
            </w:pPr>
          </w:p>
        </w:tc>
      </w:tr>
      <w:tr>
        <w:trPr>
          <w:trHeight w:val="155"/>
        </w:trPr>
        <w:tc>
          <w:tcPr>
            <w:tcW w:w="5200" w:type="dxa"/>
            <w:vAlign w:val="bottom"/>
          </w:tcPr>
          <w:p>
            <w:pPr>
              <w:ind w:left="40"/>
              <w:spacing w:after="0" w:line="156" w:lineRule="exact"/>
              <w:rPr>
                <w:sz w:val="20"/>
                <w:szCs w:val="20"/>
                <w:color w:val="auto"/>
              </w:rPr>
            </w:pPr>
            <w:r>
              <w:rPr>
                <w:rFonts w:ascii="Arial" w:cs="Arial" w:eastAsia="Arial" w:hAnsi="Arial"/>
                <w:sz w:val="15"/>
                <w:szCs w:val="15"/>
                <w:color w:val="auto"/>
                <w:w w:val="96"/>
              </w:rPr>
              <w:t>Issuance of common stock under 2023 Underwriting Agreement, net of issuance</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costs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173,544,948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1,184,207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1,184,224</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E6E6E6"/>
          </w:tcPr>
          <w:p>
            <w:pPr>
              <w:ind w:left="40"/>
              <w:spacing w:after="0" w:line="156" w:lineRule="exact"/>
              <w:rPr>
                <w:sz w:val="20"/>
                <w:szCs w:val="20"/>
                <w:color w:val="auto"/>
              </w:rPr>
            </w:pPr>
            <w:r>
              <w:rPr>
                <w:rFonts w:ascii="Arial" w:cs="Arial" w:eastAsia="Arial" w:hAnsi="Arial"/>
                <w:sz w:val="15"/>
                <w:szCs w:val="15"/>
                <w:color w:val="auto"/>
                <w:w w:val="96"/>
              </w:rPr>
              <w:t>Issuance of common stock under 2023 Subscription Agreement, net of issuance</w:t>
            </w:r>
          </w:p>
        </w:tc>
        <w:tc>
          <w:tcPr>
            <w:tcW w:w="20" w:type="dxa"/>
            <w:vAlign w:val="bottom"/>
            <w:shd w:val="clear" w:color="auto" w:fill="E6E6E6"/>
          </w:tcPr>
          <w:p>
            <w:pPr>
              <w:spacing w:after="0"/>
              <w:rPr>
                <w:sz w:val="13"/>
                <w:szCs w:val="13"/>
                <w:color w:val="auto"/>
              </w:rPr>
            </w:pPr>
          </w:p>
        </w:tc>
        <w:tc>
          <w:tcPr>
            <w:tcW w:w="1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840" w:type="dxa"/>
            <w:vAlign w:val="bottom"/>
            <w:shd w:val="clear" w:color="auto" w:fill="E6E6E6"/>
          </w:tcPr>
          <w:p>
            <w:pPr>
              <w:spacing w:after="0"/>
              <w:rPr>
                <w:sz w:val="13"/>
                <w:szCs w:val="13"/>
                <w:color w:val="auto"/>
              </w:rPr>
            </w:pP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tcBorders>
              <w:left w:val="single" w:sz="8" w:color="auto"/>
            </w:tcBorders>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8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8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costs (related party)</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265,693,703</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27</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1,812,614</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1,812,641</w:t>
            </w:r>
          </w:p>
        </w:tc>
        <w:tc>
          <w:tcPr>
            <w:tcW w:w="0" w:type="dxa"/>
            <w:vAlign w:val="bottom"/>
          </w:tcPr>
          <w:p>
            <w:pPr>
              <w:spacing w:after="0"/>
              <w:rPr>
                <w:sz w:val="1"/>
                <w:szCs w:val="1"/>
                <w:color w:val="auto"/>
              </w:rPr>
            </w:pPr>
          </w:p>
        </w:tc>
      </w:tr>
      <w:tr>
        <w:trPr>
          <w:trHeight w:val="218"/>
        </w:trPr>
        <w:tc>
          <w:tcPr>
            <w:tcW w:w="520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300,560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300,560</w:t>
            </w:r>
          </w:p>
        </w:tc>
        <w:tc>
          <w:tcPr>
            <w:tcW w:w="0" w:type="dxa"/>
            <w:vAlign w:val="bottom"/>
          </w:tcPr>
          <w:p>
            <w:pPr>
              <w:spacing w:after="0"/>
              <w:rPr>
                <w:sz w:val="1"/>
                <w:szCs w:val="1"/>
                <w:color w:val="auto"/>
              </w:rPr>
            </w:pPr>
          </w:p>
        </w:tc>
      </w:tr>
      <w:tr>
        <w:trPr>
          <w:trHeight w:val="219"/>
        </w:trPr>
        <w:tc>
          <w:tcPr>
            <w:tcW w:w="52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as of December 31, 2023</w:t>
            </w:r>
          </w:p>
        </w:tc>
        <w:tc>
          <w:tcPr>
            <w:tcW w:w="20" w:type="dxa"/>
            <w:vAlign w:val="bottom"/>
            <w:tcBorders>
              <w:top w:val="single" w:sz="8" w:color="auto"/>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left w:val="single" w:sz="8" w:color="auto"/>
            </w:tcBorders>
            <w:shd w:val="clear" w:color="auto" w:fill="E6E6E6"/>
          </w:tcPr>
          <w:p>
            <w:pPr>
              <w:spacing w:after="0"/>
              <w:rPr>
                <w:sz w:val="19"/>
                <w:szCs w:val="19"/>
                <w:color w:val="auto"/>
              </w:rPr>
            </w:pPr>
          </w:p>
        </w:tc>
        <w:tc>
          <w:tcPr>
            <w:tcW w:w="1020" w:type="dxa"/>
            <w:vAlign w:val="bottom"/>
            <w:tcBorders>
              <w:top w:val="single" w:sz="8" w:color="auto"/>
            </w:tcBorders>
            <w:gridSpan w:val="2"/>
            <w:shd w:val="clear" w:color="auto" w:fill="E6E6E6"/>
          </w:tcPr>
          <w:p>
            <w:pPr>
              <w:jc w:val="right"/>
              <w:ind w:right="5"/>
              <w:spacing w:after="0"/>
              <w:rPr>
                <w:sz w:val="20"/>
                <w:szCs w:val="20"/>
                <w:color w:val="auto"/>
              </w:rPr>
            </w:pPr>
            <w:r>
              <w:rPr>
                <w:rFonts w:ascii="Arial" w:cs="Arial" w:eastAsia="Arial" w:hAnsi="Arial"/>
                <w:sz w:val="15"/>
                <w:szCs w:val="15"/>
                <w:b w:val="1"/>
                <w:bCs w:val="1"/>
                <w:color w:val="auto"/>
                <w:w w:val="95"/>
              </w:rPr>
              <w:t>2,299,253,664</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80" w:type="dxa"/>
            <w:vAlign w:val="bottom"/>
            <w:tcBorders>
              <w:top w:val="single" w:sz="8" w:color="auto"/>
            </w:tcBorders>
            <w:shd w:val="clear" w:color="auto" w:fill="E6E6E6"/>
          </w:tcPr>
          <w:p>
            <w:pPr>
              <w:spacing w:after="0"/>
              <w:rPr>
                <w:sz w:val="19"/>
                <w:szCs w:val="19"/>
                <w:color w:val="auto"/>
              </w:rPr>
            </w:pPr>
          </w:p>
        </w:tc>
        <w:tc>
          <w:tcPr>
            <w:tcW w:w="380" w:type="dxa"/>
            <w:vAlign w:val="bottom"/>
            <w:tcBorders>
              <w:top w:val="single" w:sz="8" w:color="auto"/>
            </w:tcBorders>
            <w:shd w:val="clear" w:color="auto" w:fill="E6E6E6"/>
          </w:tcPr>
          <w:p>
            <w:pPr>
              <w:jc w:val="right"/>
              <w:ind w:right="4"/>
              <w:spacing w:after="0"/>
              <w:rPr>
                <w:sz w:val="20"/>
                <w:szCs w:val="20"/>
                <w:color w:val="auto"/>
              </w:rPr>
            </w:pPr>
            <w:r>
              <w:rPr>
                <w:rFonts w:ascii="Arial" w:cs="Arial" w:eastAsia="Arial" w:hAnsi="Arial"/>
                <w:sz w:val="15"/>
                <w:szCs w:val="15"/>
                <w:b w:val="1"/>
                <w:bCs w:val="1"/>
                <w:color w:val="auto"/>
              </w:rPr>
              <w:t>230</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780" w:type="dxa"/>
            <w:vAlign w:val="bottom"/>
            <w:tcBorders>
              <w:top w:val="single" w:sz="8" w:color="auto"/>
            </w:tcBorders>
            <w:shd w:val="clear" w:color="auto" w:fill="E6E6E6"/>
          </w:tcPr>
          <w:p>
            <w:pPr>
              <w:jc w:val="right"/>
              <w:ind w:right="5"/>
              <w:spacing w:after="0"/>
              <w:rPr>
                <w:sz w:val="20"/>
                <w:szCs w:val="20"/>
                <w:color w:val="auto"/>
              </w:rPr>
            </w:pPr>
            <w:r>
              <w:rPr>
                <w:rFonts w:ascii="Arial" w:cs="Arial" w:eastAsia="Arial" w:hAnsi="Arial"/>
                <w:sz w:val="15"/>
                <w:szCs w:val="15"/>
                <w:b w:val="1"/>
                <w:bCs w:val="1"/>
                <w:color w:val="auto"/>
                <w:w w:val="90"/>
              </w:rPr>
              <w:t>15,066,080</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7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rPr>
              <w:t>(20,716)</w:t>
            </w:r>
          </w:p>
        </w:tc>
        <w:tc>
          <w:tcPr>
            <w:tcW w:w="2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4,850</w:t>
            </w: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8"/>
              </w:rPr>
              <w:t>(10,198,752)</w:t>
            </w: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spacing w:after="0"/>
              <w:rPr>
                <w:sz w:val="19"/>
                <w:szCs w:val="19"/>
                <w:color w:val="auto"/>
              </w:rPr>
            </w:pP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4,851,692</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(2,713,942)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(2,713,942)</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Other comprehensive loss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(6,949)</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(6,949)</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Tax withholding payments for net settlement of employee awards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(10,021)</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vesting of employee RSUs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44,945,260</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5</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(5)</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Issuance of common stock under employee stock purchase plan</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8,976,458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19,208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19,208</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Issuance of common stock upon exercise of stock options</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4,513,606</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4,883</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4,883</w:t>
            </w:r>
          </w:p>
        </w:tc>
        <w:tc>
          <w:tcPr>
            <w:tcW w:w="0" w:type="dxa"/>
            <w:vAlign w:val="bottom"/>
          </w:tcPr>
          <w:p>
            <w:pPr>
              <w:spacing w:after="0"/>
              <w:rPr>
                <w:sz w:val="1"/>
                <w:szCs w:val="1"/>
                <w:color w:val="auto"/>
              </w:rPr>
            </w:pPr>
          </w:p>
        </w:tc>
      </w:tr>
      <w:tr>
        <w:trPr>
          <w:trHeight w:val="156"/>
        </w:trPr>
        <w:tc>
          <w:tcPr>
            <w:tcW w:w="5200" w:type="dxa"/>
            <w:vAlign w:val="bottom"/>
          </w:tcPr>
          <w:p>
            <w:pPr>
              <w:ind w:left="40"/>
              <w:spacing w:after="0" w:line="156" w:lineRule="exact"/>
              <w:rPr>
                <w:sz w:val="20"/>
                <w:szCs w:val="20"/>
                <w:color w:val="auto"/>
              </w:rPr>
            </w:pPr>
            <w:r>
              <w:rPr>
                <w:rFonts w:ascii="Arial" w:cs="Arial" w:eastAsia="Arial" w:hAnsi="Arial"/>
                <w:sz w:val="15"/>
                <w:szCs w:val="15"/>
                <w:color w:val="auto"/>
                <w:w w:val="96"/>
              </w:rPr>
              <w:t>Issuance of common stock under 2024 Underwriting Agreement, net of issuance</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costs</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tcBorders>
            <w:gridSpan w:val="3"/>
          </w:tcPr>
          <w:p>
            <w:pPr>
              <w:jc w:val="right"/>
              <w:ind w:right="5"/>
              <w:spacing w:after="0"/>
              <w:rPr>
                <w:sz w:val="20"/>
                <w:szCs w:val="20"/>
                <w:color w:val="auto"/>
              </w:rPr>
            </w:pPr>
            <w:r>
              <w:rPr>
                <w:rFonts w:ascii="Arial" w:cs="Arial" w:eastAsia="Arial" w:hAnsi="Arial"/>
                <w:sz w:val="15"/>
                <w:szCs w:val="15"/>
                <w:color w:val="auto"/>
              </w:rPr>
              <w:t>277,484,525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718,329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718,357</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E6E6E6"/>
          </w:tcPr>
          <w:p>
            <w:pPr>
              <w:ind w:left="40"/>
              <w:spacing w:after="0" w:line="156" w:lineRule="exact"/>
              <w:rPr>
                <w:sz w:val="20"/>
                <w:szCs w:val="20"/>
                <w:color w:val="auto"/>
              </w:rPr>
            </w:pPr>
            <w:r>
              <w:rPr>
                <w:rFonts w:ascii="Arial" w:cs="Arial" w:eastAsia="Arial" w:hAnsi="Arial"/>
                <w:sz w:val="15"/>
                <w:szCs w:val="15"/>
                <w:color w:val="auto"/>
                <w:w w:val="96"/>
              </w:rPr>
              <w:t>Issuance of common stock under 2024 Subscription Agreement, net of issuance</w:t>
            </w:r>
          </w:p>
        </w:tc>
        <w:tc>
          <w:tcPr>
            <w:tcW w:w="20" w:type="dxa"/>
            <w:vAlign w:val="bottom"/>
            <w:shd w:val="clear" w:color="auto" w:fill="E6E6E6"/>
          </w:tcPr>
          <w:p>
            <w:pPr>
              <w:spacing w:after="0"/>
              <w:rPr>
                <w:sz w:val="13"/>
                <w:szCs w:val="13"/>
                <w:color w:val="auto"/>
              </w:rPr>
            </w:pPr>
          </w:p>
        </w:tc>
        <w:tc>
          <w:tcPr>
            <w:tcW w:w="1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840" w:type="dxa"/>
            <w:vAlign w:val="bottom"/>
            <w:shd w:val="clear" w:color="auto" w:fill="E6E6E6"/>
          </w:tcPr>
          <w:p>
            <w:pPr>
              <w:spacing w:after="0"/>
              <w:rPr>
                <w:sz w:val="13"/>
                <w:szCs w:val="13"/>
                <w:color w:val="auto"/>
              </w:rPr>
            </w:pP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tcBorders>
              <w:left w:val="single" w:sz="8" w:color="auto"/>
            </w:tcBorders>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8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8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costs (related party)</w:t>
            </w:r>
          </w:p>
        </w:tc>
        <w:tc>
          <w:tcPr>
            <w:tcW w:w="20" w:type="dxa"/>
            <w:vAlign w:val="bottom"/>
            <w:tcBorders>
              <w:bottom w:val="single" w:sz="8" w:color="E6E6E6"/>
            </w:tcBorders>
            <w:shd w:val="clear" w:color="auto" w:fill="E6E6E6"/>
          </w:tcPr>
          <w:p>
            <w:pPr>
              <w:spacing w:after="0"/>
              <w:rPr>
                <w:sz w:val="18"/>
                <w:szCs w:val="18"/>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auto"/>
              <w:bottom w:val="single" w:sz="8" w:color="E6E6E6"/>
            </w:tcBorders>
            <w:gridSpan w:val="3"/>
            <w:shd w:val="clear" w:color="auto" w:fill="E6E6E6"/>
          </w:tcPr>
          <w:p>
            <w:pPr>
              <w:jc w:val="right"/>
              <w:ind w:right="5"/>
              <w:spacing w:after="0"/>
              <w:rPr>
                <w:sz w:val="20"/>
                <w:szCs w:val="20"/>
                <w:color w:val="auto"/>
              </w:rPr>
            </w:pPr>
            <w:r>
              <w:rPr>
                <w:rFonts w:ascii="Arial" w:cs="Arial" w:eastAsia="Arial" w:hAnsi="Arial"/>
                <w:sz w:val="15"/>
                <w:szCs w:val="15"/>
                <w:color w:val="auto"/>
              </w:rPr>
              <w:t>396,188,386</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40</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1,025,620</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1,025,660</w:t>
            </w:r>
          </w:p>
        </w:tc>
        <w:tc>
          <w:tcPr>
            <w:tcW w:w="0" w:type="dxa"/>
            <w:vAlign w:val="bottom"/>
          </w:tcPr>
          <w:p>
            <w:pPr>
              <w:spacing w:after="0"/>
              <w:rPr>
                <w:sz w:val="1"/>
                <w:szCs w:val="1"/>
                <w:color w:val="auto"/>
              </w:rPr>
            </w:pPr>
          </w:p>
        </w:tc>
      </w:tr>
      <w:tr>
        <w:trPr>
          <w:trHeight w:val="156"/>
        </w:trPr>
        <w:tc>
          <w:tcPr>
            <w:tcW w:w="5200" w:type="dxa"/>
            <w:vAlign w:val="bottom"/>
          </w:tcPr>
          <w:p>
            <w:pPr>
              <w:ind w:left="40"/>
              <w:spacing w:after="0" w:line="156" w:lineRule="exact"/>
              <w:rPr>
                <w:sz w:val="20"/>
                <w:szCs w:val="20"/>
                <w:color w:val="auto"/>
              </w:rPr>
            </w:pPr>
            <w:r>
              <w:rPr>
                <w:rFonts w:ascii="Arial" w:cs="Arial" w:eastAsia="Arial" w:hAnsi="Arial"/>
                <w:sz w:val="15"/>
                <w:szCs w:val="15"/>
                <w:color w:val="auto"/>
                <w:w w:val="99"/>
              </w:rPr>
              <w:t>Issuance of Series A redeemable convertible preferred stock, net of derivative</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liability and issuance costs (related party)</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500,549</w:t>
            </w:r>
          </w:p>
        </w:tc>
        <w:tc>
          <w:tcPr>
            <w:tcW w:w="6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E6E6E6"/>
          </w:tcPr>
          <w:p>
            <w:pPr>
              <w:ind w:left="40"/>
              <w:spacing w:after="0" w:line="156" w:lineRule="exact"/>
              <w:rPr>
                <w:sz w:val="20"/>
                <w:szCs w:val="20"/>
                <w:color w:val="auto"/>
              </w:rPr>
            </w:pPr>
            <w:r>
              <w:rPr>
                <w:rFonts w:ascii="Arial" w:cs="Arial" w:eastAsia="Arial" w:hAnsi="Arial"/>
                <w:sz w:val="15"/>
                <w:szCs w:val="15"/>
                <w:color w:val="auto"/>
                <w:w w:val="99"/>
              </w:rPr>
              <w:t>Issuance of Series B redeemable convertible preferred stock, net of derivative</w:t>
            </w:r>
          </w:p>
        </w:tc>
        <w:tc>
          <w:tcPr>
            <w:tcW w:w="20" w:type="dxa"/>
            <w:vAlign w:val="bottom"/>
            <w:shd w:val="clear" w:color="auto" w:fill="E6E6E6"/>
          </w:tcPr>
          <w:p>
            <w:pPr>
              <w:spacing w:after="0"/>
              <w:rPr>
                <w:sz w:val="13"/>
                <w:szCs w:val="13"/>
                <w:color w:val="auto"/>
              </w:rPr>
            </w:pPr>
          </w:p>
        </w:tc>
        <w:tc>
          <w:tcPr>
            <w:tcW w:w="1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840" w:type="dxa"/>
            <w:vAlign w:val="bottom"/>
            <w:shd w:val="clear" w:color="auto" w:fill="E6E6E6"/>
          </w:tcPr>
          <w:p>
            <w:pPr>
              <w:spacing w:after="0"/>
              <w:rPr>
                <w:sz w:val="13"/>
                <w:szCs w:val="13"/>
                <w:color w:val="auto"/>
              </w:rPr>
            </w:pP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tcBorders>
              <w:left w:val="single" w:sz="8" w:color="auto"/>
            </w:tcBorders>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8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8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liability and issuance costs (related party)</w:t>
            </w:r>
          </w:p>
        </w:tc>
        <w:tc>
          <w:tcPr>
            <w:tcW w:w="11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color w:val="auto"/>
              </w:rPr>
              <w:t>75,000</w:t>
            </w: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451,683</w:t>
            </w:r>
          </w:p>
        </w:tc>
        <w:tc>
          <w:tcPr>
            <w:tcW w:w="60" w:type="dxa"/>
            <w:vAlign w:val="bottom"/>
            <w:tcBorders>
              <w:bottom w:val="single" w:sz="8" w:color="E6E6E6"/>
              <w:right w:val="single" w:sz="8" w:color="E6E6E6"/>
            </w:tcBorders>
            <w:shd w:val="clear" w:color="auto" w:fill="E6E6E6"/>
          </w:tcPr>
          <w:p>
            <w:pPr>
              <w:spacing w:after="0"/>
              <w:rPr>
                <w:sz w:val="18"/>
                <w:szCs w:val="18"/>
                <w:color w:val="auto"/>
              </w:rPr>
            </w:pPr>
          </w:p>
        </w:tc>
        <w:tc>
          <w:tcPr>
            <w:tcW w:w="60" w:type="dxa"/>
            <w:vAlign w:val="bottom"/>
            <w:tcBorders>
              <w:left w:val="single" w:sz="8" w:color="auto"/>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7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70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18"/>
                <w:szCs w:val="18"/>
                <w:color w:val="auto"/>
              </w:rPr>
            </w:pPr>
          </w:p>
        </w:tc>
        <w:tc>
          <w:tcPr>
            <w:tcW w:w="4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E6E6E6"/>
            </w:tcBorders>
            <w:shd w:val="clear" w:color="auto" w:fill="E6E6E6"/>
          </w:tcPr>
          <w:p>
            <w:pPr>
              <w:spacing w:after="0"/>
              <w:rPr>
                <w:sz w:val="18"/>
                <w:szCs w:val="18"/>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200" w:type="dxa"/>
            <w:vAlign w:val="bottom"/>
          </w:tcPr>
          <w:p>
            <w:pPr>
              <w:ind w:left="40"/>
              <w:spacing w:after="0"/>
              <w:rPr>
                <w:sz w:val="20"/>
                <w:szCs w:val="20"/>
                <w:color w:val="auto"/>
              </w:rPr>
            </w:pPr>
            <w:r>
              <w:rPr>
                <w:rFonts w:ascii="Arial" w:cs="Arial" w:eastAsia="Arial" w:hAnsi="Arial"/>
                <w:sz w:val="15"/>
                <w:szCs w:val="15"/>
                <w:color w:val="auto"/>
              </w:rPr>
              <w:t>Accretion of redeemable convertible preferred stock (related party)</w:t>
            </w:r>
          </w:p>
        </w:tc>
        <w:tc>
          <w:tcPr>
            <w:tcW w:w="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347,610</w:t>
            </w:r>
          </w:p>
        </w:tc>
        <w:tc>
          <w:tcPr>
            <w:tcW w:w="6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(347,610)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(347,610)</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E6E6E6"/>
          </w:tcPr>
          <w:p>
            <w:pPr>
              <w:ind w:left="40"/>
              <w:spacing w:after="0"/>
              <w:rPr>
                <w:sz w:val="20"/>
                <w:szCs w:val="20"/>
                <w:color w:val="auto"/>
              </w:rPr>
            </w:pPr>
            <w:r>
              <w:rPr>
                <w:rFonts w:ascii="Arial" w:cs="Arial" w:eastAsia="Arial" w:hAnsi="Arial"/>
                <w:sz w:val="15"/>
                <w:szCs w:val="15"/>
                <w:color w:val="auto"/>
              </w:rPr>
              <w:t>Stock-based compensation</w:t>
            </w:r>
          </w:p>
        </w:tc>
        <w:tc>
          <w:tcPr>
            <w:tcW w:w="2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tcBorders>
              <w:right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auto"/>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380" w:type="dxa"/>
            <w:vAlign w:val="bottom"/>
            <w:shd w:val="clear" w:color="auto" w:fill="E6E6E6"/>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8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331,534</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00" w:type="dxa"/>
            <w:vAlign w:val="bottom"/>
            <w:shd w:val="clear" w:color="auto" w:fill="E6E6E6"/>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331,534</w:t>
            </w:r>
          </w:p>
        </w:tc>
        <w:tc>
          <w:tcPr>
            <w:tcW w:w="0" w:type="dxa"/>
            <w:vAlign w:val="bottom"/>
          </w:tcPr>
          <w:p>
            <w:pPr>
              <w:spacing w:after="0"/>
              <w:rPr>
                <w:sz w:val="1"/>
                <w:szCs w:val="1"/>
                <w:color w:val="auto"/>
              </w:rPr>
            </w:pPr>
          </w:p>
        </w:tc>
      </w:tr>
      <w:tr>
        <w:trPr>
          <w:trHeight w:val="216"/>
        </w:trPr>
        <w:tc>
          <w:tcPr>
            <w:tcW w:w="5200" w:type="dxa"/>
            <w:vAlign w:val="bottom"/>
            <w:tcBorders>
              <w:top w:val="single" w:sz="8" w:color="E6E6E6"/>
            </w:tcBorders>
          </w:tcPr>
          <w:p>
            <w:pPr>
              <w:ind w:left="40"/>
              <w:spacing w:after="0"/>
              <w:rPr>
                <w:sz w:val="20"/>
                <w:szCs w:val="20"/>
                <w:color w:val="auto"/>
              </w:rPr>
            </w:pPr>
            <w:r>
              <w:rPr>
                <w:rFonts w:ascii="Arial" w:cs="Arial" w:eastAsia="Arial" w:hAnsi="Arial"/>
                <w:sz w:val="15"/>
                <w:szCs w:val="15"/>
                <w:b w:val="1"/>
                <w:bCs w:val="1"/>
                <w:color w:val="auto"/>
              </w:rPr>
              <w:t>Balance as of December 31, 2024</w:t>
            </w:r>
          </w:p>
        </w:tc>
        <w:tc>
          <w:tcPr>
            <w:tcW w:w="20" w:type="dxa"/>
            <w:vAlign w:val="bottom"/>
            <w:tcBorders>
              <w:top w:val="single" w:sz="8" w:color="E6E6E6"/>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175,000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E6E6E6"/>
              <w:bottom w:val="single" w:sz="8" w:color="auto"/>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1,299,842</w:t>
            </w:r>
          </w:p>
        </w:tc>
        <w:tc>
          <w:tcPr>
            <w:tcW w:w="60" w:type="dxa"/>
            <w:vAlign w:val="bottom"/>
            <w:tcBorders>
              <w:top w:val="single" w:sz="8" w:color="E6E6E6"/>
            </w:tcBorders>
          </w:tcPr>
          <w:p>
            <w:pPr>
              <w:spacing w:after="0"/>
              <w:rPr>
                <w:sz w:val="18"/>
                <w:szCs w:val="18"/>
                <w:color w:val="auto"/>
              </w:rPr>
            </w:pPr>
          </w:p>
        </w:tc>
        <w:tc>
          <w:tcPr>
            <w:tcW w:w="80" w:type="dxa"/>
            <w:vAlign w:val="bottom"/>
            <w:tcBorders>
              <w:top w:val="single" w:sz="8" w:color="E6E6E6"/>
              <w:left w:val="single" w:sz="8" w:color="auto"/>
            </w:tcBorders>
            <w:gridSpan w:val="2"/>
          </w:tcPr>
          <w:p>
            <w:pPr>
              <w:spacing w:after="0"/>
              <w:rPr>
                <w:sz w:val="18"/>
                <w:szCs w:val="18"/>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93"/>
              </w:rPr>
              <w:t>3,031,361,899</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E6E6E6"/>
            </w:tcBorders>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w w:val="95"/>
              </w:rPr>
              <w:t>$</w:t>
            </w:r>
          </w:p>
        </w:tc>
        <w:tc>
          <w:tcPr>
            <w:tcW w:w="3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303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E6E6E6"/>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90"/>
              </w:rPr>
              <w:t>16,808,018</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E6E6E6"/>
            </w:tcBorders>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 (20,716)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E6E6E6"/>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(2,099)</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E6E6E6"/>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(12,912,694)</w:t>
            </w:r>
          </w:p>
        </w:tc>
        <w:tc>
          <w:tcPr>
            <w:tcW w:w="80" w:type="dxa"/>
            <w:vAlign w:val="bottom"/>
            <w:tcBorders>
              <w:top w:val="single" w:sz="8" w:color="E6E6E6"/>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3,872,812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-5555615</wp:posOffset>
            </wp:positionV>
            <wp:extent cx="5822950" cy="55632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9">
                      <a:extLst>
                        <a:ext uri="{28A0092B-C50C-407E-A947-70E740481C1C}"/>
                      </a:extLst>
                    </a:blip>
                    <a:srcRect/>
                    <a:stretch>
                      <a:fillRect/>
                    </a:stretch>
                  </pic:blipFill>
                  <pic:spPr bwMode="auto">
                    <a:xfrm>
                      <a:off x="0" y="0"/>
                      <a:ext cx="5822950" cy="5563235"/>
                    </a:xfrm>
                    <a:prstGeom prst="rect">
                      <a:avLst/>
                    </a:prstGeom>
                    <a:noFill/>
                  </pic:spPr>
                </pic:pic>
              </a:graphicData>
            </a:graphic>
          </wp:anchor>
        </w:drawing>
      </w:r>
    </w:p>
    <w:p>
      <w:pPr>
        <w:spacing w:after="0" w:line="200" w:lineRule="exact"/>
        <w:rPr>
          <w:sz w:val="20"/>
          <w:szCs w:val="20"/>
          <w:color w:val="auto"/>
        </w:rPr>
      </w:pPr>
    </w:p>
    <w:p>
      <w:pPr>
        <w:sectPr>
          <w:pgSz w:w="15480" w:h="11880" w:orient="landscape"/>
          <w:cols w:equalWidth="0" w:num="2">
            <w:col w:w="195" w:space="134"/>
            <w:col w:w="14320"/>
          </w:cols>
          <w:pgMar w:left="430" w:top="319" w:right="400" w:bottom="366" w:gutter="0" w:footer="0" w:header="0"/>
        </w:sectPr>
      </w:pPr>
    </w:p>
    <w:p>
      <w:pPr>
        <w:spacing w:after="0" w:line="124" w:lineRule="exact"/>
        <w:rPr>
          <w:sz w:val="20"/>
          <w:szCs w:val="20"/>
          <w:color w:val="auto"/>
        </w:rPr>
      </w:pPr>
    </w:p>
    <w:p>
      <w:pPr>
        <w:jc w:val="center"/>
        <w:ind w:right="-32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480" w:h="11880" w:orient="landscape"/>
          <w:cols w:equalWidth="0" w:num="1">
            <w:col w:w="14650"/>
          </w:cols>
          <w:pgMar w:left="430" w:top="319" w:right="400" w:bottom="366" w:gutter="0" w:footer="0" w:header="0"/>
          <w:type w:val="continuous"/>
        </w:sectPr>
      </w:pPr>
    </w:p>
    <w:bookmarkStart w:id="222" w:name="page223"/>
    <w:bookmarkEnd w:id="222"/>
    <w:p>
      <w:pPr>
        <w:jc w:val="center"/>
        <w:spacing w:after="0"/>
        <w:rPr>
          <w:sz w:val="20"/>
          <w:szCs w:val="20"/>
          <w:color w:val="auto"/>
        </w:rPr>
      </w:pPr>
      <w:r>
        <w:rPr>
          <w:rFonts w:ascii="Arial" w:cs="Arial" w:eastAsia="Arial" w:hAnsi="Arial"/>
          <w:sz w:val="19"/>
          <w:szCs w:val="19"/>
          <w:b w:val="1"/>
          <w:bCs w:val="1"/>
          <w:color w:val="auto"/>
        </w:rPr>
        <w:t>LUCID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December 31, 2024</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NOTE 1 </w:t>
      </w:r>
      <w:r>
        <w:rPr>
          <w:rFonts w:ascii="Arial" w:cs="Arial" w:eastAsia="Arial" w:hAnsi="Arial"/>
          <w:sz w:val="19"/>
          <w:szCs w:val="19"/>
          <w:color w:val="auto"/>
        </w:rPr>
        <w:t>–</w:t>
      </w:r>
      <w:r>
        <w:rPr>
          <w:rFonts w:ascii="Arial" w:cs="Arial" w:eastAsia="Arial" w:hAnsi="Arial"/>
          <w:sz w:val="19"/>
          <w:szCs w:val="19"/>
          <w:b w:val="1"/>
          <w:bCs w:val="1"/>
          <w:color w:val="auto"/>
        </w:rPr>
        <w:t xml:space="preserve"> DESCRIPTION OF BUSINESS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Lucid Group, Inc. (“Lucid”) is a technology company that is setting new standards with the world’s most advanced electric vehicles (“EV”), the award-winning Lucid Air and all-new Lucid Gravity.</w:t>
      </w:r>
    </w:p>
    <w:p>
      <w:pPr>
        <w:spacing w:after="0" w:line="165" w:lineRule="exact"/>
        <w:rPr>
          <w:sz w:val="20"/>
          <w:szCs w:val="20"/>
          <w:color w:val="auto"/>
        </w:rPr>
      </w:pPr>
    </w:p>
    <w:p>
      <w:pPr>
        <w:jc w:val="both"/>
        <w:ind w:right="220"/>
        <w:spacing w:after="0" w:line="271" w:lineRule="auto"/>
        <w:rPr>
          <w:sz w:val="20"/>
          <w:szCs w:val="20"/>
          <w:color w:val="auto"/>
        </w:rPr>
      </w:pPr>
      <w:r>
        <w:rPr>
          <w:rFonts w:ascii="Arial" w:cs="Arial" w:eastAsia="Arial" w:hAnsi="Arial"/>
          <w:sz w:val="19"/>
          <w:szCs w:val="19"/>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w:t>
      </w:r>
    </w:p>
    <w:p>
      <w:pPr>
        <w:spacing w:after="0" w:line="249" w:lineRule="exact"/>
        <w:rPr>
          <w:sz w:val="20"/>
          <w:szCs w:val="20"/>
          <w:color w:val="auto"/>
        </w:rPr>
      </w:pPr>
    </w:p>
    <w:p>
      <w:pPr>
        <w:ind w:right="400"/>
        <w:spacing w:after="0" w:line="271" w:lineRule="auto"/>
        <w:rPr>
          <w:sz w:val="20"/>
          <w:szCs w:val="20"/>
          <w:color w:val="auto"/>
        </w:rPr>
      </w:pPr>
      <w:r>
        <w:rPr>
          <w:rFonts w:ascii="Arial" w:cs="Arial" w:eastAsia="Arial" w:hAnsi="Arial"/>
          <w:sz w:val="19"/>
          <w:szCs w:val="19"/>
          <w:color w:val="auto"/>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From inception through December 31, 2024, the Company has incurred operating losses and negative cash flows from operating activities. For the years ended December 31, 2024, 2023 and 2022, the Company has incurred net losses of $2.7 billion, $2.8 billion and $1.3 billion, respectively. The Company had an accumulated deficit of $12.9 billion as of December 31, 2024.</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spacing w:after="0" w:line="182"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The Company’s existing sources of liquidity include cash, cash equivalents, investments, and credit facilities. The Company funded operations primarily with issuances of common stock, convertible preferred stock, and convertible notes.</w:t>
      </w:r>
    </w:p>
    <w:p>
      <w:pPr>
        <w:spacing w:after="0" w:line="16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w:t>
      </w:r>
    </w:p>
    <w:p>
      <w:pPr>
        <w:spacing w:after="0" w:line="194"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In March 2023, the Company amended the GIB Facility Agreement (together with the GIB Facility Agreement, the “2023 Amended GIB Facility Agreement”) to combine the Bridge Facility and the Working Capital Facility into a committed $266.1 million revolving credit facility (the “2023 GIB Credit Facility”), which bears interest at a rate of 1.40% per annum over SAIBOR (based on the term of borrowing) and associated fees. See Note 6 “Debt” for more information.</w:t>
      </w:r>
    </w:p>
    <w:p>
      <w:pPr>
        <w:spacing w:after="0" w:line="18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February 2025, Lucid LLC, a limited liability company established in Saudi Arabia and a subsidiary of the Company (“Lucid LLC”), entered into an agreement to renew the 2023 GIB Credit Facility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See Note 18 “Subsequent Event” for more information.</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1080"/>
          </w:cols>
          <w:pgMar w:left="400" w:top="756" w:right="400" w:bottom="0" w:gutter="0" w:footer="0" w:header="0"/>
          <w:type w:val="continuous"/>
        </w:sectPr>
      </w:pPr>
    </w:p>
    <w:bookmarkStart w:id="223" w:name="page224"/>
    <w:bookmarkEnd w:id="223"/>
    <w:p>
      <w:pPr>
        <w:ind w:right="20"/>
        <w:spacing w:after="0" w:line="257" w:lineRule="auto"/>
        <w:rPr>
          <w:sz w:val="20"/>
          <w:szCs w:val="20"/>
          <w:color w:val="auto"/>
        </w:rPr>
      </w:pPr>
      <w:r>
        <w:rPr>
          <w:rFonts w:ascii="Arial" w:cs="Arial" w:eastAsia="Arial" w:hAnsi="Arial"/>
          <w:sz w:val="19"/>
          <w:szCs w:val="19"/>
          <w:color w:val="auto"/>
        </w:rPr>
        <w:t>In November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 See Note 9 “Stockholders’ Equity” and Note 16 “Related Party Transactions” for more information.</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In May 2023, the Company entered into an underwriting agreement (the “2023 Underwriting Agreement”) with BofA Securities, Inc. (the “Underwriter”), under which the Underwriter agreed to purchase from the Company shares of the Company’s common stock in a public offering for aggregate net proceeds to the Company of $1.2 billion. In May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2023 Underwriting Agreement for aggregate net proceeds of $1.2 billion and also consummated the private placement to Ayar pursuant to the 2023 Subscription Agreement for aggregate net proceeds of $1.8 billion. See Note 9 “Stockholders’ Equity” and Note 16 “Related Party Transactions” for more information.</w:t>
      </w:r>
    </w:p>
    <w:p>
      <w:pPr>
        <w:spacing w:after="0" w:line="19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spacing w:after="0" w:line="182"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spacing w:after="0" w:line="168" w:lineRule="exact"/>
        <w:rPr>
          <w:sz w:val="20"/>
          <w:szCs w:val="20"/>
          <w:color w:val="auto"/>
        </w:rPr>
      </w:pPr>
    </w:p>
    <w:p>
      <w:pPr>
        <w:ind w:right="460"/>
        <w:spacing w:after="0" w:line="289" w:lineRule="auto"/>
        <w:rPr>
          <w:sz w:val="20"/>
          <w:szCs w:val="20"/>
          <w:color w:val="auto"/>
        </w:rPr>
      </w:pPr>
      <w:r>
        <w:rPr>
          <w:rFonts w:ascii="Arial" w:cs="Arial" w:eastAsia="Arial" w:hAnsi="Arial"/>
          <w:sz w:val="19"/>
          <w:szCs w:val="19"/>
          <w:color w:val="auto"/>
        </w:rPr>
        <w:t>In August 2024, the Company entered into a $750.0 million five-year unsecured delayed draw term loan credit facility (the “DDTL Credit Facility”) with Ayar. See Note 6 “Debt” and Note 16 “Related Party Transactions” for more information.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2024, the Company entered into an underwriting agreement (the “2024 Underwriting Agreement”) with the Underwriter, under which the Underwriter agreed to purchase shares of the Company’s common stock. The Company also granted the Underwriter a 30-day option to purchase additional shares of its common stock (the “Overallotment Option”), and the Underwriter exercised the Overallotment Option to purchase additional shares. In October 2024, the Company also entered into a subscription agreement (the “2024 Subscription Agreement”) with Ayar, pursuant to which Ayar agreed to purchase from the Company shares of the Company’s common stock in a private placement. In addition, given the Underwriter’s exercise of the Overallotment Option, Ayar agreed to purchase additional shares of the Company’s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9 “Stockholders’ Equity” and Note 16 “Related Party Transactions” for more information.</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1080"/>
          </w:cols>
          <w:pgMar w:left="400" w:top="763" w:right="400" w:bottom="0" w:gutter="0" w:footer="0" w:header="0"/>
          <w:type w:val="continuous"/>
        </w:sectPr>
      </w:pPr>
    </w:p>
    <w:bookmarkStart w:id="224" w:name="page225"/>
    <w:bookmarkEnd w:id="224"/>
    <w:p>
      <w:pPr>
        <w:spacing w:after="0"/>
        <w:rPr>
          <w:sz w:val="20"/>
          <w:szCs w:val="20"/>
          <w:color w:val="auto"/>
        </w:rPr>
      </w:pPr>
      <w:r>
        <w:rPr>
          <w:rFonts w:ascii="Arial" w:cs="Arial" w:eastAsia="Arial" w:hAnsi="Arial"/>
          <w:sz w:val="19"/>
          <w:szCs w:val="19"/>
          <w:b w:val="1"/>
          <w:bCs w:val="1"/>
          <w:color w:val="auto"/>
        </w:rPr>
        <w:t>Certain Significant Risks and Uncertainties</w:t>
      </w:r>
    </w:p>
    <w:p>
      <w:pPr>
        <w:spacing w:after="0" w:line="234"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construction of the CBU portion of AMP-2 in Saudi Arabia, (iv) further construction of AMP-1 phase 2 in Casa Grande, Arizona,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the need to further develop its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spacing w:after="0" w:line="18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 global economic recession or other economic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economic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Item 1A of Part I of this Annual Report on Form 10-K (the “Annual Report”) for more information regarding risks associated with a global economic recession, including under the caption “</w:t>
      </w:r>
      <w:r>
        <w:rPr>
          <w:rFonts w:ascii="Arial" w:cs="Arial" w:eastAsia="Arial" w:hAnsi="Arial"/>
          <w:sz w:val="18"/>
          <w:szCs w:val="18"/>
          <w:b w:val="1"/>
          <w:bCs w:val="1"/>
          <w:i w:val="1"/>
          <w:iCs w:val="1"/>
          <w:color w:val="auto"/>
        </w:rPr>
        <w:t>A global economic recession, government closures of banks and liquidity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concerns at other financial institutions, or other downturn may have a material adverse impact on our business, prospects, results of operations and financial condition.</w:t>
      </w:r>
      <w:r>
        <w:rPr>
          <w:rFonts w:ascii="Arial" w:cs="Arial" w:eastAsia="Arial" w:hAnsi="Arial"/>
          <w:sz w:val="18"/>
          <w:szCs w:val="18"/>
          <w:color w:val="auto"/>
        </w:rPr>
        <w:t>”</w:t>
      </w:r>
    </w:p>
    <w:p>
      <w:pPr>
        <w:spacing w:after="0" w:line="189"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pacing w:after="0" w:line="139" w:lineRule="exact"/>
        <w:rPr>
          <w:sz w:val="20"/>
          <w:szCs w:val="20"/>
          <w:color w:val="auto"/>
        </w:rPr>
      </w:pPr>
    </w:p>
    <w:p>
      <w:pPr>
        <w:ind w:right="5120"/>
        <w:spacing w:after="0" w:line="508" w:lineRule="auto"/>
        <w:rPr>
          <w:sz w:val="20"/>
          <w:szCs w:val="20"/>
          <w:color w:val="auto"/>
        </w:rPr>
      </w:pPr>
      <w:r>
        <w:rPr>
          <w:rFonts w:ascii="Arial" w:cs="Arial" w:eastAsia="Arial" w:hAnsi="Arial"/>
          <w:sz w:val="19"/>
          <w:szCs w:val="19"/>
          <w:b w:val="1"/>
          <w:bCs w:val="1"/>
          <w:color w:val="auto"/>
        </w:rPr>
        <w:t xml:space="preserve">NOTE 2 </w:t>
      </w:r>
      <w:r>
        <w:rPr>
          <w:rFonts w:ascii="Arial" w:cs="Arial" w:eastAsia="Arial" w:hAnsi="Arial"/>
          <w:sz w:val="19"/>
          <w:szCs w:val="19"/>
          <w:color w:val="auto"/>
        </w:rPr>
        <w:t>–</w:t>
      </w:r>
      <w:r>
        <w:rPr>
          <w:rFonts w:ascii="Arial" w:cs="Arial" w:eastAsia="Arial" w:hAnsi="Arial"/>
          <w:sz w:val="19"/>
          <w:szCs w:val="19"/>
          <w:b w:val="1"/>
          <w:bCs w:val="1"/>
          <w:color w:val="auto"/>
        </w:rPr>
        <w:t xml:space="preserve"> SUMMARY OF SIGNIFICANT ACCOUNTING POLICIES Basis of Presentation and Principles of Consolidation</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Reporting</w:t>
      </w:r>
    </w:p>
    <w:p>
      <w:pPr>
        <w:spacing w:after="0" w:line="24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pgSz w:w="11880" w:h="15480" w:orient="portrait"/>
          <w:cols w:equalWidth="0" w:num="1">
            <w:col w:w="11020"/>
          </w:cols>
          <w:pgMar w:left="400" w:top="1217" w:right="4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1020"/>
          </w:cols>
          <w:pgMar w:left="400" w:top="1217" w:right="460" w:bottom="0" w:gutter="0" w:footer="0" w:header="0"/>
          <w:type w:val="continuous"/>
        </w:sectPr>
      </w:pPr>
    </w:p>
    <w:bookmarkStart w:id="225" w:name="page226"/>
    <w:bookmarkEnd w:id="225"/>
    <w:p>
      <w:pPr>
        <w:spacing w:after="0"/>
        <w:rPr>
          <w:sz w:val="20"/>
          <w:szCs w:val="20"/>
          <w:color w:val="auto"/>
        </w:rPr>
      </w:pPr>
      <w:r>
        <w:rPr>
          <w:rFonts w:ascii="Arial" w:cs="Arial" w:eastAsia="Arial" w:hAnsi="Arial"/>
          <w:sz w:val="19"/>
          <w:szCs w:val="19"/>
          <w:b w:val="1"/>
          <w:bCs w:val="1"/>
          <w:color w:val="auto"/>
        </w:rPr>
        <w:t>Use of Estimates</w:t>
      </w:r>
    </w:p>
    <w:p>
      <w:pPr>
        <w:spacing w:after="0" w:line="24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Cash Equivalents and Restricted Cash</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Company considers all highly liquid investments with an original maturity at the date of purchase of three months or less to be cash equivalents.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Restricted cash in other current assets is primarily related to letters of credit issued to the landlords for certain of the Company’s leased facilities.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following table provides a reconciliation of cash, cash equivalents, and restricted cash to amounts shown in the statements of cash flows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5"/>
                <w:szCs w:val="15"/>
                <w:b w:val="1"/>
                <w:bCs w:val="1"/>
                <w:color w:val="auto"/>
              </w:rPr>
              <w:t>December 31,</w:t>
            </w:r>
          </w:p>
        </w:tc>
      </w:tr>
      <w:tr>
        <w:trPr>
          <w:trHeight w:val="211"/>
        </w:trPr>
        <w:tc>
          <w:tcPr>
            <w:tcW w:w="850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Cash and cash equivalents</w:t>
            </w:r>
          </w:p>
        </w:tc>
        <w:tc>
          <w:tcPr>
            <w:tcW w:w="280" w:type="dxa"/>
            <w:vAlign w:val="bottom"/>
            <w:shd w:val="clear" w:color="auto" w:fill="E6E6E6"/>
          </w:tcPr>
          <w:p>
            <w:pPr>
              <w:jc w:val="right"/>
              <w:ind w:right="24"/>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1,606,865</w:t>
            </w:r>
          </w:p>
        </w:tc>
        <w:tc>
          <w:tcPr>
            <w:tcW w:w="34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1,369,947</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Restricted cash included in other current assets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1,560</w:t>
            </w:r>
          </w:p>
        </w:tc>
      </w:tr>
      <w:tr>
        <w:trPr>
          <w:trHeight w:val="289"/>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Restricted cash included in other noncurrent assets</w:t>
            </w: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173</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53"/>
        </w:trPr>
        <w:tc>
          <w:tcPr>
            <w:tcW w:w="8500" w:type="dxa"/>
            <w:vAlign w:val="bottom"/>
          </w:tcPr>
          <w:p>
            <w:pPr>
              <w:ind w:left="60"/>
              <w:spacing w:after="0" w:line="216" w:lineRule="exact"/>
              <w:rPr>
                <w:sz w:val="20"/>
                <w:szCs w:val="20"/>
                <w:color w:val="auto"/>
              </w:rPr>
            </w:pPr>
            <w:r>
              <w:rPr>
                <w:rFonts w:ascii="Arial" w:cs="Arial" w:eastAsia="Arial" w:hAnsi="Arial"/>
                <w:sz w:val="19"/>
                <w:szCs w:val="19"/>
                <w:color w:val="auto"/>
              </w:rPr>
              <w:t>Total cash, cash equivalents, and restricted cash</w:t>
            </w:r>
          </w:p>
        </w:tc>
        <w:tc>
          <w:tcPr>
            <w:tcW w:w="280" w:type="dxa"/>
            <w:vAlign w:val="bottom"/>
            <w:tcBorders>
              <w:bottom w:val="single" w:sz="8" w:color="auto"/>
            </w:tcBorders>
          </w:tcPr>
          <w:p>
            <w:pPr>
              <w:jc w:val="right"/>
              <w:ind w:right="24"/>
              <w:spacing w:after="0" w:line="216"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1,607,052</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4"/>
              <w:spacing w:after="0" w:line="216"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1,371,507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-725805</wp:posOffset>
            </wp:positionV>
            <wp:extent cx="165417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0">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1">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32">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Investments</w:t>
      </w:r>
    </w:p>
    <w:p>
      <w:pPr>
        <w:spacing w:after="0" w:line="24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income (loss) which is included within stockholders’ equity. Interest, as well as amortization and accretion of purchase premiums and discounts on its investments of available-for-sale securities are included in interest income. The cost of securities sold is determined using the specific identification method. Realized gains and losses on the sale of available-for-sale securities are recorded in other income (expense), net in the consolidated statements of operations and comprehensive loss.</w:t>
      </w:r>
    </w:p>
    <w:p>
      <w:pPr>
        <w:spacing w:after="0" w:line="184" w:lineRule="exact"/>
        <w:rPr>
          <w:sz w:val="20"/>
          <w:szCs w:val="20"/>
          <w:color w:val="auto"/>
        </w:rPr>
      </w:pPr>
    </w:p>
    <w:p>
      <w:pPr>
        <w:jc w:val="both"/>
        <w:ind w:right="480"/>
        <w:spacing w:after="0" w:line="271" w:lineRule="auto"/>
        <w:rPr>
          <w:sz w:val="20"/>
          <w:szCs w:val="20"/>
          <w:color w:val="auto"/>
        </w:rPr>
      </w:pPr>
      <w:r>
        <w:rPr>
          <w:rFonts w:ascii="Arial" w:cs="Arial" w:eastAsia="Arial" w:hAnsi="Arial"/>
          <w:sz w:val="19"/>
          <w:szCs w:val="19"/>
          <w:color w:val="auto"/>
        </w:rPr>
        <w:t>The Company regularly reviews its investment portfolio of available-for-sale securities for allowance for credit losses. Factors considered include severity of declines in fair values below amortized costs, adverse conditions related to securities, creditworthiness of the security issuers, and collectability of principal and interest payments.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Securities</w:t>
      </w:r>
    </w:p>
    <w:p>
      <w:pPr>
        <w:spacing w:after="0" w:line="249" w:lineRule="exact"/>
        <w:rPr>
          <w:sz w:val="20"/>
          <w:szCs w:val="20"/>
          <w:color w:val="auto"/>
        </w:rPr>
      </w:pPr>
    </w:p>
    <w:p>
      <w:pPr>
        <w:ind w:right="380"/>
        <w:spacing w:after="0" w:line="289" w:lineRule="auto"/>
        <w:rPr>
          <w:sz w:val="20"/>
          <w:szCs w:val="20"/>
          <w:color w:val="auto"/>
        </w:rPr>
      </w:pPr>
      <w:r>
        <w:rPr>
          <w:rFonts w:ascii="Arial" w:cs="Arial" w:eastAsia="Arial" w:hAnsi="Arial"/>
          <w:sz w:val="19"/>
          <w:szCs w:val="19"/>
          <w:color w:val="auto"/>
        </w:rPr>
        <w:t>The Company’s equity securities with readily determinable fair value are measured and stated at fair value with unrealized gains and losses recorded in the consolidated statements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Accounts Receivable, Net</w:t>
      </w:r>
    </w:p>
    <w:p>
      <w:pPr>
        <w:spacing w:after="0" w:line="249" w:lineRule="exact"/>
        <w:rPr>
          <w:sz w:val="20"/>
          <w:szCs w:val="20"/>
          <w:color w:val="auto"/>
        </w:rPr>
      </w:pPr>
    </w:p>
    <w:p>
      <w:pPr>
        <w:jc w:val="both"/>
        <w:ind w:right="80"/>
        <w:spacing w:after="0" w:line="317" w:lineRule="auto"/>
        <w:rPr>
          <w:sz w:val="20"/>
          <w:szCs w:val="20"/>
          <w:color w:val="auto"/>
        </w:rPr>
      </w:pPr>
      <w:r>
        <w:rPr>
          <w:rFonts w:ascii="Arial" w:cs="Arial" w:eastAsia="Arial" w:hAnsi="Arial"/>
          <w:sz w:val="17"/>
          <w:szCs w:val="17"/>
          <w:color w:val="auto"/>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credit losses as of December 31, 2024 and 2023.</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1080"/>
          </w:cols>
          <w:pgMar w:left="400" w:top="756" w:right="400" w:bottom="0" w:gutter="0" w:footer="0" w:header="0"/>
          <w:type w:val="continuous"/>
        </w:sectPr>
      </w:pPr>
    </w:p>
    <w:bookmarkStart w:id="226" w:name="page227"/>
    <w:bookmarkEnd w:id="226"/>
    <w:p>
      <w:pPr>
        <w:spacing w:after="0"/>
        <w:rPr>
          <w:sz w:val="20"/>
          <w:szCs w:val="20"/>
          <w:color w:val="auto"/>
        </w:rPr>
      </w:pPr>
      <w:r>
        <w:rPr>
          <w:rFonts w:ascii="Arial" w:cs="Arial" w:eastAsia="Arial" w:hAnsi="Arial"/>
          <w:sz w:val="19"/>
          <w:szCs w:val="19"/>
          <w:b w:val="1"/>
          <w:bCs w:val="1"/>
          <w:color w:val="auto"/>
        </w:rPr>
        <w:t>Concentration of Credit Risk</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December 31, 2024 and 2023, accounts receivable from the EV purchase agreement with the Government of Saudi Arabia, a related party of the Public Investment Fund (“PIF”), which is an affiliate of Ayar, as represented by the Ministry of Finance (the “EV Purchase Agreement”), represented 51.7% and 68.5% of the total accounts receivable balance, respectively. See Note 16 “Related Party Transactions”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Concentration of Supply Risk</w:t>
      </w:r>
    </w:p>
    <w:p>
      <w:pPr>
        <w:spacing w:after="0" w:line="249" w:lineRule="exact"/>
        <w:rPr>
          <w:sz w:val="20"/>
          <w:szCs w:val="20"/>
          <w:color w:val="auto"/>
        </w:rPr>
      </w:pPr>
    </w:p>
    <w:p>
      <w:pPr>
        <w:jc w:val="both"/>
        <w:ind w:right="380"/>
        <w:spacing w:after="0" w:line="265" w:lineRule="auto"/>
        <w:rPr>
          <w:sz w:val="20"/>
          <w:szCs w:val="20"/>
          <w:color w:val="auto"/>
        </w:rPr>
      </w:pPr>
      <w:r>
        <w:rPr>
          <w:rFonts w:ascii="Arial" w:cs="Arial" w:eastAsia="Arial" w:hAnsi="Arial"/>
          <w:sz w:val="19"/>
          <w:szCs w:val="19"/>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Inventory</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and market conditions, the excess amounts are written-off.</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8"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In the event there are changes in our estimates of future selling prices or production costs, the Company may be required to record additional and potentially material write-downs. A small change in the Company’s estimates may result in a material change in its reported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Plant, and Equipment, Net</w:t>
      </w:r>
    </w:p>
    <w:p>
      <w:pPr>
        <w:spacing w:after="0" w:line="249"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Property, plant, and equipment are stated at cost, less accumulated depreciation. Depreciation is recorded using the straight-line method over the estimated useful lives of the related assets. Interest expense capitalized for significant capital asset construction in progress is included within property, plant and equipment, net and is amortized over the life of the related assets. The Company capitalizes qualified costs incurred during the application development stage of internal use software. Costs incurred during the preliminary project stage and post-implementation stage are expensed.</w:t>
      </w:r>
    </w:p>
    <w:p>
      <w:pPr>
        <w:spacing w:after="0" w:line="191" w:lineRule="exact"/>
        <w:rPr>
          <w:sz w:val="20"/>
          <w:szCs w:val="20"/>
          <w:color w:val="auto"/>
        </w:rPr>
      </w:pPr>
    </w:p>
    <w:p>
      <w:pPr>
        <w:ind w:right="460"/>
        <w:spacing w:after="0" w:line="271" w:lineRule="auto"/>
        <w:rPr>
          <w:sz w:val="20"/>
          <w:szCs w:val="20"/>
          <w:color w:val="auto"/>
        </w:rPr>
      </w:pPr>
      <w:r>
        <w:rPr>
          <w:rFonts w:ascii="Arial" w:cs="Arial" w:eastAsia="Arial" w:hAnsi="Arial"/>
          <w:sz w:val="19"/>
          <w:szCs w:val="19"/>
          <w:color w:val="auto"/>
        </w:rPr>
        <w:t>The Company classifies vehicles sold with repurchase obligations that are accounted for as operating leases within Property, plant and equipment, which are initially measured at cost and depreciated on a straight-line basis to the estimated residual value over the contractual period.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The Company generally uses the following estimated useful lives for each asset category: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0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Asset Category</w:t>
            </w:r>
          </w:p>
        </w:tc>
        <w:tc>
          <w:tcPr>
            <w:tcW w:w="60" w:type="dxa"/>
            <w:vAlign w:val="bottom"/>
            <w:tcBorders>
              <w:bottom w:val="single" w:sz="8" w:color="E6E6E6"/>
            </w:tcBorders>
          </w:tcPr>
          <w:p>
            <w:pPr>
              <w:spacing w:after="0"/>
              <w:rPr>
                <w:sz w:val="22"/>
                <w:szCs w:val="22"/>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Life (years)</w:t>
            </w:r>
          </w:p>
        </w:tc>
      </w:tr>
      <w:tr>
        <w:trPr>
          <w:trHeight w:val="264"/>
        </w:trPr>
        <w:tc>
          <w:tcPr>
            <w:tcW w:w="5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Machinery, tooling and vehicles</w:t>
            </w:r>
          </w:p>
        </w:tc>
        <w:tc>
          <w:tcPr>
            <w:tcW w:w="578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94"/>
              </w:rPr>
              <w:t>3 - 15</w:t>
            </w:r>
          </w:p>
        </w:tc>
      </w:tr>
      <w:tr>
        <w:trPr>
          <w:trHeight w:val="268"/>
        </w:trPr>
        <w:tc>
          <w:tcPr>
            <w:tcW w:w="5300" w:type="dxa"/>
            <w:vAlign w:val="bottom"/>
          </w:tcPr>
          <w:p>
            <w:pPr>
              <w:ind w:left="60"/>
              <w:spacing w:after="0"/>
              <w:rPr>
                <w:sz w:val="20"/>
                <w:szCs w:val="20"/>
                <w:color w:val="auto"/>
              </w:rPr>
            </w:pPr>
            <w:r>
              <w:rPr>
                <w:rFonts w:ascii="Arial" w:cs="Arial" w:eastAsia="Arial" w:hAnsi="Arial"/>
                <w:sz w:val="19"/>
                <w:szCs w:val="19"/>
                <w:color w:val="auto"/>
              </w:rPr>
              <w:t>Computer equipment and software</w:t>
            </w:r>
          </w:p>
        </w:tc>
        <w:tc>
          <w:tcPr>
            <w:tcW w:w="5780" w:type="dxa"/>
            <w:vAlign w:val="bottom"/>
            <w:gridSpan w:val="2"/>
          </w:tcPr>
          <w:p>
            <w:pPr>
              <w:jc w:val="center"/>
              <w:spacing w:after="0"/>
              <w:rPr>
                <w:sz w:val="20"/>
                <w:szCs w:val="20"/>
                <w:color w:val="auto"/>
              </w:rPr>
            </w:pPr>
            <w:r>
              <w:rPr>
                <w:rFonts w:ascii="Arial" w:cs="Arial" w:eastAsia="Arial" w:hAnsi="Arial"/>
                <w:sz w:val="19"/>
                <w:szCs w:val="19"/>
                <w:color w:val="auto"/>
                <w:w w:val="94"/>
              </w:rPr>
              <w:t>3</w:t>
            </w:r>
          </w:p>
        </w:tc>
      </w:tr>
      <w:tr>
        <w:trPr>
          <w:trHeight w:val="280"/>
        </w:trPr>
        <w:tc>
          <w:tcPr>
            <w:tcW w:w="5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Furniture and fixtures</w:t>
            </w:r>
          </w:p>
        </w:tc>
        <w:tc>
          <w:tcPr>
            <w:tcW w:w="578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94"/>
              </w:rPr>
              <w:t>5</w:t>
            </w:r>
          </w:p>
        </w:tc>
      </w:tr>
      <w:tr>
        <w:trPr>
          <w:trHeight w:val="268"/>
        </w:trPr>
        <w:tc>
          <w:tcPr>
            <w:tcW w:w="5300" w:type="dxa"/>
            <w:vAlign w:val="bottom"/>
          </w:tcPr>
          <w:p>
            <w:pPr>
              <w:ind w:left="60"/>
              <w:spacing w:after="0"/>
              <w:rPr>
                <w:sz w:val="20"/>
                <w:szCs w:val="20"/>
                <w:color w:val="auto"/>
              </w:rPr>
            </w:pPr>
            <w:r>
              <w:rPr>
                <w:rFonts w:ascii="Arial" w:cs="Arial" w:eastAsia="Arial" w:hAnsi="Arial"/>
                <w:sz w:val="19"/>
                <w:szCs w:val="19"/>
                <w:color w:val="auto"/>
              </w:rPr>
              <w:t>Finance leases</w:t>
            </w:r>
          </w:p>
        </w:tc>
        <w:tc>
          <w:tcPr>
            <w:tcW w:w="60" w:type="dxa"/>
            <w:vAlign w:val="bottom"/>
          </w:tcPr>
          <w:p>
            <w:pPr>
              <w:spacing w:after="0"/>
              <w:rPr>
                <w:sz w:val="23"/>
                <w:szCs w:val="23"/>
                <w:color w:val="auto"/>
              </w:rPr>
            </w:pPr>
          </w:p>
        </w:tc>
        <w:tc>
          <w:tcPr>
            <w:tcW w:w="5720" w:type="dxa"/>
            <w:vAlign w:val="bottom"/>
          </w:tcPr>
          <w:p>
            <w:pPr>
              <w:jc w:val="center"/>
              <w:spacing w:after="0"/>
              <w:rPr>
                <w:sz w:val="20"/>
                <w:szCs w:val="20"/>
                <w:color w:val="auto"/>
              </w:rPr>
            </w:pPr>
            <w:r>
              <w:rPr>
                <w:rFonts w:ascii="Arial" w:cs="Arial" w:eastAsia="Arial" w:hAnsi="Arial"/>
                <w:sz w:val="19"/>
                <w:szCs w:val="19"/>
                <w:color w:val="auto"/>
                <w:w w:val="89"/>
              </w:rPr>
              <w:t>Shorter of the lease term or the estimated useful lives of the assets</w:t>
            </w:r>
          </w:p>
        </w:tc>
      </w:tr>
      <w:tr>
        <w:trPr>
          <w:trHeight w:val="280"/>
        </w:trPr>
        <w:tc>
          <w:tcPr>
            <w:tcW w:w="5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Building and improvements</w:t>
            </w:r>
          </w:p>
        </w:tc>
        <w:tc>
          <w:tcPr>
            <w:tcW w:w="578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94"/>
              </w:rPr>
              <w:t>5 - 40</w:t>
            </w:r>
          </w:p>
        </w:tc>
      </w:tr>
      <w:tr>
        <w:trPr>
          <w:trHeight w:val="262"/>
        </w:trPr>
        <w:tc>
          <w:tcPr>
            <w:tcW w:w="5300" w:type="dxa"/>
            <w:vAlign w:val="bottom"/>
          </w:tcPr>
          <w:p>
            <w:pPr>
              <w:ind w:left="60"/>
              <w:spacing w:after="0"/>
              <w:rPr>
                <w:sz w:val="20"/>
                <w:szCs w:val="20"/>
                <w:color w:val="auto"/>
              </w:rPr>
            </w:pPr>
            <w:r>
              <w:rPr>
                <w:rFonts w:ascii="Arial" w:cs="Arial" w:eastAsia="Arial" w:hAnsi="Arial"/>
                <w:sz w:val="19"/>
                <w:szCs w:val="19"/>
                <w:color w:val="auto"/>
              </w:rPr>
              <w:t>Leasehold improvements</w:t>
            </w:r>
          </w:p>
        </w:tc>
        <w:tc>
          <w:tcPr>
            <w:tcW w:w="60" w:type="dxa"/>
            <w:vAlign w:val="bottom"/>
          </w:tcPr>
          <w:p>
            <w:pPr>
              <w:spacing w:after="0"/>
              <w:rPr>
                <w:sz w:val="22"/>
                <w:szCs w:val="22"/>
                <w:color w:val="auto"/>
              </w:rPr>
            </w:pPr>
          </w:p>
        </w:tc>
        <w:tc>
          <w:tcPr>
            <w:tcW w:w="5720" w:type="dxa"/>
            <w:vAlign w:val="bottom"/>
          </w:tcPr>
          <w:p>
            <w:pPr>
              <w:jc w:val="center"/>
              <w:spacing w:after="0"/>
              <w:rPr>
                <w:sz w:val="20"/>
                <w:szCs w:val="20"/>
                <w:color w:val="auto"/>
              </w:rPr>
            </w:pPr>
            <w:r>
              <w:rPr>
                <w:rFonts w:ascii="Arial" w:cs="Arial" w:eastAsia="Arial" w:hAnsi="Arial"/>
                <w:sz w:val="19"/>
                <w:szCs w:val="19"/>
                <w:color w:val="auto"/>
                <w:w w:val="90"/>
              </w:rPr>
              <w:t>Shorter of remaining lease term or the estimated useful lives of the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-1047115</wp:posOffset>
            </wp:positionV>
            <wp:extent cx="70523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3">
                      <a:extLst>
                        <a:ext uri="{28A0092B-C50C-407E-A947-70E740481C1C}"/>
                      </a:extLst>
                    </a:blip>
                    <a:srcRect/>
                    <a:stretch>
                      <a:fillRect/>
                    </a:stretch>
                  </pic:blipFill>
                  <pic:spPr bwMode="auto">
                    <a:xfrm>
                      <a:off x="0" y="0"/>
                      <a:ext cx="7052310" cy="25400"/>
                    </a:xfrm>
                    <a:prstGeom prst="rect">
                      <a:avLst/>
                    </a:prstGeom>
                    <a:noFill/>
                  </pic:spPr>
                </pic:pic>
              </a:graphicData>
            </a:graphic>
          </wp:anchor>
        </w:drawing>
      </w:r>
    </w:p>
    <w:p>
      <w:pPr>
        <w:spacing w:after="0" w:line="258"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Management determines the useful lives of the Company’s property and equipment when those assets are initially recognized and routinely reviews the remaining estimated useful lives. Current estimate of useful lives represents the best estimate of the useful lives based on the Company’s current facts and circumstances, but may differ from the actual useful lives due to changes to its business operations, changes in the planned use of assets, and the technological advancements. When management changes the estimate useful life assumption for any asset, the remaining carrying amount of the asset is accounted for prospectively and depreciated over the revised estimated useful life.</w:t>
      </w:r>
    </w:p>
    <w:p>
      <w:pPr>
        <w:sectPr>
          <w:pgSz w:w="11880" w:h="15480" w:orient="portrait"/>
          <w:cols w:equalWidth="0" w:num="1">
            <w:col w:w="11080"/>
          </w:cols>
          <w:pgMar w:left="400" w:top="756" w:right="400" w:bottom="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1080"/>
          </w:cols>
          <w:pgMar w:left="400" w:top="756" w:right="400" w:bottom="0" w:gutter="0" w:footer="0" w:header="0"/>
          <w:type w:val="continuous"/>
        </w:sectPr>
      </w:pPr>
    </w:p>
    <w:bookmarkStart w:id="227" w:name="page228"/>
    <w:bookmarkEnd w:id="227"/>
    <w:p>
      <w:pPr>
        <w:ind w:right="200"/>
        <w:spacing w:after="0" w:line="262" w:lineRule="auto"/>
        <w:rPr>
          <w:sz w:val="20"/>
          <w:szCs w:val="20"/>
          <w:color w:val="auto"/>
        </w:rPr>
      </w:pPr>
      <w:r>
        <w:rPr>
          <w:rFonts w:ascii="Arial" w:cs="Arial" w:eastAsia="Arial" w:hAnsi="Arial"/>
          <w:sz w:val="19"/>
          <w:szCs w:val="19"/>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the consolidated statement of operations and comprehensive loss. The disposition loss on fixed assets recorded for the years ended December 31, 2024, 2023 and 2022 was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Impairment of Long-Lived Assets</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Long-lived assets, including property, plant and equipment and right-of-use (“ROU”) assets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The Company recognized impairment loss of $15.3 million for the year ended December 31, 2023. Impairment loss recognized for the years ended December 31, 2024 and 2022 was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 has lease agreements with lease and non-lease components and has elected not to utilize the practical expedient to account for lease and non-lease components together, rather the Company accounts for the lease and non-lease components separately in the consolidated financial statements. The Company has also elected not to record ROU assets and corresponding lease liabilities for short-term leases having initial terms of 12 months or less if the leases do not contain a purchase option or renewal term that the Company is reasonably certain to exercise. Instead, the Company recognizes lease payments on a straight-line basis over the lease term.</w:t>
      </w:r>
    </w:p>
    <w:p>
      <w:pPr>
        <w:spacing w:after="0" w:line="176"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Operating lease assets are included within operating lease ROU assets. Finance lease assets are included within property, plant and equipment, net. The corresponding operating lease liabilities are included within other current liabilities and other long-term liabilities; the finance lease liabilities are included within finance lease liabilities, current portion and finance lease liabilities, net of current portion on the Company’s consolidated balance sheets as of December 31, 2024 and 2023.</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All lease assets and lease liabilities are recognized based on the present value of lease payments over the lease term. The Company estimates the Company’s incremental borrowing rate based on the information available at lease commencement date in determining the present value of lease payments.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Currency</w:t>
      </w:r>
    </w:p>
    <w:p>
      <w:pPr>
        <w:spacing w:after="0" w:line="249"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The Company determines the functional currency of our foreign subsidiaries based on the primary currency in which they operate. The Company translates all assets and liabilities of foreign subsidiaries to U.S. dollars at the current exchange rate as of each balance sheet date. Revenue and expenses are translated at the average exchange rate prevailing during the period. Any resulting translation adjustments are included in accumulated other comprehensive income (loss). The assets and liabilities of foreign subsidiaries whose local currency is not their functional currency are remeasured from their local currency to their functional currency and then translated to U.S. Dollars.</w:t>
      </w:r>
    </w:p>
    <w:p>
      <w:pPr>
        <w:spacing w:after="0" w:line="137"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Foreign currency transaction gains and losses are a result of the effect of exchange rate changes on transactions denominated in currencies other than the functional currency. Gains and losses arising from foreign currency transactions and the effects of remeasurements are recorded within other income (expense), net within the Company’s consolidated statements of operations and comprehensive loss. Foreign currency transaction gains and losses were not material for the years ended December 31, 2024, 2023 and 2022.</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from Contracts with Customers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Vehicle Sales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Vehicle Sales without Residual Value Guarantee</w:t>
      </w:r>
    </w:p>
    <w:p>
      <w:pPr>
        <w:spacing w:after="0" w:line="245" w:lineRule="exact"/>
        <w:rPr>
          <w:sz w:val="20"/>
          <w:szCs w:val="20"/>
          <w:color w:val="auto"/>
        </w:rPr>
      </w:pPr>
    </w:p>
    <w:p>
      <w:pPr>
        <w:jc w:val="both"/>
        <w:ind w:right="100"/>
        <w:spacing w:after="0" w:line="265" w:lineRule="auto"/>
        <w:rPr>
          <w:sz w:val="20"/>
          <w:szCs w:val="20"/>
          <w:color w:val="auto"/>
        </w:rPr>
      </w:pPr>
      <w:r>
        <w:rPr>
          <w:rFonts w:ascii="Arial" w:cs="Arial" w:eastAsia="Arial" w:hAnsi="Arial"/>
          <w:sz w:val="19"/>
          <w:szCs w:val="19"/>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four years. Shipping and handling provided by the Company is considered a fulfillment activity.</w:t>
      </w:r>
    </w:p>
    <w:p>
      <w:pPr>
        <w:sectPr>
          <w:pgSz w:w="11880" w:h="15480" w:orient="portrait"/>
          <w:cols w:equalWidth="0" w:num="1">
            <w:col w:w="11080"/>
          </w:cols>
          <w:pgMar w:left="400" w:top="763" w:right="400" w:bottom="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1080"/>
          </w:cols>
          <w:pgMar w:left="400" w:top="763" w:right="400" w:bottom="0" w:gutter="0" w:footer="0" w:header="0"/>
          <w:type w:val="continuous"/>
        </w:sectPr>
      </w:pPr>
    </w:p>
    <w:bookmarkStart w:id="228" w:name="page229"/>
    <w:bookmarkEnd w:id="228"/>
    <w:p>
      <w:pPr>
        <w:spacing w:after="0" w:line="294" w:lineRule="auto"/>
        <w:rPr>
          <w:sz w:val="20"/>
          <w:szCs w:val="20"/>
          <w:color w:val="auto"/>
        </w:rPr>
      </w:pPr>
      <w:r>
        <w:rPr>
          <w:rFonts w:ascii="Arial" w:cs="Arial" w:eastAsia="Arial" w:hAnsi="Arial"/>
          <w:sz w:val="17"/>
          <w:szCs w:val="17"/>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spacing w:after="0" w:line="168"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88"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At the time of revenue recognition, the Company reduces the transaction price and records a sales return reserve against revenue for estimated variable consideration related to future product returns. Return rate estimates are based on historical experience and the sales return reserve balance was not material as of December 31, 2024 and 2023.</w:t>
      </w:r>
    </w:p>
    <w:p>
      <w:pPr>
        <w:spacing w:after="0" w:line="182" w:lineRule="exact"/>
        <w:rPr>
          <w:sz w:val="20"/>
          <w:szCs w:val="20"/>
          <w:color w:val="auto"/>
        </w:rPr>
      </w:pPr>
    </w:p>
    <w:p>
      <w:pPr>
        <w:ind w:right="180"/>
        <w:spacing w:after="0" w:line="265" w:lineRule="auto"/>
        <w:rPr>
          <w:sz w:val="20"/>
          <w:szCs w:val="20"/>
          <w:color w:val="auto"/>
        </w:rPr>
      </w:pPr>
      <w:r>
        <w:rPr>
          <w:rFonts w:ascii="Arial" w:cs="Arial" w:eastAsia="Arial" w:hAnsi="Arial"/>
          <w:sz w:val="19"/>
          <w:szCs w:val="19"/>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Vehicle Sales with Residual Value Guarantee</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provides an RVG to its commercial banking partners in connection with its vehicle leasing program. Vehicle sales with RVG totaled $442.7 million, $190.9 million, and $31.1 million during the years ended December 31, 2024, 2023, and 2022, respectively. Under the vehicle leasing program, the Company generally receives payment for the vehicle sales price at the time of delivery or shortly after the delivery, does not bear casualty and credit risks during the lease term, and is contractually obligated (or entitled) to share a portion of the shortfall (or excess) between the resale value realized by the commercial banking partners and a predetermined resale value. At the lease inception, the Company is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current assets and other noncurrent assets on consolidated balance sheets, subject to an asset impairment review at each reporting period.</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The Company accounts for the vehicle leasing program in accordance with ASC 842,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ASC 460, </w:t>
      </w: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 xml:space="preserve"> and ASC 606,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from Contracts with Customers</w:t>
      </w:r>
      <w:r>
        <w:rPr>
          <w:rFonts w:ascii="Arial" w:cs="Arial" w:eastAsia="Arial" w:hAnsi="Arial"/>
          <w:sz w:val="18"/>
          <w:szCs w:val="18"/>
          <w:color w:val="auto"/>
        </w:rPr>
        <w:t>. The Company is the lessor at inception of a lease and immediately transfers the lease as well as the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 to its commercial banking partners, with the transaction being accounted for as a sale under ASC 606.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Any fees or incentives that are paid or payable by the Company to commercial banking partners are recognized as a reduction to vehicle sales revenue.</w:t>
      </w:r>
    </w:p>
    <w:p>
      <w:pPr>
        <w:spacing w:after="0" w:line="180"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As of December 31, 2024, the Company recorded $58.0 million of RVG liabilities. The RVG liabilities were not material as of December 31, 2023.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$401.1 million and $101.1 million as of December 31, 2024 and 2023, respectively.</w:t>
      </w:r>
    </w:p>
    <w:p>
      <w:pPr>
        <w:spacing w:after="0" w:line="168"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As of December 31, 2024 and 2023, the Company recorded $53.3 million and $28.7 million of total deferred revenue from all vehicle sales primarily related to OTA and remarketing activities for vehicle sales, respectively. The Company recorded $18.5 million and $7.7 million of the total deferred revenue within other current liabilities and the remaining $34.8 million and $21.0 million within other long-term liabilities in the consolidated balance sheets as of December 31, 2024 and 2023, respectively. Revenue recognized during the years ended December 31, 2024, 2023, and 2022 from the prior period deferred revenue balances was not material.</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1080"/>
          </w:cols>
          <w:pgMar w:left="400" w:top="763" w:right="400" w:bottom="0" w:gutter="0" w:footer="0" w:header="0"/>
          <w:type w:val="continuous"/>
        </w:sectPr>
      </w:pPr>
    </w:p>
    <w:bookmarkStart w:id="229" w:name="page230"/>
    <w:bookmarkEnd w:id="229"/>
    <w:p>
      <w:pPr>
        <w:ind w:left="360"/>
        <w:spacing w:after="0"/>
        <w:rPr>
          <w:sz w:val="20"/>
          <w:szCs w:val="20"/>
          <w:color w:val="auto"/>
        </w:rPr>
      </w:pPr>
      <w:r>
        <w:rPr>
          <w:rFonts w:ascii="Arial" w:cs="Arial" w:eastAsia="Arial" w:hAnsi="Arial"/>
          <w:sz w:val="19"/>
          <w:szCs w:val="19"/>
          <w:b w:val="1"/>
          <w:bCs w:val="1"/>
          <w:i w:val="1"/>
          <w:iCs w:val="1"/>
          <w:color w:val="auto"/>
        </w:rPr>
        <w:t>Vehicle Operating Lease Revenue</w:t>
      </w:r>
    </w:p>
    <w:p>
      <w:pPr>
        <w:spacing w:after="0" w:line="245"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 and were not material as of December 31, 2024 and 2023. The operating lease revenue was not material for the years ended December 31, 2024, 2023, and 2022.</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w:t>
      </w: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Other consists of revenue from non-warranty after-sales vehicle services and parts, sales of battery pack systems, powertrain kits, retail merchandise, and regulatory credits. Battery pack system and powertrain kits revenue consists of the sales of battery pack systems or powertrain kits, supplies and related services for vehicles. The Company generates regulatory credits revenue from the sale of tradable credits the Company earns under various regulations. This include credits related to zero emission vehicles and greenhouse gas, and the Corporate Average Fuel Economy (“CAFE”) credits. The sale of battery pack systems, powertrain kits along with related supplies, and regulatory credits is a single performance obligation recognized at the point in time when control is transferred to the customer. Shipping and handling provided by the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Payment for the products sold are received upon invoice or in accordance with payment terms customary to the business. The Company’s battery pack system or powertrain kits contracts do not contain a significant financing component. The Company has elected to exclude sales taxes from the measurement of the transaction price.</w:t>
      </w:r>
    </w:p>
    <w:p>
      <w:pPr>
        <w:spacing w:after="0" w:line="186" w:lineRule="exact"/>
        <w:rPr>
          <w:sz w:val="20"/>
          <w:szCs w:val="20"/>
          <w:color w:val="auto"/>
        </w:rPr>
      </w:pPr>
    </w:p>
    <w:p>
      <w:pPr>
        <w:ind w:right="360"/>
        <w:spacing w:after="0" w:line="351" w:lineRule="auto"/>
        <w:rPr>
          <w:sz w:val="20"/>
          <w:szCs w:val="20"/>
          <w:color w:val="auto"/>
        </w:rPr>
      </w:pPr>
      <w:r>
        <w:rPr>
          <w:rFonts w:ascii="Arial" w:cs="Arial" w:eastAsia="Arial" w:hAnsi="Arial"/>
          <w:sz w:val="17"/>
          <w:szCs w:val="17"/>
          <w:color w:val="auto"/>
        </w:rPr>
        <w:t>Control transfers to the customer when the product or regulatory credit is delivered or transferred to the customer as the customer can then direct the use of the product or regulatory credit and obtain substantially all of the remaining benefits from the asset at that point in time.</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Cost of Revenue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Vehicle Sales</w:t>
      </w:r>
    </w:p>
    <w:p>
      <w:pPr>
        <w:spacing w:after="0" w:line="245"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Manufacturing credits earned are recorded as a reduction to cost of vehicle sales.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Vehicle Operating Lease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Depreciation of operating lease vehicles are classified as cost of vehicle operating lease revenue.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w:t>
      </w:r>
    </w:p>
    <w:p>
      <w:pPr>
        <w:spacing w:after="0" w:line="24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Warranties</w:t>
      </w:r>
    </w:p>
    <w:p>
      <w:pPr>
        <w:spacing w:after="0" w:line="24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provides a manufacturer’s warranty on all vehicles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related to recalls identified and special campaigns to repair or replace items under warranties. The Company reviews the adequacy of warranty reserve on a regular basis. Changes to the Company’s historical or projected warranty experience may cause material changes to the warranty reserve in the future. The portion of the warranty reserve for costs expected to be incurred within the next 12 months is included within other current liabilities, while the remaining balance is included within other long-term liabilities in the consolidated balance sheets. The warranty expense is recorded as a component of cost of revenue in the consolidated statements of operations and comprehensive loss.</w:t>
      </w:r>
    </w:p>
    <w:p>
      <w:pPr>
        <w:spacing w:after="0" w:line="17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Company recognizes recovery from suppliers as an offset to the warranty expenses in the consolidated statements of operations and comprehensive loss and in other current assets in the consolidated balance sheet when the recovery amounts are contractually agreed with the suppliers. During the year ended December 31, 2024, the Company recorded supplier recovery of $50 million.</w:t>
      </w:r>
    </w:p>
    <w:p>
      <w:pPr>
        <w:sectPr>
          <w:pgSz w:w="11880" w:h="15480" w:orient="portrait"/>
          <w:cols w:equalWidth="0" w:num="1">
            <w:col w:w="11000"/>
          </w:cols>
          <w:pgMar w:left="400" w:top="760" w:right="4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1000"/>
          </w:cols>
          <w:pgMar w:left="400" w:top="760" w:right="480"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19"/>
          <w:szCs w:val="19"/>
          <w:b w:val="1"/>
          <w:bCs w:val="1"/>
          <w:color w:val="auto"/>
        </w:rPr>
        <w:t>Income Taxes</w:t>
      </w:r>
    </w:p>
    <w:p>
      <w:pPr>
        <w:spacing w:after="0" w:line="24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The Company records uncertain tax positions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The Company’s policy is to recognize interest and penalties related to unrecognized tax benefits in provision for income taxes in the consolidated statements of operations and comprehensive loss. Accrued interest and penalties are included within other long-term liabilities in the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24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issues stock-based compensation awards to employees, officers, directors, and non-employees in the form of stock options, restricted stock units (“RSUs”) and employee stock purchase plan (the “ESPP”). The Company measures and recognizes compensation expense for stock-based awards based on the awards’ fair value on the date of grant. The Company accounts for forfeitures of stock-based awards when they occur. The fair value of RSUs that vest based on service and/or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 the input of assumptions, including the fair value of the Company’s common stock, the expected term of the award, the expected volatility of the Company’s common stock, risk-free interest rates, and the expected dividend yield of the Company’s common stock. The assumptions used to determine the fair value of the awards represent management’s best estimates. These estimates involve inherent uncertainties and the application of management’s judgment.</w:t>
      </w:r>
    </w:p>
    <w:p>
      <w:pPr>
        <w:spacing w:after="0" w:line="18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The fair value of awards that vest based on only continuous service is recognized on a straight-line basis over the requisite service period. The fair value of awards that vest based on performance or market conditions is recognized over the requisite service period using the graded vesting attribution method. Stock-based compensation expense is only recognized for awards with performance conditions once the performance condition becomes probable of being achieved. The performance-based RSUs will vest based on the actual achievement of corporate performance goals and/or individual performance. The RSUs with market conditions will vest only if the Company achieves certain market capitalization targets.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Comprehensive Loss</w:t>
      </w:r>
    </w:p>
    <w:p>
      <w:pPr>
        <w:spacing w:after="0" w:line="249" w:lineRule="exact"/>
        <w:rPr>
          <w:sz w:val="20"/>
          <w:szCs w:val="20"/>
          <w:color w:val="auto"/>
        </w:rPr>
      </w:pPr>
    </w:p>
    <w:p>
      <w:pPr>
        <w:jc w:val="both"/>
        <w:ind w:right="400"/>
        <w:spacing w:after="0" w:line="293"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net unrealized gains or losses on investments in available-for sale securities and foreign currency translation adjustments that are recorded as an element of stockholders’ equity and are excluded from the determination of net loss.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249"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Research and development expenses primarily consist of materials, supplies, personnel-related expenses, contractor fees, engineering design and testing expenses, and allocated facilities cost. Substantially all of the Company’s research and development expenses are related to developing new products, related technologies, and services and improving existing products and services. Research and development expenses have been expensed as incurred and included in the consolidated statements of operations and comprehensive loss.</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1060"/>
          </w:cols>
          <w:pgMar w:left="400" w:top="756" w:right="420" w:bottom="0" w:gutter="0" w:footer="0" w:header="0"/>
          <w:type w:val="continuous"/>
        </w:sectPr>
      </w:pPr>
    </w:p>
    <w:bookmarkStart w:id="231" w:name="page232"/>
    <w:bookmarkEnd w:id="231"/>
    <w:p>
      <w:pPr>
        <w:spacing w:after="0"/>
        <w:rPr>
          <w:sz w:val="20"/>
          <w:szCs w:val="20"/>
          <w:color w:val="auto"/>
        </w:rPr>
      </w:pPr>
      <w:r>
        <w:rPr>
          <w:rFonts w:ascii="Arial" w:cs="Arial" w:eastAsia="Arial" w:hAnsi="Arial"/>
          <w:sz w:val="19"/>
          <w:szCs w:val="19"/>
          <w:b w:val="1"/>
          <w:bCs w:val="1"/>
          <w:color w:val="auto"/>
        </w:rPr>
        <w:t>Selling, General, and Administrative</w:t>
      </w:r>
    </w:p>
    <w:p>
      <w:pPr>
        <w:spacing w:after="0" w:line="249" w:lineRule="exact"/>
        <w:rPr>
          <w:sz w:val="20"/>
          <w:szCs w:val="20"/>
          <w:color w:val="auto"/>
        </w:rPr>
      </w:pPr>
    </w:p>
    <w:p>
      <w:pPr>
        <w:jc w:val="both"/>
        <w:ind w:right="500"/>
        <w:spacing w:after="0" w:line="271" w:lineRule="auto"/>
        <w:rPr>
          <w:sz w:val="20"/>
          <w:szCs w:val="20"/>
          <w:color w:val="auto"/>
        </w:rPr>
      </w:pPr>
      <w:r>
        <w:rPr>
          <w:rFonts w:ascii="Arial" w:cs="Arial" w:eastAsia="Arial" w:hAnsi="Arial"/>
          <w:sz w:val="19"/>
          <w:szCs w:val="19"/>
          <w:color w:val="auto"/>
        </w:rPr>
        <w:t>Selling, general and administrative expenses primarily consist of personnel-related expenses for employees involved in general corporate, selling and marketing functions, including executive management and administration, legal, human resources, allocated facilities and real estate, accounting, finance, tax, and information technology.</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Advertising</w:t>
      </w:r>
    </w:p>
    <w:p>
      <w:pPr>
        <w:spacing w:after="0" w:line="249" w:lineRule="exact"/>
        <w:rPr>
          <w:sz w:val="20"/>
          <w:szCs w:val="20"/>
          <w:color w:val="auto"/>
        </w:rPr>
      </w:pPr>
    </w:p>
    <w:p>
      <w:pPr>
        <w:jc w:val="both"/>
        <w:ind w:right="160"/>
        <w:spacing w:after="0" w:line="271" w:lineRule="auto"/>
        <w:rPr>
          <w:sz w:val="20"/>
          <w:szCs w:val="20"/>
          <w:color w:val="auto"/>
        </w:rPr>
      </w:pPr>
      <w:r>
        <w:rPr>
          <w:rFonts w:ascii="Arial" w:cs="Arial" w:eastAsia="Arial" w:hAnsi="Arial"/>
          <w:sz w:val="19"/>
          <w:szCs w:val="19"/>
          <w:color w:val="auto"/>
        </w:rPr>
        <w:t>Advertising costs are expensed as incurred and are included in selling, general, and administrative expenses in the consolidated statements of operations and comprehensive loss. Advertising costs were $49.8 million and $35.3 million for the years ended December 31, 2024 and 2023, respectively. These costs were not material for the year ended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Restructuring</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Commitments and Contingencies</w:t>
      </w:r>
    </w:p>
    <w:p>
      <w:pPr>
        <w:spacing w:after="0" w:line="249"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Redeemable Convertible Preferred Stock</w:t>
      </w:r>
    </w:p>
    <w:p>
      <w:pPr>
        <w:spacing w:after="0" w:line="24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91"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Derivative Liabilities</w:t>
      </w:r>
    </w:p>
    <w:p>
      <w:pPr>
        <w:spacing w:after="0" w:line="249"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and comprehensive loss at each reporting period end. Bifurcated embedded derivatives are classified as a separate liability in the consolidated balance sheet.</w:t>
      </w:r>
    </w:p>
    <w:p>
      <w:pPr>
        <w:spacing w:after="0" w:line="168"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The Company’s derivative liabilities are related to the conversion features embedded in the Redeemable Convertible Preferred Stock. See Note 8 “Redeemable Convertible Preferred Stock” for more information.</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1080"/>
          </w:cols>
          <w:pgMar w:left="400" w:top="756" w:right="400" w:bottom="0" w:gutter="0" w:footer="0" w:header="0"/>
          <w:type w:val="continuous"/>
        </w:sectPr>
      </w:pPr>
    </w:p>
    <w:bookmarkStart w:id="232" w:name="page233"/>
    <w:bookmarkEnd w:id="232"/>
    <w:p>
      <w:pPr>
        <w:spacing w:after="0"/>
        <w:rPr>
          <w:sz w:val="20"/>
          <w:szCs w:val="20"/>
          <w:color w:val="auto"/>
        </w:rPr>
      </w:pPr>
      <w:r>
        <w:rPr>
          <w:rFonts w:ascii="Arial" w:cs="Arial" w:eastAsia="Arial" w:hAnsi="Arial"/>
          <w:sz w:val="19"/>
          <w:szCs w:val="19"/>
          <w:b w:val="1"/>
          <w:bCs w:val="1"/>
          <w:color w:val="auto"/>
        </w:rPr>
        <w:t>Net Loss Per Share</w:t>
      </w:r>
    </w:p>
    <w:p>
      <w:pPr>
        <w:spacing w:after="0" w:line="2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is computed in conformity with the two-class method required for participating securities. The Company considers all series of its redeemable convertible preferred stock to be participating securities as they are cumulative and participate in common stock dividends on an as-converted basis. The net loss attributable to common stockholders will reflect the remeasurements of the host contracts for the cumulative dividend and mezzanine equity accretions. Under the two-class method, the net loss attributable to common stockholders is not allocated to the redeemable convertible preferred stock as the preferred stockholders do not have a contractual obligation to share in the Company’s losses.</w:t>
      </w:r>
    </w:p>
    <w:p>
      <w:pPr>
        <w:spacing w:after="0" w:line="18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Potentially dilutive shares of Private Placement Warrants under treasury stock method are included in the computation of diluted net loss per share when their effect is dilutive. For purposes of this calculation, Private Placement Warrants, stock options outstanding, RSUs outstanding, potential shares issued under ESPP, if-converted common shares from convertible note, if-converted common shares from Series A redeemable convertible preferred stock and if-converted common shares from Series B redeemable convertible preferred stock are considered to be common stock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Warrants</w:t>
      </w:r>
    </w:p>
    <w:p>
      <w:pPr>
        <w:spacing w:after="0" w:line="24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The Company’s privately placed common stock warrants (the “Private Placement Warrants”) are liability-classified instruments because they are not deemed indexed to the Company’s own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Grants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Company recognizes government grants once there is reasonable assurance to receive the grants and meet all the conditions specified in the grants. Grants related to income are recorded as deductions to the related expenses for which the grants are intended to compensate.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Adopted Accounting Pronouncements</w:t>
      </w:r>
    </w:p>
    <w:p>
      <w:pPr>
        <w:spacing w:after="0" w:line="24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with the Company’s annual financial statements as of and for the year ended December 31, 2024, and applies to its financial statements for interim periods thereafter. Early adoption is permitted, and should be applied retrospectively. The Company adopted ASU 2023-07 for the fiscal year ended December 31, 2024. See Note 17 “Segment Reporting” for the required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Pronouncements Not Yet Adopted</w:t>
      </w:r>
    </w:p>
    <w:p>
      <w:pPr>
        <w:spacing w:after="0" w:line="24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and does not expect a material impact to the related financial statement disclosures.</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1080"/>
          </w:cols>
          <w:pgMar w:left="400" w:top="756" w:right="400" w:bottom="0" w:gutter="0" w:footer="0" w:header="0"/>
          <w:type w:val="continuous"/>
        </w:sectPr>
      </w:pPr>
    </w:p>
    <w:bookmarkStart w:id="233" w:name="page234"/>
    <w:bookmarkEnd w:id="233"/>
    <w:p>
      <w:pPr>
        <w:ind w:right="80"/>
        <w:spacing w:after="0" w:line="300" w:lineRule="auto"/>
        <w:rPr>
          <w:sz w:val="20"/>
          <w:szCs w:val="20"/>
          <w:color w:val="auto"/>
        </w:rPr>
      </w:pPr>
      <w:r>
        <w:rPr>
          <w:rFonts w:ascii="Arial" w:cs="Arial" w:eastAsia="Arial" w:hAnsi="Arial"/>
          <w:sz w:val="17"/>
          <w:szCs w:val="17"/>
          <w:color w:val="auto"/>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This SEC rule provides phased effective dates, starting with fiscal years beginning on or after January 1, 2025. The SEC rule is currently stayed pending the outcome of litigation, and the Company is evaluating the impact of this rule on its annual reports.</w:t>
      </w:r>
    </w:p>
    <w:p>
      <w:pPr>
        <w:spacing w:after="0" w:line="16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The Company is evaluating the impact of this amendment to the related financial statement disclosures.</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The Company has considered all other recently issued accounting pronouncements and does not believe the adoption of such pronouncements will have a material impact on its financial statements or notes thereto.</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RESTRUCTURING</w:t>
      </w:r>
    </w:p>
    <w:p>
      <w:pPr>
        <w:spacing w:after="0" w:line="249" w:lineRule="exact"/>
        <w:rPr>
          <w:sz w:val="20"/>
          <w:szCs w:val="20"/>
          <w:color w:val="auto"/>
        </w:rPr>
      </w:pPr>
    </w:p>
    <w:p>
      <w:pPr>
        <w:jc w:val="both"/>
        <w:ind w:right="280"/>
        <w:spacing w:after="0" w:line="271" w:lineRule="auto"/>
        <w:rPr>
          <w:sz w:val="20"/>
          <w:szCs w:val="20"/>
          <w:color w:val="auto"/>
        </w:rPr>
      </w:pPr>
      <w:r>
        <w:rPr>
          <w:rFonts w:ascii="Arial" w:cs="Arial" w:eastAsia="Arial" w:hAnsi="Arial"/>
          <w:sz w:val="19"/>
          <w:szCs w:val="19"/>
          <w:color w:val="auto"/>
        </w:rPr>
        <w:t>On May 24, 2024, the Company announced a restructuring plan (the “2024 Restructuring Plan”) intended to optimize operating expenses in response to evolving business needs and productivity improvement through a reduction in workforce. The Company substantially completed the 2024 Restructuring Plan in 2024.</w:t>
      </w:r>
    </w:p>
    <w:p>
      <w:pPr>
        <w:spacing w:after="0" w:line="182"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During the year ended December 31, 2024, the Company recorded restructuring charges of $20.3 million related to the 2024 Restructuring Plan within restructuring charges in the consolidated statements of operations and comprehensive loss. The restructuring charges were primarily related to severance payments, employee benefits, employee transition and stock-based compensation, net of a reversal of previously recognized stock-based compensation expense.</w:t>
      </w:r>
    </w:p>
    <w:p>
      <w:pPr>
        <w:spacing w:after="0" w:line="188"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 During the year ended December 31, 2023, the Company recorded restructuring charges of $24.5 million. The restructuring charges were primarily related to severance payments, employee benefits, employee transition and stock-based compensation, net of a reversal of previously recognized stock-based compensation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A summary of restructuring liabilities associated with the restructuring plans was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5"/>
                <w:szCs w:val="15"/>
                <w:b w:val="1"/>
                <w:bCs w:val="1"/>
                <w:color w:val="auto"/>
              </w:rPr>
              <w:t>Year Ended December 31,</w:t>
            </w:r>
          </w:p>
        </w:tc>
      </w:tr>
      <w:tr>
        <w:trPr>
          <w:trHeight w:val="211"/>
        </w:trPr>
        <w:tc>
          <w:tcPr>
            <w:tcW w:w="828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5"/>
                <w:szCs w:val="15"/>
                <w:b w:val="1"/>
                <w:bCs w:val="1"/>
                <w:color w:val="auto"/>
              </w:rPr>
              <w:t>2023</w:t>
            </w:r>
          </w:p>
        </w:tc>
      </w:tr>
      <w:tr>
        <w:trPr>
          <w:trHeight w:val="293"/>
        </w:trPr>
        <w:tc>
          <w:tcPr>
            <w:tcW w:w="82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Restructuring liabilities - beginning of period</w:t>
            </w:r>
          </w:p>
        </w:tc>
        <w:tc>
          <w:tcPr>
            <w:tcW w:w="340" w:type="dxa"/>
            <w:vAlign w:val="bottom"/>
            <w:shd w:val="clear" w:color="auto" w:fill="E6E6E6"/>
          </w:tcPr>
          <w:p>
            <w:pPr>
              <w:jc w:val="right"/>
              <w:ind w:right="104"/>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303"/>
        </w:trPr>
        <w:tc>
          <w:tcPr>
            <w:tcW w:w="8280" w:type="dxa"/>
            <w:vAlign w:val="bottom"/>
          </w:tcPr>
          <w:p>
            <w:pPr>
              <w:ind w:left="60"/>
              <w:spacing w:after="0"/>
              <w:rPr>
                <w:sz w:val="20"/>
                <w:szCs w:val="20"/>
                <w:color w:val="auto"/>
              </w:rPr>
            </w:pPr>
            <w:r>
              <w:rPr>
                <w:rFonts w:ascii="Arial" w:cs="Arial" w:eastAsia="Arial" w:hAnsi="Arial"/>
                <w:sz w:val="19"/>
                <w:szCs w:val="19"/>
                <w:color w:val="auto"/>
              </w:rPr>
              <w:t>Restructuring charges excluding non-cash items</w:t>
            </w:r>
            <w:r>
              <w:rPr>
                <w:rFonts w:ascii="Arial" w:cs="Arial" w:eastAsia="Arial" w:hAnsi="Arial"/>
                <w:sz w:val="24"/>
                <w:szCs w:val="24"/>
                <w:color w:val="auto"/>
                <w:vertAlign w:val="superscript"/>
              </w:rPr>
              <w:t>(1)(2)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21,784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25,989</w:t>
            </w:r>
          </w:p>
        </w:tc>
      </w:tr>
      <w:tr>
        <w:trPr>
          <w:trHeight w:val="312"/>
        </w:trPr>
        <w:tc>
          <w:tcPr>
            <w:tcW w:w="82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Cash payments</w:t>
            </w:r>
          </w:p>
        </w:tc>
        <w:tc>
          <w:tcPr>
            <w:tcW w:w="3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(21,571)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(25,935)</w:t>
            </w:r>
          </w:p>
        </w:tc>
      </w:tr>
      <w:tr>
        <w:trPr>
          <w:trHeight w:val="245"/>
        </w:trPr>
        <w:tc>
          <w:tcPr>
            <w:tcW w:w="8280" w:type="dxa"/>
            <w:vAlign w:val="bottom"/>
          </w:tcPr>
          <w:p>
            <w:pPr>
              <w:ind w:left="60"/>
              <w:spacing w:after="0"/>
              <w:rPr>
                <w:sz w:val="20"/>
                <w:szCs w:val="20"/>
                <w:color w:val="auto"/>
              </w:rPr>
            </w:pPr>
            <w:r>
              <w:rPr>
                <w:rFonts w:ascii="Arial" w:cs="Arial" w:eastAsia="Arial" w:hAnsi="Arial"/>
                <w:sz w:val="19"/>
                <w:szCs w:val="19"/>
                <w:b w:val="1"/>
                <w:bCs w:val="1"/>
                <w:color w:val="auto"/>
              </w:rPr>
              <w:t>Restructuring liabilities - end of period</w:t>
            </w:r>
          </w:p>
        </w:tc>
        <w:tc>
          <w:tcPr>
            <w:tcW w:w="34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267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0"/>
        </w:trPr>
        <w:tc>
          <w:tcPr>
            <w:tcW w:w="8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5243830</wp:posOffset>
            </wp:positionH>
            <wp:positionV relativeFrom="paragraph">
              <wp:posOffset>-798830</wp:posOffset>
            </wp:positionV>
            <wp:extent cx="180022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4">
                      <a:extLst>
                        <a:ext uri="{28A0092B-C50C-407E-A947-70E740481C1C}"/>
                      </a:extLst>
                    </a:blip>
                    <a:srcRect/>
                    <a:stretch>
                      <a:fillRect/>
                    </a:stretch>
                  </pic:blipFill>
                  <pic:spPr bwMode="auto">
                    <a:xfrm>
                      <a:off x="0" y="0"/>
                      <a:ext cx="1800225" cy="2540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-222250</wp:posOffset>
            </wp:positionV>
            <wp:extent cx="180022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5">
                      <a:extLst>
                        <a:ext uri="{28A0092B-C50C-407E-A947-70E740481C1C}"/>
                      </a:extLst>
                    </a:blip>
                    <a:srcRect/>
                    <a:stretch>
                      <a:fillRect/>
                    </a:stretch>
                  </pic:blipFill>
                  <pic:spPr bwMode="auto">
                    <a:xfrm>
                      <a:off x="0" y="0"/>
                      <a:ext cx="1800225" cy="2540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-42545</wp:posOffset>
            </wp:positionV>
            <wp:extent cx="89471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6">
                      <a:extLst>
                        <a:ext uri="{28A0092B-C50C-407E-A947-70E740481C1C}"/>
                      </a:extLst>
                    </a:blip>
                    <a:srcRect/>
                    <a:stretch>
                      <a:fillRect/>
                    </a:stretch>
                  </pic:blipFill>
                  <pic:spPr bwMode="auto">
                    <a:xfrm>
                      <a:off x="0" y="0"/>
                      <a:ext cx="894715" cy="49530"/>
                    </a:xfrm>
                    <a:prstGeom prst="rect">
                      <a:avLst/>
                    </a:prstGeom>
                    <a:noFill/>
                  </pic:spPr>
                </pic:pic>
              </a:graphicData>
            </a:graphic>
          </wp:anchor>
        </w:drawing>
      </w:r>
    </w:p>
    <w:p>
      <w:pPr>
        <w:spacing w:after="0" w:line="229" w:lineRule="exact"/>
        <w:rPr>
          <w:sz w:val="20"/>
          <w:szCs w:val="20"/>
          <w:color w:val="auto"/>
        </w:rPr>
      </w:pPr>
    </w:p>
    <w:p>
      <w:pPr>
        <w:ind w:right="140" w:firstLine="7"/>
        <w:spacing w:after="0"/>
        <w:tabs>
          <w:tab w:leader="none" w:pos="155" w:val="left"/>
        </w:tabs>
        <w:numPr>
          <w:ilvl w:val="0"/>
          <w:numId w:val="163"/>
        </w:numPr>
        <w:rPr>
          <w:rFonts w:ascii="Arial" w:cs="Arial" w:eastAsia="Arial" w:hAnsi="Arial"/>
          <w:sz w:val="18"/>
          <w:szCs w:val="18"/>
          <w:color w:val="auto"/>
          <w:vertAlign w:val="superscript"/>
        </w:rPr>
      </w:pPr>
      <w:r>
        <w:rPr>
          <w:rFonts w:ascii="Arial" w:cs="Arial" w:eastAsia="Arial" w:hAnsi="Arial"/>
          <w:sz w:val="14"/>
          <w:szCs w:val="14"/>
          <w:color w:val="auto"/>
        </w:rPr>
        <w:t>Excluded non-cash items of $1.5 million for the year ended December 31, 2024 related to the 2024 Restructuring Plan, which was net of accelerated stock-based compensation expense of $3.2 million and a reversal of $4.7 million related to previously recognized stock-based compensation expenses for unvested restricted stock awards.</w:t>
      </w:r>
    </w:p>
    <w:p>
      <w:pPr>
        <w:ind w:right="140" w:firstLine="7"/>
        <w:spacing w:after="0" w:line="265" w:lineRule="auto"/>
        <w:tabs>
          <w:tab w:leader="none" w:pos="155" w:val="left"/>
        </w:tabs>
        <w:numPr>
          <w:ilvl w:val="0"/>
          <w:numId w:val="163"/>
        </w:numPr>
        <w:rPr>
          <w:rFonts w:ascii="Arial" w:cs="Arial" w:eastAsia="Arial" w:hAnsi="Arial"/>
          <w:sz w:val="18"/>
          <w:szCs w:val="18"/>
          <w:color w:val="auto"/>
          <w:vertAlign w:val="superscript"/>
        </w:rPr>
      </w:pPr>
      <w:r>
        <w:rPr>
          <w:rFonts w:ascii="Arial" w:cs="Arial" w:eastAsia="Arial" w:hAnsi="Arial"/>
          <w:sz w:val="14"/>
          <w:szCs w:val="14"/>
          <w:color w:val="auto"/>
        </w:rPr>
        <w:t>Excluded non-cash items of $1.4 million for the year ended December 31, 2023 related to the 2023 Restructuring Plan, which was net of accelerated stock-based compensation expense of $3.4 million and a reversal of $4.8 million related to previously recognized stock-based compensation expenses for unvested restricted stock awards.</w:t>
      </w:r>
    </w:p>
    <w:p>
      <w:pPr>
        <w:spacing w:after="0" w:line="181" w:lineRule="exact"/>
        <w:rPr>
          <w:sz w:val="20"/>
          <w:szCs w:val="20"/>
          <w:color w:val="auto"/>
        </w:rPr>
      </w:pPr>
    </w:p>
    <w:p>
      <w:pPr>
        <w:ind w:right="260"/>
        <w:spacing w:after="0" w:line="289" w:lineRule="auto"/>
        <w:rPr>
          <w:sz w:val="20"/>
          <w:szCs w:val="20"/>
          <w:color w:val="auto"/>
        </w:rPr>
      </w:pPr>
      <w:r>
        <w:rPr>
          <w:rFonts w:ascii="Arial" w:cs="Arial" w:eastAsia="Arial" w:hAnsi="Arial"/>
          <w:sz w:val="19"/>
          <w:szCs w:val="19"/>
          <w:color w:val="auto"/>
        </w:rPr>
        <w:t>As of December 31, 2024 and 2023, restructuring liabilities associated with the restructuring plans included within other current liabilities in the consolidated balance sheet were immaterial.</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1080"/>
          </w:cols>
          <w:pgMar w:left="400" w:top="763" w:right="400" w:bottom="0" w:gutter="0" w:footer="0" w:header="0"/>
          <w:type w:val="continuous"/>
        </w:sectPr>
      </w:pPr>
    </w:p>
    <w:bookmarkStart w:id="234" w:name="page235"/>
    <w:bookmarkEnd w:id="234"/>
    <w:p>
      <w:pPr>
        <w:spacing w:after="0"/>
        <w:rPr>
          <w:sz w:val="20"/>
          <w:szCs w:val="20"/>
          <w:color w:val="auto"/>
        </w:rPr>
      </w:pPr>
      <w:r>
        <w:rPr>
          <w:rFonts w:ascii="Arial" w:cs="Arial" w:eastAsia="Arial" w:hAnsi="Arial"/>
          <w:sz w:val="19"/>
          <w:szCs w:val="19"/>
          <w:b w:val="1"/>
          <w:bCs w:val="1"/>
          <w:color w:val="auto"/>
        </w:rPr>
        <w:t>NOTE 4 – BALANCE SHEETS COMPONENTS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Inventory</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Inventory as of December 31, 2024 and 2023 was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0"/>
              <w:spacing w:after="0"/>
              <w:rPr>
                <w:sz w:val="20"/>
                <w:szCs w:val="20"/>
                <w:color w:val="auto"/>
              </w:rPr>
            </w:pPr>
            <w:r>
              <w:rPr>
                <w:rFonts w:ascii="Arial" w:cs="Arial" w:eastAsia="Arial" w:hAnsi="Arial"/>
                <w:sz w:val="15"/>
                <w:szCs w:val="15"/>
                <w:b w:val="1"/>
                <w:bCs w:val="1"/>
                <w:color w:val="auto"/>
                <w:w w:val="92"/>
              </w:rPr>
              <w:t>December 31,</w:t>
            </w:r>
          </w:p>
        </w:tc>
      </w:tr>
      <w:tr>
        <w:trPr>
          <w:trHeight w:val="205"/>
        </w:trPr>
        <w:tc>
          <w:tcPr>
            <w:tcW w:w="850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Raw materials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160,532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210,283</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Work in progress</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36,628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53,227</w:t>
            </w:r>
          </w:p>
        </w:tc>
      </w:tr>
      <w:tr>
        <w:trPr>
          <w:trHeight w:val="289"/>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Finished goods</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210,614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432,726</w:t>
            </w:r>
          </w:p>
        </w:tc>
      </w:tr>
      <w:tr>
        <w:trPr>
          <w:trHeight w:val="253"/>
        </w:trPr>
        <w:tc>
          <w:tcPr>
            <w:tcW w:w="8500" w:type="dxa"/>
            <w:vAlign w:val="bottom"/>
          </w:tcPr>
          <w:p>
            <w:pPr>
              <w:ind w:left="60"/>
              <w:spacing w:after="0" w:line="216" w:lineRule="exact"/>
              <w:rPr>
                <w:sz w:val="20"/>
                <w:szCs w:val="20"/>
                <w:color w:val="auto"/>
              </w:rPr>
            </w:pPr>
            <w:r>
              <w:rPr>
                <w:rFonts w:ascii="Arial" w:cs="Arial" w:eastAsia="Arial" w:hAnsi="Arial"/>
                <w:sz w:val="19"/>
                <w:szCs w:val="19"/>
                <w:color w:val="auto"/>
              </w:rPr>
              <w:t>Total Inventory</w:t>
            </w:r>
          </w:p>
        </w:tc>
        <w:tc>
          <w:tcPr>
            <w:tcW w:w="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407,774</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696,236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-725805</wp:posOffset>
            </wp:positionV>
            <wp:extent cx="165417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7">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8">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9">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7"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Inventory as of December 31, 2024 and 2023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During the years ended December 31, 2024, 2023, and 2022, the Company recorded write-downs of $617.4 million, $926.9 million, and $569.5 million, respectively, to reduce its inventories to its net realizable values and for any excess or obsolete inventories, as well as losses from firm purchase commitments (“LCNRV”).</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plant and equipment, net</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Property, plant and equipment, net as of December 31, 2024 and 2023 was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87"/>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7"/>
              <w:spacing w:after="0"/>
              <w:rPr>
                <w:sz w:val="20"/>
                <w:szCs w:val="20"/>
                <w:color w:val="auto"/>
              </w:rPr>
            </w:pPr>
            <w:r>
              <w:rPr>
                <w:rFonts w:ascii="Arial" w:cs="Arial" w:eastAsia="Arial" w:hAnsi="Arial"/>
                <w:sz w:val="15"/>
                <w:szCs w:val="15"/>
                <w:b w:val="1"/>
                <w:bCs w:val="1"/>
                <w:color w:val="auto"/>
                <w:w w:val="92"/>
              </w:rPr>
              <w:t>December 31,</w:t>
            </w:r>
          </w:p>
        </w:tc>
      </w:tr>
      <w:tr>
        <w:trPr>
          <w:trHeight w:val="205"/>
        </w:trPr>
        <w:tc>
          <w:tcPr>
            <w:tcW w:w="850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Land and land improvements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70,967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69,718</w:t>
            </w:r>
          </w:p>
        </w:tc>
      </w:tr>
      <w:tr>
        <w:trPr>
          <w:trHeight w:val="274"/>
        </w:trPr>
        <w:tc>
          <w:tcPr>
            <w:tcW w:w="8500" w:type="dxa"/>
            <w:vAlign w:val="bottom"/>
          </w:tcPr>
          <w:p>
            <w:pPr>
              <w:ind w:left="60"/>
              <w:spacing w:after="0" w:line="274" w:lineRule="exact"/>
              <w:rPr>
                <w:sz w:val="20"/>
                <w:szCs w:val="20"/>
                <w:color w:val="auto"/>
              </w:rPr>
            </w:pPr>
            <w:r>
              <w:rPr>
                <w:rFonts w:ascii="Arial" w:cs="Arial" w:eastAsia="Arial" w:hAnsi="Arial"/>
                <w:sz w:val="19"/>
                <w:szCs w:val="19"/>
                <w:color w:val="auto"/>
              </w:rPr>
              <w:t>Building and improvements</w:t>
            </w:r>
            <w:r>
              <w:rPr>
                <w:rFonts w:ascii="Arial" w:cs="Arial" w:eastAsia="Arial" w:hAnsi="Arial"/>
                <w:sz w:val="24"/>
                <w:szCs w:val="24"/>
                <w:color w:val="auto"/>
                <w:vertAlign w:val="superscript"/>
              </w:rPr>
              <w:t>(1)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1,075,349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576,097</w:t>
            </w:r>
          </w:p>
        </w:tc>
      </w:tr>
      <w:tr>
        <w:trPr>
          <w:trHeight w:val="274"/>
        </w:trPr>
        <w:tc>
          <w:tcPr>
            <w:tcW w:w="8500" w:type="dxa"/>
            <w:vAlign w:val="bottom"/>
            <w:shd w:val="clear" w:color="auto" w:fill="E6E6E6"/>
          </w:tcPr>
          <w:p>
            <w:pPr>
              <w:ind w:left="60"/>
              <w:spacing w:after="0" w:line="274" w:lineRule="exact"/>
              <w:rPr>
                <w:sz w:val="20"/>
                <w:szCs w:val="20"/>
                <w:color w:val="auto"/>
              </w:rPr>
            </w:pPr>
            <w:r>
              <w:rPr>
                <w:rFonts w:ascii="Arial" w:cs="Arial" w:eastAsia="Arial" w:hAnsi="Arial"/>
                <w:sz w:val="19"/>
                <w:szCs w:val="19"/>
                <w:color w:val="auto"/>
              </w:rPr>
              <w:t>Machinery, tooling and vehicles</w:t>
            </w:r>
            <w:r>
              <w:rPr>
                <w:rFonts w:ascii="Arial" w:cs="Arial" w:eastAsia="Arial" w:hAnsi="Arial"/>
                <w:sz w:val="24"/>
                <w:szCs w:val="24"/>
                <w:color w:val="auto"/>
                <w:vertAlign w:val="superscript"/>
              </w:rPr>
              <w:t>(2)(3)</w:t>
            </w:r>
          </w:p>
        </w:tc>
        <w:tc>
          <w:tcPr>
            <w:tcW w:w="18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1,720,517</w:t>
            </w: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1,045,485</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Computer equipment and software</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105,012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74,336</w:t>
            </w: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Leasehold improvements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268,091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221,619</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Furniture and fixtures</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51,238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45,315</w:t>
            </w: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Finance leases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86,852</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94,285</w:t>
            </w:r>
          </w:p>
        </w:tc>
      </w:tr>
      <w:tr>
        <w:trPr>
          <w:trHeight w:val="263"/>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Construction in progress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672,534</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1,185,413</w:t>
            </w:r>
          </w:p>
        </w:tc>
      </w:tr>
      <w:tr>
        <w:trPr>
          <w:trHeight w:val="264"/>
        </w:trPr>
        <w:tc>
          <w:tcPr>
            <w:tcW w:w="8500" w:type="dxa"/>
            <w:vAlign w:val="bottom"/>
            <w:shd w:val="clear" w:color="auto" w:fill="E6E6E6"/>
          </w:tcPr>
          <w:p>
            <w:pPr>
              <w:ind w:left="580"/>
              <w:spacing w:after="0"/>
              <w:rPr>
                <w:sz w:val="20"/>
                <w:szCs w:val="20"/>
                <w:color w:val="auto"/>
              </w:rPr>
            </w:pPr>
            <w:r>
              <w:rPr>
                <w:rFonts w:ascii="Arial" w:cs="Arial" w:eastAsia="Arial" w:hAnsi="Arial"/>
                <w:sz w:val="19"/>
                <w:szCs w:val="19"/>
                <w:color w:val="auto"/>
              </w:rPr>
              <w:t>Total Property, plant and equipment</w:t>
            </w: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4,050,560</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3,312,268</w:t>
            </w:r>
          </w:p>
        </w:tc>
      </w:tr>
      <w:tr>
        <w:trPr>
          <w:trHeight w:val="263"/>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Less accumulated depreciation and amortization</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(787,948)</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(501,401)</w:t>
            </w:r>
          </w:p>
        </w:tc>
      </w:tr>
      <w:tr>
        <w:trPr>
          <w:trHeight w:val="273"/>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Property, plant and equipment, net</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3,262,612</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2,810,867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-1942465</wp:posOffset>
            </wp:positionV>
            <wp:extent cx="165417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0">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-551815</wp:posOffset>
            </wp:positionV>
            <wp:extent cx="165417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1">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42">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3">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7" w:lineRule="exact"/>
        <w:rPr>
          <w:sz w:val="20"/>
          <w:szCs w:val="20"/>
          <w:color w:val="auto"/>
        </w:rPr>
      </w:pPr>
    </w:p>
    <w:p>
      <w:pPr>
        <w:ind w:right="360" w:firstLine="7"/>
        <w:spacing w:after="0" w:line="407" w:lineRule="auto"/>
        <w:tabs>
          <w:tab w:leader="none" w:pos="142" w:val="left"/>
        </w:tabs>
        <w:numPr>
          <w:ilvl w:val="0"/>
          <w:numId w:val="164"/>
        </w:numPr>
        <w:rPr>
          <w:rFonts w:ascii="Arial" w:cs="Arial" w:eastAsia="Arial" w:hAnsi="Arial"/>
          <w:sz w:val="16"/>
          <w:szCs w:val="16"/>
          <w:color w:val="auto"/>
          <w:vertAlign w:val="superscript"/>
        </w:rPr>
      </w:pPr>
      <w:r>
        <w:rPr>
          <w:rFonts w:ascii="Arial" w:cs="Arial" w:eastAsia="Arial" w:hAnsi="Arial"/>
          <w:sz w:val="12"/>
          <w:szCs w:val="12"/>
          <w:color w:val="auto"/>
        </w:rPr>
        <w:t>As of December 31, 2024 and 2023</w:t>
      </w:r>
      <w:r>
        <w:rPr>
          <w:rFonts w:ascii="Arial" w:cs="Arial" w:eastAsia="Arial" w:hAnsi="Arial"/>
          <w:sz w:val="15"/>
          <w:szCs w:val="15"/>
          <w:color w:val="auto"/>
        </w:rPr>
        <w:t>,</w:t>
      </w:r>
      <w:r>
        <w:rPr>
          <w:rFonts w:ascii="Arial" w:cs="Arial" w:eastAsia="Arial" w:hAnsi="Arial"/>
          <w:sz w:val="12"/>
          <w:szCs w:val="12"/>
          <w:color w:val="auto"/>
        </w:rPr>
        <w:t xml:space="preserve"> $127.5 million and $120.2 million of capital expenditure support received from Ministry of Investment of Saudi Arabia (“MISA”) was primarily recorded as a deduction to the AMP-2 building balance, respectively. See Note 2 “Summary of Significant Accounting Policies” and Note 16 “Related Party Transactions” for more information.</w:t>
      </w:r>
    </w:p>
    <w:p>
      <w:pPr>
        <w:spacing w:after="0" w:line="92" w:lineRule="exact"/>
        <w:rPr>
          <w:rFonts w:ascii="Arial" w:cs="Arial" w:eastAsia="Arial" w:hAnsi="Arial"/>
          <w:sz w:val="16"/>
          <w:szCs w:val="16"/>
          <w:color w:val="auto"/>
          <w:vertAlign w:val="superscript"/>
        </w:rPr>
      </w:pPr>
    </w:p>
    <w:p>
      <w:pPr>
        <w:ind w:left="140" w:hanging="133"/>
        <w:spacing w:after="0"/>
        <w:tabs>
          <w:tab w:leader="none" w:pos="140" w:val="left"/>
        </w:tabs>
        <w:numPr>
          <w:ilvl w:val="0"/>
          <w:numId w:val="164"/>
        </w:numPr>
        <w:rPr>
          <w:rFonts w:ascii="Arial" w:cs="Arial" w:eastAsia="Arial" w:hAnsi="Arial"/>
          <w:sz w:val="15"/>
          <w:szCs w:val="15"/>
          <w:color w:val="auto"/>
          <w:vertAlign w:val="superscript"/>
        </w:rPr>
      </w:pPr>
      <w:r>
        <w:rPr>
          <w:rFonts w:ascii="Arial" w:cs="Arial" w:eastAsia="Arial" w:hAnsi="Arial"/>
          <w:sz w:val="12"/>
          <w:szCs w:val="12"/>
          <w:color w:val="auto"/>
        </w:rPr>
        <w:t>Included $39.5 million and $32.5 million of service loaner vehicles as of December 31, 2024 and 2023, respectively.</w:t>
      </w:r>
    </w:p>
    <w:p>
      <w:pPr>
        <w:spacing w:after="0" w:line="58" w:lineRule="exact"/>
        <w:rPr>
          <w:rFonts w:ascii="Arial" w:cs="Arial" w:eastAsia="Arial" w:hAnsi="Arial"/>
          <w:sz w:val="15"/>
          <w:szCs w:val="15"/>
          <w:color w:val="auto"/>
          <w:vertAlign w:val="superscript"/>
        </w:rPr>
      </w:pPr>
    </w:p>
    <w:p>
      <w:pPr>
        <w:ind w:left="140" w:hanging="133"/>
        <w:spacing w:after="0"/>
        <w:tabs>
          <w:tab w:leader="none" w:pos="140" w:val="left"/>
        </w:tabs>
        <w:numPr>
          <w:ilvl w:val="0"/>
          <w:numId w:val="164"/>
        </w:numPr>
        <w:rPr>
          <w:rFonts w:ascii="Arial" w:cs="Arial" w:eastAsia="Arial" w:hAnsi="Arial"/>
          <w:sz w:val="15"/>
          <w:szCs w:val="15"/>
          <w:color w:val="auto"/>
          <w:vertAlign w:val="superscript"/>
        </w:rPr>
      </w:pPr>
      <w:r>
        <w:rPr>
          <w:rFonts w:ascii="Arial" w:cs="Arial" w:eastAsia="Arial" w:hAnsi="Arial"/>
          <w:sz w:val="12"/>
          <w:szCs w:val="12"/>
          <w:color w:val="auto"/>
        </w:rPr>
        <w:t>Included $34.7 million and $9.1 million of operating lease vehicles sold to rental companies as of December 31, 2024 and 2023, respectively.</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1080"/>
          </w:cols>
          <w:pgMar w:left="400" w:top="756" w:right="400" w:bottom="0" w:gutter="0" w:footer="0" w:header="0"/>
          <w:type w:val="continuous"/>
        </w:sectPr>
      </w:pPr>
    </w:p>
    <w:bookmarkStart w:id="235" w:name="page236"/>
    <w:bookmarkEnd w:id="235"/>
    <w:p>
      <w:pPr>
        <w:ind w:right="40"/>
        <w:spacing w:after="0" w:line="262" w:lineRule="auto"/>
        <w:rPr>
          <w:sz w:val="20"/>
          <w:szCs w:val="20"/>
          <w:color w:val="auto"/>
        </w:rPr>
      </w:pPr>
      <w:r>
        <w:rPr>
          <w:rFonts w:ascii="Arial" w:cs="Arial" w:eastAsia="Arial" w:hAnsi="Arial"/>
          <w:sz w:val="19"/>
          <w:szCs w:val="19"/>
          <w:color w:val="auto"/>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0"/>
              <w:spacing w:after="0"/>
              <w:rPr>
                <w:sz w:val="20"/>
                <w:szCs w:val="20"/>
                <w:color w:val="auto"/>
              </w:rPr>
            </w:pPr>
            <w:r>
              <w:rPr>
                <w:rFonts w:ascii="Arial" w:cs="Arial" w:eastAsia="Arial" w:hAnsi="Arial"/>
                <w:sz w:val="15"/>
                <w:szCs w:val="15"/>
                <w:b w:val="1"/>
                <w:bCs w:val="1"/>
                <w:color w:val="auto"/>
                <w:w w:val="92"/>
              </w:rPr>
              <w:t>December 31,</w:t>
            </w:r>
          </w:p>
        </w:tc>
      </w:tr>
      <w:tr>
        <w:trPr>
          <w:trHeight w:val="205"/>
        </w:trPr>
        <w:tc>
          <w:tcPr>
            <w:tcW w:w="850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2023</w:t>
            </w:r>
          </w:p>
        </w:tc>
      </w:tr>
      <w:tr>
        <w:trPr>
          <w:trHeight w:val="264"/>
        </w:trPr>
        <w:tc>
          <w:tcPr>
            <w:tcW w:w="85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Machinery and tooling</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561,858</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728,751</w:t>
            </w:r>
          </w:p>
        </w:tc>
      </w:tr>
      <w:tr>
        <w:trPr>
          <w:trHeight w:val="254"/>
        </w:trPr>
        <w:tc>
          <w:tcPr>
            <w:tcW w:w="8520" w:type="dxa"/>
            <w:vAlign w:val="bottom"/>
            <w:gridSpan w:val="2"/>
          </w:tcPr>
          <w:p>
            <w:pPr>
              <w:ind w:left="60"/>
              <w:spacing w:after="0" w:line="253" w:lineRule="exact"/>
              <w:rPr>
                <w:sz w:val="20"/>
                <w:szCs w:val="20"/>
                <w:color w:val="auto"/>
              </w:rPr>
            </w:pPr>
            <w:r>
              <w:rPr>
                <w:rFonts w:ascii="Arial" w:cs="Arial" w:eastAsia="Arial" w:hAnsi="Arial"/>
                <w:sz w:val="19"/>
                <w:szCs w:val="19"/>
                <w:color w:val="auto"/>
              </w:rPr>
              <w:t>Construction of AMP-1 and AMP-2</w:t>
            </w:r>
            <w:r>
              <w:rPr>
                <w:rFonts w:ascii="Arial" w:cs="Arial" w:eastAsia="Arial" w:hAnsi="Arial"/>
                <w:sz w:val="24"/>
                <w:szCs w:val="24"/>
                <w:color w:val="auto"/>
                <w:vertAlign w:val="superscript"/>
              </w:rPr>
              <w:t>(1)</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78,254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430,878</w:t>
            </w:r>
          </w:p>
        </w:tc>
      </w:tr>
      <w:tr>
        <w:trPr>
          <w:trHeight w:val="263"/>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Leasehold improvements and other</w:t>
            </w:r>
          </w:p>
        </w:tc>
        <w:tc>
          <w:tcPr>
            <w:tcW w:w="20" w:type="dxa"/>
            <w:vAlign w:val="bottom"/>
            <w:tcBorders>
              <w:bottom w:val="single" w:sz="8" w:color="auto"/>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32,422</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25,784</w:t>
            </w:r>
          </w:p>
        </w:tc>
      </w:tr>
      <w:tr>
        <w:trPr>
          <w:trHeight w:val="273"/>
        </w:trPr>
        <w:tc>
          <w:tcPr>
            <w:tcW w:w="8500" w:type="dxa"/>
            <w:vAlign w:val="bottom"/>
          </w:tcPr>
          <w:p>
            <w:pPr>
              <w:ind w:left="60"/>
              <w:spacing w:after="0"/>
              <w:rPr>
                <w:sz w:val="20"/>
                <w:szCs w:val="20"/>
                <w:color w:val="auto"/>
              </w:rPr>
            </w:pPr>
            <w:r>
              <w:rPr>
                <w:rFonts w:ascii="Arial" w:cs="Arial" w:eastAsia="Arial" w:hAnsi="Arial"/>
                <w:sz w:val="19"/>
                <w:szCs w:val="19"/>
                <w:color w:val="auto"/>
              </w:rPr>
              <w:t>Total construction in progress</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672,534</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1,185,413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-725805</wp:posOffset>
            </wp:positionV>
            <wp:extent cx="165417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4">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5">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6">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29" w:lineRule="exact"/>
        <w:rPr>
          <w:sz w:val="20"/>
          <w:szCs w:val="20"/>
          <w:color w:val="auto"/>
        </w:rPr>
      </w:pPr>
    </w:p>
    <w:p>
      <w:pPr>
        <w:jc w:val="center"/>
        <w:ind w:right="120" w:firstLine="7"/>
        <w:spacing w:after="0" w:line="369" w:lineRule="auto"/>
        <w:tabs>
          <w:tab w:leader="none" w:pos="141" w:val="left"/>
        </w:tabs>
        <w:numPr>
          <w:ilvl w:val="0"/>
          <w:numId w:val="165"/>
        </w:numPr>
        <w:rPr>
          <w:rFonts w:ascii="Arial" w:cs="Arial" w:eastAsia="Arial" w:hAnsi="Arial"/>
          <w:sz w:val="15"/>
          <w:szCs w:val="15"/>
          <w:color w:val="auto"/>
          <w:vertAlign w:val="superscript"/>
        </w:rPr>
      </w:pPr>
      <w:r>
        <w:rPr>
          <w:rFonts w:ascii="Arial" w:cs="Arial" w:eastAsia="Arial" w:hAnsi="Arial"/>
          <w:sz w:val="12"/>
          <w:szCs w:val="12"/>
          <w:color w:val="auto"/>
        </w:rPr>
        <w:t>As of December 31, 2024 and 2023, $67.3 million and $12.1 million of capital expenditure support received from MISA was recorded primarily as a deduction to the AMP-2 facility construction in progress balance, respectively. See Note 2 “Summary of Significant Accounting Policies” and Note 16 “Related Party Transactions” for more information.</w:t>
      </w:r>
    </w:p>
    <w:p>
      <w:pPr>
        <w:spacing w:after="0" w:line="110" w:lineRule="exact"/>
        <w:rPr>
          <w:sz w:val="20"/>
          <w:szCs w:val="20"/>
          <w:color w:val="auto"/>
        </w:rPr>
      </w:pPr>
    </w:p>
    <w:p>
      <w:pPr>
        <w:jc w:val="both"/>
        <w:ind w:right="240"/>
        <w:spacing w:after="0" w:line="271" w:lineRule="auto"/>
        <w:rPr>
          <w:sz w:val="20"/>
          <w:szCs w:val="20"/>
          <w:color w:val="auto"/>
        </w:rPr>
      </w:pPr>
      <w:r>
        <w:rPr>
          <w:rFonts w:ascii="Arial" w:cs="Arial" w:eastAsia="Arial" w:hAnsi="Arial"/>
          <w:sz w:val="19"/>
          <w:szCs w:val="19"/>
          <w:color w:val="auto"/>
        </w:rPr>
        <w:t>Depreciation and amortization expense was $295.3 million, $233.5 million and $186.6 million for the years ended December 31, 2024, 2023 and 2022, respectively. The amount of interest capitalized on construction in progress related to significant capital asset construction was not material for the years ended December 31, 2024, 2023, and 2022,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Other current liabilities as of December 31, 2024 and 2023 were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8"/>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5"/>
        </w:trPr>
        <w:tc>
          <w:tcPr>
            <w:tcW w:w="850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5"/>
                <w:szCs w:val="15"/>
                <w:b w:val="1"/>
                <w:bCs w:val="1"/>
                <w:color w:val="auto"/>
                <w:w w:val="95"/>
              </w:rPr>
              <w:t>2024</w:t>
            </w:r>
          </w:p>
        </w:tc>
        <w:tc>
          <w:tcPr>
            <w:tcW w:w="20" w:type="dxa"/>
            <w:vAlign w:val="bottom"/>
            <w:tcBorders>
              <w:bottom w:val="single" w:sz="8" w:color="E6E6E6"/>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5"/>
                <w:szCs w:val="15"/>
                <w:b w:val="1"/>
                <w:bCs w:val="1"/>
                <w:color w:val="auto"/>
                <w:w w:val="89"/>
              </w:rPr>
              <w:t>2023</w:t>
            </w:r>
          </w:p>
        </w:tc>
        <w:tc>
          <w:tcPr>
            <w:tcW w:w="0" w:type="dxa"/>
            <w:vAlign w:val="bottom"/>
          </w:tcPr>
          <w:p>
            <w:pPr>
              <w:spacing w:after="0"/>
              <w:rPr>
                <w:sz w:val="1"/>
                <w:szCs w:val="1"/>
                <w:color w:val="auto"/>
              </w:rPr>
            </w:pP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Engineering, design, and testing accrual</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53,666</w:t>
            </w:r>
          </w:p>
        </w:tc>
        <w:tc>
          <w:tcPr>
            <w:tcW w:w="24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42,176</w:t>
            </w:r>
          </w:p>
        </w:tc>
        <w:tc>
          <w:tcPr>
            <w:tcW w:w="0" w:type="dxa"/>
            <w:vAlign w:val="bottom"/>
          </w:tcPr>
          <w:p>
            <w:pPr>
              <w:spacing w:after="0"/>
              <w:rPr>
                <w:sz w:val="1"/>
                <w:szCs w:val="1"/>
                <w:color w:val="auto"/>
              </w:rPr>
            </w:pP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Construction in progress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39,043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156,414</w:t>
            </w:r>
          </w:p>
        </w:tc>
        <w:tc>
          <w:tcPr>
            <w:tcW w:w="0" w:type="dxa"/>
            <w:vAlign w:val="bottom"/>
          </w:tcPr>
          <w:p>
            <w:pPr>
              <w:spacing w:after="0"/>
              <w:rPr>
                <w:sz w:val="1"/>
                <w:szCs w:val="1"/>
                <w:color w:val="auto"/>
              </w:rPr>
            </w:pP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Accrued compensation</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201,880</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92,494</w:t>
            </w:r>
          </w:p>
        </w:tc>
        <w:tc>
          <w:tcPr>
            <w:tcW w:w="0" w:type="dxa"/>
            <w:vAlign w:val="bottom"/>
          </w:tcPr>
          <w:p>
            <w:pPr>
              <w:spacing w:after="0"/>
              <w:rPr>
                <w:sz w:val="1"/>
                <w:szCs w:val="1"/>
                <w:color w:val="auto"/>
              </w:rPr>
            </w:pPr>
          </w:p>
        </w:tc>
      </w:tr>
      <w:tr>
        <w:trPr>
          <w:trHeight w:val="274"/>
        </w:trPr>
        <w:tc>
          <w:tcPr>
            <w:tcW w:w="8500" w:type="dxa"/>
            <w:vAlign w:val="bottom"/>
          </w:tcPr>
          <w:p>
            <w:pPr>
              <w:ind w:left="60"/>
              <w:spacing w:after="0" w:line="274" w:lineRule="exact"/>
              <w:rPr>
                <w:sz w:val="20"/>
                <w:szCs w:val="20"/>
                <w:color w:val="auto"/>
              </w:rPr>
            </w:pPr>
            <w:r>
              <w:rPr>
                <w:rFonts w:ascii="Arial" w:cs="Arial" w:eastAsia="Arial" w:hAnsi="Arial"/>
                <w:sz w:val="19"/>
                <w:szCs w:val="19"/>
                <w:color w:val="auto"/>
              </w:rPr>
              <w:t>Accrued purchases</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31,318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44,957</w:t>
            </w:r>
          </w:p>
        </w:tc>
        <w:tc>
          <w:tcPr>
            <w:tcW w:w="0" w:type="dxa"/>
            <w:vAlign w:val="bottom"/>
          </w:tcPr>
          <w:p>
            <w:pPr>
              <w:spacing w:after="0"/>
              <w:rPr>
                <w:sz w:val="1"/>
                <w:szCs w:val="1"/>
                <w:color w:val="auto"/>
              </w:rPr>
            </w:pPr>
          </w:p>
        </w:tc>
      </w:tr>
      <w:tr>
        <w:trPr>
          <w:trHeight w:val="27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Retail leasehold improvements accrual</w:t>
            </w:r>
          </w:p>
        </w:tc>
        <w:tc>
          <w:tcPr>
            <w:tcW w:w="16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3,589</w:t>
            </w: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6,005</w:t>
            </w:r>
          </w:p>
        </w:tc>
        <w:tc>
          <w:tcPr>
            <w:tcW w:w="0" w:type="dxa"/>
            <w:vAlign w:val="bottom"/>
          </w:tcPr>
          <w:p>
            <w:pPr>
              <w:spacing w:after="0"/>
              <w:rPr>
                <w:sz w:val="1"/>
                <w:szCs w:val="1"/>
                <w:color w:val="auto"/>
              </w:rPr>
            </w:pP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Third-party services accrual</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26,353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41,478</w:t>
            </w:r>
          </w:p>
        </w:tc>
        <w:tc>
          <w:tcPr>
            <w:tcW w:w="0" w:type="dxa"/>
            <w:vAlign w:val="bottom"/>
          </w:tcPr>
          <w:p>
            <w:pPr>
              <w:spacing w:after="0"/>
              <w:rPr>
                <w:sz w:val="1"/>
                <w:szCs w:val="1"/>
                <w:color w:val="auto"/>
              </w:rPr>
            </w:pP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Tooling liability</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110,249</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49,925</w:t>
            </w:r>
          </w:p>
        </w:tc>
        <w:tc>
          <w:tcPr>
            <w:tcW w:w="0" w:type="dxa"/>
            <w:vAlign w:val="bottom"/>
          </w:tcPr>
          <w:p>
            <w:pPr>
              <w:spacing w:after="0"/>
              <w:rPr>
                <w:sz w:val="1"/>
                <w:szCs w:val="1"/>
                <w:color w:val="auto"/>
              </w:rPr>
            </w:pP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Short-term borrowings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126,417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72,533</w:t>
            </w:r>
          </w:p>
        </w:tc>
        <w:tc>
          <w:tcPr>
            <w:tcW w:w="0" w:type="dxa"/>
            <w:vAlign w:val="bottom"/>
          </w:tcPr>
          <w:p>
            <w:pPr>
              <w:spacing w:after="0"/>
              <w:rPr>
                <w:sz w:val="1"/>
                <w:szCs w:val="1"/>
                <w:color w:val="auto"/>
              </w:rPr>
            </w:pP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Operating lease liabilities, current portion</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35,596</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28,431</w:t>
            </w:r>
          </w:p>
        </w:tc>
        <w:tc>
          <w:tcPr>
            <w:tcW w:w="0" w:type="dxa"/>
            <w:vAlign w:val="bottom"/>
          </w:tcPr>
          <w:p>
            <w:pPr>
              <w:spacing w:after="0"/>
              <w:rPr>
                <w:sz w:val="1"/>
                <w:szCs w:val="1"/>
                <w:color w:val="auto"/>
              </w:rPr>
            </w:pP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Reserve for loss on firm inventory purchase commitments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119,672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143,566</w:t>
            </w:r>
          </w:p>
        </w:tc>
        <w:tc>
          <w:tcPr>
            <w:tcW w:w="0" w:type="dxa"/>
            <w:vAlign w:val="bottom"/>
          </w:tcPr>
          <w:p>
            <w:pPr>
              <w:spacing w:after="0"/>
              <w:rPr>
                <w:sz w:val="1"/>
                <w:szCs w:val="1"/>
                <w:color w:val="auto"/>
              </w:rPr>
            </w:pP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Accrued warranty</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36,752</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22,677</w:t>
            </w:r>
          </w:p>
        </w:tc>
        <w:tc>
          <w:tcPr>
            <w:tcW w:w="0" w:type="dxa"/>
            <w:vAlign w:val="bottom"/>
          </w:tcPr>
          <w:p>
            <w:pPr>
              <w:spacing w:after="0"/>
              <w:rPr>
                <w:sz w:val="1"/>
                <w:szCs w:val="1"/>
                <w:color w:val="auto"/>
              </w:rPr>
            </w:pPr>
          </w:p>
        </w:tc>
      </w:tr>
      <w:tr>
        <w:trPr>
          <w:trHeight w:val="274"/>
        </w:trPr>
        <w:tc>
          <w:tcPr>
            <w:tcW w:w="8500" w:type="dxa"/>
            <w:vAlign w:val="bottom"/>
          </w:tcPr>
          <w:p>
            <w:pPr>
              <w:ind w:left="60"/>
              <w:spacing w:after="0" w:line="274" w:lineRule="exact"/>
              <w:rPr>
                <w:sz w:val="20"/>
                <w:szCs w:val="20"/>
                <w:color w:val="auto"/>
              </w:rPr>
            </w:pPr>
            <w:r>
              <w:rPr>
                <w:rFonts w:ascii="Arial" w:cs="Arial" w:eastAsia="Arial" w:hAnsi="Arial"/>
                <w:sz w:val="19"/>
                <w:szCs w:val="19"/>
                <w:color w:val="auto"/>
              </w:rPr>
              <w:t>Deferred revenue</w:t>
            </w:r>
            <w:r>
              <w:rPr>
                <w:rFonts w:ascii="Arial" w:cs="Arial" w:eastAsia="Arial" w:hAnsi="Arial"/>
                <w:sz w:val="24"/>
                <w:szCs w:val="24"/>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18,473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7,714</w:t>
            </w:r>
          </w:p>
        </w:tc>
        <w:tc>
          <w:tcPr>
            <w:tcW w:w="0" w:type="dxa"/>
            <w:vAlign w:val="bottom"/>
          </w:tcPr>
          <w:p>
            <w:pPr>
              <w:spacing w:after="0"/>
              <w:rPr>
                <w:sz w:val="1"/>
                <w:szCs w:val="1"/>
                <w:color w:val="auto"/>
              </w:rPr>
            </w:pPr>
          </w:p>
        </w:tc>
      </w:tr>
      <w:tr>
        <w:trPr>
          <w:trHeight w:val="283"/>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 current liabilities</w:t>
            </w: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221,663</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183,114</w:t>
            </w:r>
          </w:p>
        </w:tc>
        <w:tc>
          <w:tcPr>
            <w:tcW w:w="0" w:type="dxa"/>
            <w:vAlign w:val="bottom"/>
          </w:tcPr>
          <w:p>
            <w:pPr>
              <w:spacing w:after="0"/>
              <w:rPr>
                <w:sz w:val="1"/>
                <w:szCs w:val="1"/>
                <w:color w:val="auto"/>
              </w:rPr>
            </w:pPr>
          </w:p>
        </w:tc>
      </w:tr>
      <w:tr>
        <w:trPr>
          <w:trHeight w:val="216"/>
        </w:trPr>
        <w:tc>
          <w:tcPr>
            <w:tcW w:w="8500" w:type="dxa"/>
            <w:vAlign w:val="bottom"/>
          </w:tcPr>
          <w:p>
            <w:pPr>
              <w:ind w:left="60"/>
              <w:spacing w:after="0" w:line="216" w:lineRule="exact"/>
              <w:rPr>
                <w:sz w:val="20"/>
                <w:szCs w:val="20"/>
                <w:color w:val="auto"/>
              </w:rPr>
            </w:pPr>
            <w:r>
              <w:rPr>
                <w:rFonts w:ascii="Arial" w:cs="Arial" w:eastAsia="Arial" w:hAnsi="Arial"/>
                <w:sz w:val="19"/>
                <w:szCs w:val="19"/>
                <w:color w:val="auto"/>
              </w:rPr>
              <w:t>Total other current liabilities</w:t>
            </w:r>
          </w:p>
        </w:tc>
        <w:tc>
          <w:tcPr>
            <w:tcW w:w="1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1,024,671</w:t>
            </w:r>
          </w:p>
        </w:tc>
        <w:tc>
          <w:tcPr>
            <w:tcW w:w="240" w:type="dxa"/>
            <w:vAlign w:val="bottom"/>
            <w:gridSpan w:val="4"/>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891,484</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 xml:space="preserve"> Primarily represent accruals for inventory related purchases and transportation charges that had not been invoiced.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500" w:type="dxa"/>
            <w:vAlign w:val="bottom"/>
          </w:tcPr>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5"/>
                <w:szCs w:val="15"/>
                <w:color w:val="auto"/>
              </w:rPr>
              <w:t xml:space="preserve"> Represent deferred revenue from vehicle sales primarily related to OTA and remarketing activities</w:t>
            </w: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00" w:type="dxa"/>
            <w:vAlign w:val="bottom"/>
          </w:tcPr>
          <w:p>
            <w:pPr>
              <w:spacing w:after="0"/>
              <w:rPr>
                <w:sz w:val="20"/>
                <w:szCs w:val="20"/>
                <w:color w:val="auto"/>
              </w:rPr>
            </w:pPr>
            <w:r>
              <w:rPr>
                <w:rFonts w:ascii="Arial" w:cs="Arial" w:eastAsia="Arial" w:hAnsi="Arial"/>
                <w:sz w:val="19"/>
                <w:szCs w:val="19"/>
                <w:b w:val="1"/>
                <w:bCs w:val="1"/>
                <w:i w:val="1"/>
                <w:iCs w:val="1"/>
                <w:color w:val="auto"/>
              </w:rPr>
              <w:t>Other long-term liabilities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8500" w:type="dxa"/>
            <w:vAlign w:val="bottom"/>
          </w:tcPr>
          <w:p>
            <w:pPr>
              <w:spacing w:after="0"/>
              <w:rPr>
                <w:sz w:val="20"/>
                <w:szCs w:val="20"/>
                <w:color w:val="auto"/>
              </w:rPr>
            </w:pPr>
            <w:r>
              <w:rPr>
                <w:rFonts w:ascii="Arial" w:cs="Arial" w:eastAsia="Arial" w:hAnsi="Arial"/>
                <w:sz w:val="19"/>
                <w:szCs w:val="19"/>
                <w:color w:val="auto"/>
              </w:rPr>
              <w:t>Other long-term liabilities as of December 31, 2024 and 2023 were as follows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8"/>
              <w:spacing w:after="0"/>
              <w:rPr>
                <w:sz w:val="20"/>
                <w:szCs w:val="20"/>
                <w:color w:val="auto"/>
              </w:rPr>
            </w:pPr>
            <w:r>
              <w:rPr>
                <w:rFonts w:ascii="Arial" w:cs="Arial" w:eastAsia="Arial" w:hAnsi="Arial"/>
                <w:sz w:val="15"/>
                <w:szCs w:val="15"/>
                <w:b w:val="1"/>
                <w:bCs w:val="1"/>
                <w:color w:val="auto"/>
                <w:w w:val="92"/>
              </w:rPr>
              <w:t>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8"/>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5"/>
        </w:trPr>
        <w:tc>
          <w:tcPr>
            <w:tcW w:w="850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5"/>
                <w:szCs w:val="15"/>
                <w:b w:val="1"/>
                <w:bCs w:val="1"/>
                <w:color w:val="auto"/>
                <w:w w:val="89"/>
              </w:rPr>
              <w:t>2024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5"/>
                <w:szCs w:val="15"/>
                <w:b w:val="1"/>
                <w:bCs w:val="1"/>
                <w:color w:val="auto"/>
                <w:w w:val="89"/>
              </w:rPr>
              <w:t>2023</w:t>
            </w:r>
          </w:p>
        </w:tc>
        <w:tc>
          <w:tcPr>
            <w:tcW w:w="0" w:type="dxa"/>
            <w:vAlign w:val="bottom"/>
          </w:tcPr>
          <w:p>
            <w:pPr>
              <w:spacing w:after="0"/>
              <w:rPr>
                <w:sz w:val="1"/>
                <w:szCs w:val="1"/>
                <w:color w:val="auto"/>
              </w:rPr>
            </w:pP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Operating lease liabilities, net of current portion</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229,835</w:t>
            </w:r>
          </w:p>
        </w:tc>
        <w:tc>
          <w:tcPr>
            <w:tcW w:w="24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244,122</w:t>
            </w:r>
          </w:p>
        </w:tc>
        <w:tc>
          <w:tcPr>
            <w:tcW w:w="0" w:type="dxa"/>
            <w:vAlign w:val="bottom"/>
          </w:tcPr>
          <w:p>
            <w:pPr>
              <w:spacing w:after="0"/>
              <w:rPr>
                <w:sz w:val="1"/>
                <w:szCs w:val="1"/>
                <w:color w:val="auto"/>
              </w:rPr>
            </w:pPr>
          </w:p>
        </w:tc>
      </w:tr>
      <w:tr>
        <w:trPr>
          <w:trHeight w:val="264"/>
        </w:trPr>
        <w:tc>
          <w:tcPr>
            <w:tcW w:w="8500" w:type="dxa"/>
            <w:vAlign w:val="bottom"/>
            <w:tcBorders>
              <w:bottom w:val="single" w:sz="8" w:color="E6E6E6"/>
            </w:tcBorders>
          </w:tcPr>
          <w:p>
            <w:pPr>
              <w:ind w:left="60"/>
              <w:spacing w:after="0" w:line="264" w:lineRule="exact"/>
              <w:rPr>
                <w:sz w:val="20"/>
                <w:szCs w:val="20"/>
                <w:color w:val="auto"/>
              </w:rPr>
            </w:pPr>
            <w:r>
              <w:rPr>
                <w:rFonts w:ascii="Arial" w:cs="Arial" w:eastAsia="Arial" w:hAnsi="Arial"/>
                <w:sz w:val="19"/>
                <w:szCs w:val="19"/>
                <w:color w:val="auto"/>
              </w:rPr>
              <w:t>Other long-term liabilities</w:t>
            </w:r>
            <w:r>
              <w:rPr>
                <w:rFonts w:ascii="Arial" w:cs="Arial" w:eastAsia="Arial" w:hAnsi="Arial"/>
                <w:sz w:val="24"/>
                <w:szCs w:val="24"/>
                <w:color w:val="auto"/>
                <w:vertAlign w:val="superscript"/>
              </w:rPr>
              <w:t>(1)(2)</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342,965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280,217</w:t>
            </w:r>
          </w:p>
        </w:tc>
        <w:tc>
          <w:tcPr>
            <w:tcW w:w="0" w:type="dxa"/>
            <w:vAlign w:val="bottom"/>
          </w:tcPr>
          <w:p>
            <w:pPr>
              <w:spacing w:after="0"/>
              <w:rPr>
                <w:sz w:val="1"/>
                <w:szCs w:val="1"/>
                <w:color w:val="auto"/>
              </w:rPr>
            </w:pPr>
          </w:p>
        </w:tc>
      </w:tr>
      <w:tr>
        <w:trPr>
          <w:trHeight w:val="272"/>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other long-term liabilities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572,800</w:t>
            </w:r>
          </w:p>
        </w:tc>
        <w:tc>
          <w:tcPr>
            <w:tcW w:w="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E6E6E6"/>
            </w:tcBorders>
            <w:gridSpan w:val="2"/>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524,339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-4289425</wp:posOffset>
            </wp:positionV>
            <wp:extent cx="16630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7">
                      <a:extLst>
                        <a:ext uri="{28A0092B-C50C-407E-A947-70E740481C1C}"/>
                      </a:extLst>
                    </a:blip>
                    <a:srcRect/>
                    <a:stretch>
                      <a:fillRect/>
                    </a:stretch>
                  </pic:blipFill>
                  <pic:spPr bwMode="auto">
                    <a:xfrm>
                      <a:off x="0" y="0"/>
                      <a:ext cx="1663065" cy="2540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-2029460</wp:posOffset>
            </wp:positionV>
            <wp:extent cx="16630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48">
                      <a:extLst>
                        <a:ext uri="{28A0092B-C50C-407E-A947-70E740481C1C}"/>
                      </a:extLst>
                    </a:blip>
                    <a:srcRect/>
                    <a:stretch>
                      <a:fillRect/>
                    </a:stretch>
                  </pic:blipFill>
                  <pic:spPr bwMode="auto">
                    <a:xfrm>
                      <a:off x="0" y="0"/>
                      <a:ext cx="166306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-551815</wp:posOffset>
            </wp:positionV>
            <wp:extent cx="165417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9">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50">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51">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29" w:lineRule="exact"/>
        <w:rPr>
          <w:sz w:val="20"/>
          <w:szCs w:val="20"/>
          <w:color w:val="auto"/>
        </w:rPr>
      </w:pPr>
    </w:p>
    <w:p>
      <w:pPr>
        <w:ind w:right="740" w:firstLine="7"/>
        <w:spacing w:after="0" w:line="285" w:lineRule="auto"/>
        <w:tabs>
          <w:tab w:leader="none" w:pos="141" w:val="left"/>
        </w:tabs>
        <w:numPr>
          <w:ilvl w:val="0"/>
          <w:numId w:val="166"/>
        </w:numPr>
        <w:rPr>
          <w:rFonts w:ascii="Arial" w:cs="Arial" w:eastAsia="Arial" w:hAnsi="Arial"/>
          <w:sz w:val="15"/>
          <w:szCs w:val="15"/>
          <w:color w:val="auto"/>
          <w:vertAlign w:val="superscript"/>
        </w:rPr>
      </w:pPr>
      <w:r>
        <w:rPr>
          <w:rFonts w:ascii="Arial" w:cs="Arial" w:eastAsia="Arial" w:hAnsi="Arial"/>
          <w:sz w:val="12"/>
          <w:szCs w:val="12"/>
          <w:color w:val="auto"/>
        </w:rPr>
        <w:t>As of December 31, 2023, $62.5 million of capital expenditure support received from MISA was recorded as deferred liability within other long-term liabilities in the consolidated balance sheet. See Note 2 “Summary of Significant Accounting Policies” and Note 16 “Related Party Transactions” for more information.</w:t>
      </w:r>
    </w:p>
    <w:p>
      <w:pPr>
        <w:ind w:right="260" w:firstLine="7"/>
        <w:spacing w:after="0" w:line="333" w:lineRule="auto"/>
        <w:tabs>
          <w:tab w:leader="none" w:pos="141" w:val="left"/>
        </w:tabs>
        <w:numPr>
          <w:ilvl w:val="0"/>
          <w:numId w:val="166"/>
        </w:numPr>
        <w:rPr>
          <w:rFonts w:ascii="Arial" w:cs="Arial" w:eastAsia="Arial" w:hAnsi="Arial"/>
          <w:sz w:val="15"/>
          <w:szCs w:val="15"/>
          <w:color w:val="auto"/>
          <w:vertAlign w:val="superscript"/>
        </w:rPr>
      </w:pPr>
      <w:r>
        <w:rPr>
          <w:rFonts w:ascii="Arial" w:cs="Arial" w:eastAsia="Arial" w:hAnsi="Arial"/>
          <w:sz w:val="12"/>
          <w:szCs w:val="12"/>
          <w:color w:val="auto"/>
        </w:rPr>
        <w:t>As of December 31, 2024 and 2023, $112.7 million and $107.8 million of deferred revenue was recorded within other long-term liabilities in the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sectPr>
          <w:pgSz w:w="11880" w:h="15480" w:orient="portrait"/>
          <w:cols w:equalWidth="0" w:num="1">
            <w:col w:w="11080"/>
          </w:cols>
          <w:pgMar w:left="400" w:top="763" w:right="400" w:bottom="0" w:gutter="0" w:footer="0" w:header="0"/>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1080"/>
          </w:cols>
          <w:pgMar w:left="400" w:top="763" w:right="400" w:bottom="0" w:gutter="0" w:footer="0" w:header="0"/>
          <w:type w:val="continuous"/>
        </w:sectPr>
      </w:pPr>
    </w:p>
    <w:bookmarkStart w:id="236" w:name="page237"/>
    <w:bookmarkEnd w:id="236"/>
    <w:p>
      <w:pPr>
        <w:spacing w:after="0"/>
        <w:rPr>
          <w:sz w:val="20"/>
          <w:szCs w:val="20"/>
          <w:color w:val="auto"/>
        </w:rPr>
      </w:pPr>
      <w:r>
        <w:rPr>
          <w:rFonts w:ascii="Arial" w:cs="Arial" w:eastAsia="Arial" w:hAnsi="Arial"/>
          <w:sz w:val="19"/>
          <w:szCs w:val="19"/>
          <w:b w:val="1"/>
          <w:bCs w:val="1"/>
          <w:i w:val="1"/>
          <w:iCs w:val="1"/>
          <w:color w:val="auto"/>
        </w:rPr>
        <w:t>Accrued warranty</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Accrued warranty activities consisted of the following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5"/>
                <w:szCs w:val="15"/>
                <w:b w:val="1"/>
                <w:bCs w:val="1"/>
                <w:color w:val="auto"/>
                <w:w w:val="99"/>
              </w:rPr>
              <w:t>Year Ended December 31,</w:t>
            </w:r>
          </w:p>
        </w:tc>
      </w:tr>
      <w:tr>
        <w:trPr>
          <w:trHeight w:val="211"/>
        </w:trPr>
        <w:tc>
          <w:tcPr>
            <w:tcW w:w="85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Accrued warranty - beginning of period</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46,076</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22,949</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Warranty costs incurred</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(53,941)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(50,923)</w:t>
            </w:r>
          </w:p>
        </w:tc>
      </w:tr>
      <w:tr>
        <w:trPr>
          <w:trHeight w:val="290"/>
        </w:trPr>
        <w:tc>
          <w:tcPr>
            <w:tcW w:w="8500" w:type="dxa"/>
            <w:vAlign w:val="bottom"/>
            <w:tcBorders>
              <w:bottom w:val="single" w:sz="8" w:color="E6E6E6"/>
            </w:tcBorders>
            <w:shd w:val="clear" w:color="auto" w:fill="E6E6E6"/>
          </w:tcPr>
          <w:p>
            <w:pPr>
              <w:ind w:left="60"/>
              <w:spacing w:after="0" w:line="271" w:lineRule="exact"/>
              <w:rPr>
                <w:sz w:val="20"/>
                <w:szCs w:val="20"/>
                <w:color w:val="auto"/>
              </w:rPr>
            </w:pPr>
            <w:r>
              <w:rPr>
                <w:rFonts w:ascii="Arial" w:cs="Arial" w:eastAsia="Arial" w:hAnsi="Arial"/>
                <w:sz w:val="19"/>
                <w:szCs w:val="19"/>
                <w:color w:val="auto"/>
              </w:rPr>
              <w:t>Provision for warranty</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120,343</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74,050</w:t>
            </w:r>
          </w:p>
        </w:tc>
      </w:tr>
      <w:tr>
        <w:trPr>
          <w:trHeight w:val="215"/>
        </w:trPr>
        <w:tc>
          <w:tcPr>
            <w:tcW w:w="8500" w:type="dxa"/>
            <w:vAlign w:val="bottom"/>
          </w:tcPr>
          <w:p>
            <w:pPr>
              <w:ind w:left="60"/>
              <w:spacing w:after="0" w:line="214" w:lineRule="exact"/>
              <w:rPr>
                <w:sz w:val="20"/>
                <w:szCs w:val="20"/>
                <w:color w:val="auto"/>
              </w:rPr>
            </w:pPr>
            <w:r>
              <w:rPr>
                <w:rFonts w:ascii="Arial" w:cs="Arial" w:eastAsia="Arial" w:hAnsi="Arial"/>
                <w:sz w:val="19"/>
                <w:szCs w:val="19"/>
                <w:b w:val="1"/>
                <w:bCs w:val="1"/>
                <w:color w:val="auto"/>
              </w:rPr>
              <w:t>Accrued warranty - end of period</w:t>
            </w:r>
            <w:r>
              <w:rPr>
                <w:rFonts w:ascii="Arial" w:cs="Arial" w:eastAsia="Arial" w:hAnsi="Arial"/>
                <w:sz w:val="24"/>
                <w:szCs w:val="24"/>
                <w:b w:val="1"/>
                <w:bCs w:val="1"/>
                <w:color w:val="auto"/>
                <w:vertAlign w:val="superscript"/>
              </w:rPr>
              <w:t>(2)</w:t>
            </w:r>
          </w:p>
        </w:tc>
        <w:tc>
          <w:tcPr>
            <w:tcW w:w="300" w:type="dxa"/>
            <w:vAlign w:val="bottom"/>
          </w:tcPr>
          <w:p>
            <w:pPr>
              <w:jc w:val="right"/>
              <w:ind w:right="44"/>
              <w:spacing w:after="0" w:line="214" w:lineRule="exact"/>
              <w:rPr>
                <w:sz w:val="20"/>
                <w:szCs w:val="20"/>
                <w:color w:val="auto"/>
              </w:rPr>
            </w:pPr>
            <w:r>
              <w:rPr>
                <w:rFonts w:ascii="Arial" w:cs="Arial" w:eastAsia="Arial" w:hAnsi="Arial"/>
                <w:sz w:val="19"/>
                <w:szCs w:val="19"/>
                <w:color w:val="auto"/>
              </w:rPr>
              <w:t>$</w:t>
            </w:r>
          </w:p>
        </w:tc>
        <w:tc>
          <w:tcPr>
            <w:tcW w:w="960" w:type="dxa"/>
            <w:vAlign w:val="bottom"/>
          </w:tcPr>
          <w:p>
            <w:pPr>
              <w:jc w:val="right"/>
              <w:spacing w:after="0" w:line="214" w:lineRule="exact"/>
              <w:rPr>
                <w:sz w:val="20"/>
                <w:szCs w:val="20"/>
                <w:color w:val="auto"/>
              </w:rPr>
            </w:pPr>
            <w:r>
              <w:rPr>
                <w:rFonts w:ascii="Arial" w:cs="Arial" w:eastAsia="Arial" w:hAnsi="Arial"/>
                <w:sz w:val="19"/>
                <w:szCs w:val="19"/>
                <w:color w:val="auto"/>
              </w:rPr>
              <w:t>112,478</w:t>
            </w:r>
          </w:p>
        </w:tc>
        <w:tc>
          <w:tcPr>
            <w:tcW w:w="3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w:t>
            </w:r>
          </w:p>
        </w:tc>
        <w:tc>
          <w:tcPr>
            <w:tcW w:w="960" w:type="dxa"/>
            <w:vAlign w:val="bottom"/>
          </w:tcPr>
          <w:p>
            <w:pPr>
              <w:jc w:val="right"/>
              <w:spacing w:after="0" w:line="214" w:lineRule="exact"/>
              <w:rPr>
                <w:sz w:val="20"/>
                <w:szCs w:val="20"/>
                <w:color w:val="auto"/>
              </w:rPr>
            </w:pPr>
            <w:r>
              <w:rPr>
                <w:rFonts w:ascii="Arial" w:cs="Arial" w:eastAsia="Arial" w:hAnsi="Arial"/>
                <w:sz w:val="19"/>
                <w:szCs w:val="19"/>
                <w:color w:val="auto"/>
              </w:rPr>
              <w:t>46,076</w:t>
            </w:r>
          </w:p>
        </w:tc>
      </w:tr>
      <w:tr>
        <w:trPr>
          <w:trHeight w:val="20"/>
        </w:trPr>
        <w:tc>
          <w:tcPr>
            <w:tcW w:w="8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-725805</wp:posOffset>
            </wp:positionV>
            <wp:extent cx="165417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2">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53">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-42545</wp:posOffset>
            </wp:positionV>
            <wp:extent cx="821690"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54">
                      <a:extLst>
                        <a:ext uri="{28A0092B-C50C-407E-A947-70E740481C1C}"/>
                      </a:extLst>
                    </a:blip>
                    <a:srcRect/>
                    <a:stretch>
                      <a:fillRect/>
                    </a:stretch>
                  </pic:blipFill>
                  <pic:spPr bwMode="auto">
                    <a:xfrm>
                      <a:off x="0" y="0"/>
                      <a:ext cx="821690" cy="49530"/>
                    </a:xfrm>
                    <a:prstGeom prst="rect">
                      <a:avLst/>
                    </a:prstGeom>
                    <a:noFill/>
                  </pic:spPr>
                </pic:pic>
              </a:graphicData>
            </a:graphic>
          </wp:anchor>
        </w:drawing>
      </w:r>
    </w:p>
    <w:p>
      <w:pPr>
        <w:spacing w:after="0" w:line="252" w:lineRule="exact"/>
        <w:rPr>
          <w:sz w:val="20"/>
          <w:szCs w:val="20"/>
          <w:color w:val="auto"/>
        </w:rPr>
      </w:pPr>
    </w:p>
    <w:p>
      <w:pPr>
        <w:ind w:right="220" w:firstLine="7"/>
        <w:spacing w:after="0"/>
        <w:tabs>
          <w:tab w:leader="none" w:pos="155" w:val="left"/>
        </w:tabs>
        <w:numPr>
          <w:ilvl w:val="0"/>
          <w:numId w:val="167"/>
        </w:numPr>
        <w:rPr>
          <w:rFonts w:ascii="Arial" w:cs="Arial" w:eastAsia="Arial" w:hAnsi="Arial"/>
          <w:sz w:val="18"/>
          <w:szCs w:val="18"/>
          <w:color w:val="auto"/>
          <w:vertAlign w:val="superscript"/>
        </w:rPr>
      </w:pPr>
      <w:r>
        <w:rPr>
          <w:rFonts w:ascii="Arial" w:cs="Arial" w:eastAsia="Arial" w:hAnsi="Arial"/>
          <w:sz w:val="14"/>
          <w:szCs w:val="14"/>
          <w:color w:val="auto"/>
        </w:rPr>
        <w:t>Provision for warranty for the years ended December 31, 2024 and 2023 included estimated costs related to the recalls identified and/or special campaigns to repair or replace items under warranties. During the year ended December 31, 2024, the Company recorded $46.1 million provision associated with a special warranty campaign.</w:t>
      </w:r>
    </w:p>
    <w:p>
      <w:pPr>
        <w:ind w:right="140" w:firstLine="7"/>
        <w:spacing w:after="0" w:line="369" w:lineRule="auto"/>
        <w:tabs>
          <w:tab w:leader="none" w:pos="142" w:val="left"/>
        </w:tabs>
        <w:numPr>
          <w:ilvl w:val="0"/>
          <w:numId w:val="167"/>
        </w:numPr>
        <w:rPr>
          <w:rFonts w:ascii="Arial" w:cs="Arial" w:eastAsia="Arial" w:hAnsi="Arial"/>
          <w:sz w:val="15"/>
          <w:szCs w:val="15"/>
          <w:color w:val="auto"/>
          <w:vertAlign w:val="superscript"/>
        </w:rPr>
      </w:pPr>
      <w:r>
        <w:rPr>
          <w:rFonts w:ascii="Arial" w:cs="Arial" w:eastAsia="Arial" w:hAnsi="Arial"/>
          <w:sz w:val="12"/>
          <w:szCs w:val="12"/>
          <w:color w:val="auto"/>
        </w:rPr>
        <w:t>Accrued warranty balance of $36.8 million and $22.7 million was recorded within other current liabilities, and $75.7 million and $23.4 million was recorded within other long-term liabilities, in the consolidated balance sheets as of December 31, 2024 and 2023,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FAIR VALUE MEASUREMENTS AND FINANCIAL INSTRUMENTS</w:t>
      </w:r>
    </w:p>
    <w:p>
      <w:pPr>
        <w:spacing w:after="0" w:line="24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79" w:lineRule="exact"/>
        <w:rPr>
          <w:sz w:val="20"/>
          <w:szCs w:val="20"/>
          <w:color w:val="auto"/>
        </w:rPr>
      </w:pPr>
    </w:p>
    <w:p>
      <w:pPr>
        <w:ind w:left="700" w:hanging="347"/>
        <w:spacing w:after="0"/>
        <w:tabs>
          <w:tab w:leader="none" w:pos="700" w:val="left"/>
        </w:tabs>
        <w:numPr>
          <w:ilvl w:val="0"/>
          <w:numId w:val="168"/>
        </w:numPr>
        <w:rPr>
          <w:rFonts w:ascii="Arial" w:cs="Arial" w:eastAsia="Arial" w:hAnsi="Arial"/>
          <w:sz w:val="19"/>
          <w:szCs w:val="19"/>
          <w:color w:val="auto"/>
        </w:rPr>
      </w:pPr>
      <w:r>
        <w:rPr>
          <w:rFonts w:ascii="Arial" w:cs="Arial" w:eastAsia="Arial" w:hAnsi="Arial"/>
          <w:sz w:val="19"/>
          <w:szCs w:val="19"/>
          <w:b w:val="1"/>
          <w:bCs w:val="1"/>
          <w:i w:val="1"/>
          <w:iCs w:val="1"/>
          <w:color w:val="auto"/>
        </w:rPr>
        <w:t>Level 1</w:t>
      </w:r>
      <w:r>
        <w:rPr>
          <w:rFonts w:ascii="Arial" w:cs="Arial" w:eastAsia="Arial" w:hAnsi="Arial"/>
          <w:sz w:val="19"/>
          <w:szCs w:val="19"/>
          <w:color w:val="auto"/>
        </w:rPr>
        <w:t>—Quoted prices (unadjusted) in active markets for identical assets or liabilities.</w:t>
      </w:r>
    </w:p>
    <w:p>
      <w:pPr>
        <w:spacing w:after="0" w:line="242" w:lineRule="exact"/>
        <w:rPr>
          <w:rFonts w:ascii="Arial" w:cs="Arial" w:eastAsia="Arial" w:hAnsi="Arial"/>
          <w:sz w:val="19"/>
          <w:szCs w:val="19"/>
          <w:color w:val="auto"/>
        </w:rPr>
      </w:pPr>
    </w:p>
    <w:p>
      <w:pPr>
        <w:jc w:val="both"/>
        <w:ind w:left="700" w:right="40" w:hanging="347"/>
        <w:spacing w:after="0" w:line="273" w:lineRule="auto"/>
        <w:tabs>
          <w:tab w:leader="none" w:pos="700" w:val="left"/>
        </w:tabs>
        <w:numPr>
          <w:ilvl w:val="0"/>
          <w:numId w:val="168"/>
        </w:numPr>
        <w:rPr>
          <w:rFonts w:ascii="Arial" w:cs="Arial" w:eastAsia="Arial" w:hAnsi="Arial"/>
          <w:sz w:val="19"/>
          <w:szCs w:val="19"/>
          <w:color w:val="auto"/>
        </w:rPr>
      </w:pPr>
      <w:r>
        <w:rPr>
          <w:rFonts w:ascii="Arial" w:cs="Arial" w:eastAsia="Arial" w:hAnsi="Arial"/>
          <w:sz w:val="19"/>
          <w:szCs w:val="19"/>
          <w:b w:val="1"/>
          <w:bCs w:val="1"/>
          <w:i w:val="1"/>
          <w:iCs w:val="1"/>
          <w:color w:val="auto"/>
        </w:rPr>
        <w:t>Level 2</w:t>
      </w:r>
      <w:r>
        <w:rPr>
          <w:rFonts w:ascii="Arial" w:cs="Arial" w:eastAsia="Arial" w:hAnsi="Arial"/>
          <w:sz w:val="19"/>
          <w:szCs w:val="19"/>
          <w:color w:val="auto"/>
        </w:rPr>
        <w:t>—Observable inputs other than quoted prices in active markets for identical assets and liabilities, quoted prices for identical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similar assets or liabilities in inactive markets, or other inputs that are observable or can be corroborated by observable market data for substantially the full term of the assets or liabilities.</w:t>
      </w:r>
    </w:p>
    <w:p>
      <w:pPr>
        <w:spacing w:after="0" w:line="176" w:lineRule="exact"/>
        <w:rPr>
          <w:rFonts w:ascii="Arial" w:cs="Arial" w:eastAsia="Arial" w:hAnsi="Arial"/>
          <w:sz w:val="19"/>
          <w:szCs w:val="19"/>
          <w:color w:val="auto"/>
        </w:rPr>
      </w:pPr>
    </w:p>
    <w:p>
      <w:pPr>
        <w:ind w:left="700" w:right="120" w:hanging="347"/>
        <w:spacing w:after="0" w:line="267" w:lineRule="auto"/>
        <w:tabs>
          <w:tab w:leader="none" w:pos="700" w:val="left"/>
        </w:tabs>
        <w:numPr>
          <w:ilvl w:val="0"/>
          <w:numId w:val="168"/>
        </w:numPr>
        <w:rPr>
          <w:rFonts w:ascii="Arial" w:cs="Arial" w:eastAsia="Arial" w:hAnsi="Arial"/>
          <w:sz w:val="19"/>
          <w:szCs w:val="19"/>
          <w:color w:val="auto"/>
        </w:rPr>
      </w:pPr>
      <w:r>
        <w:rPr>
          <w:rFonts w:ascii="Arial" w:cs="Arial" w:eastAsia="Arial" w:hAnsi="Arial"/>
          <w:sz w:val="19"/>
          <w:szCs w:val="19"/>
          <w:b w:val="1"/>
          <w:bCs w:val="1"/>
          <w:i w:val="1"/>
          <w:iCs w:val="1"/>
          <w:color w:val="auto"/>
        </w:rPr>
        <w:t>Level 3</w:t>
      </w:r>
      <w:r>
        <w:rPr>
          <w:rFonts w:ascii="Arial" w:cs="Arial" w:eastAsia="Arial" w:hAnsi="Arial"/>
          <w:sz w:val="19"/>
          <w:szCs w:val="19"/>
          <w:color w:val="auto"/>
        </w:rPr>
        <w:t>—Inputs that are generally unobservable and typically reflect management’s estimates of assumptions that market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85" w:lineRule="exact"/>
        <w:rPr>
          <w:sz w:val="20"/>
          <w:szCs w:val="20"/>
          <w:color w:val="auto"/>
        </w:rPr>
      </w:pPr>
    </w:p>
    <w:p>
      <w:pPr>
        <w:ind w:right="540"/>
        <w:spacing w:after="0" w:line="271" w:lineRule="auto"/>
        <w:rPr>
          <w:sz w:val="20"/>
          <w:szCs w:val="20"/>
          <w:color w:val="auto"/>
        </w:rPr>
      </w:pPr>
      <w:r>
        <w:rPr>
          <w:rFonts w:ascii="Arial" w:cs="Arial" w:eastAsia="Arial" w:hAnsi="Arial"/>
          <w:sz w:val="19"/>
          <w:szCs w:val="19"/>
          <w:color w:val="auto"/>
        </w:rPr>
        <w:t>Cash, cash equivalents and investments are reported at their respective fair values on the Company’s consolidated balance sheets. The Company’s short-term and long-term investments are classified as available-for-sale securities. Carrying amounts of accounts receivable, accounts payable, and other current liabilities approximate their estimated fair values.</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1080"/>
          </w:cols>
          <w:pgMar w:left="400" w:top="755" w:right="400" w:bottom="0" w:gutter="0" w:footer="0" w:header="0"/>
          <w:type w:val="continuous"/>
        </w:sectPr>
      </w:pPr>
    </w:p>
    <w:bookmarkStart w:id="237" w:name="page238"/>
    <w:bookmarkEnd w:id="237"/>
    <w:p>
      <w:pPr>
        <w:ind w:right="20"/>
        <w:spacing w:after="0" w:line="289" w:lineRule="auto"/>
        <w:rPr>
          <w:sz w:val="20"/>
          <w:szCs w:val="20"/>
          <w:color w:val="auto"/>
        </w:rPr>
      </w:pPr>
      <w:r>
        <w:rPr>
          <w:rFonts w:ascii="Arial" w:cs="Arial" w:eastAsia="Arial" w:hAnsi="Arial"/>
          <w:sz w:val="19"/>
          <w:szCs w:val="19"/>
          <w:color w:val="auto"/>
        </w:rPr>
        <w:t>The following table sets forth the Company’s financial assets subject to fair value measurements on a recurring basis by level within the fair value hierarchy as of December 31, 2024 and 2023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5"/>
                <w:szCs w:val="15"/>
                <w:b w:val="1"/>
                <w:bCs w:val="1"/>
                <w:color w:val="auto"/>
                <w:w w:val="91"/>
              </w:rPr>
              <w:t>December 31, 2024</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Reported As: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Amortized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07"/>
              <w:spacing w:after="0" w:line="154" w:lineRule="exact"/>
              <w:rPr>
                <w:sz w:val="20"/>
                <w:szCs w:val="20"/>
                <w:color w:val="auto"/>
              </w:rPr>
            </w:pPr>
            <w:r>
              <w:rPr>
                <w:rFonts w:ascii="Arial" w:cs="Arial" w:eastAsia="Arial" w:hAnsi="Arial"/>
                <w:sz w:val="15"/>
                <w:szCs w:val="15"/>
                <w:b w:val="1"/>
                <w:bCs w:val="1"/>
                <w:color w:val="auto"/>
                <w:w w:val="96"/>
              </w:rPr>
              <w:t>Gross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08"/>
              <w:spacing w:after="0" w:line="154" w:lineRule="exact"/>
              <w:rPr>
                <w:sz w:val="20"/>
                <w:szCs w:val="20"/>
                <w:color w:val="auto"/>
              </w:rPr>
            </w:pPr>
            <w:r>
              <w:rPr>
                <w:rFonts w:ascii="Arial" w:cs="Arial" w:eastAsia="Arial" w:hAnsi="Arial"/>
                <w:sz w:val="15"/>
                <w:szCs w:val="15"/>
                <w:b w:val="1"/>
                <w:bCs w:val="1"/>
                <w:color w:val="auto"/>
                <w:w w:val="92"/>
              </w:rPr>
              <w:t>Gross</w:t>
            </w:r>
          </w:p>
        </w:tc>
        <w:tc>
          <w:tcPr>
            <w:tcW w:w="60" w:type="dxa"/>
            <w:vAlign w:val="bottom"/>
          </w:tcPr>
          <w:p>
            <w:pPr>
              <w:spacing w:after="0"/>
              <w:rPr>
                <w:sz w:val="13"/>
                <w:szCs w:val="13"/>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5"/>
                <w:szCs w:val="15"/>
                <w:b w:val="1"/>
                <w:bCs w:val="1"/>
                <w:color w:val="auto"/>
                <w:w w:val="94"/>
              </w:rPr>
              <w:t>Estimated</w:t>
            </w:r>
          </w:p>
        </w:tc>
        <w:tc>
          <w:tcPr>
            <w:tcW w:w="9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Cash and</w:t>
            </w:r>
          </w:p>
        </w:tc>
        <w:tc>
          <w:tcPr>
            <w:tcW w:w="6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Short-Term</w:t>
            </w:r>
          </w:p>
        </w:tc>
        <w:tc>
          <w:tcPr>
            <w:tcW w:w="60" w:type="dxa"/>
            <w:vAlign w:val="bottom"/>
          </w:tcPr>
          <w:p>
            <w:pPr>
              <w:spacing w:after="0"/>
              <w:rPr>
                <w:sz w:val="13"/>
                <w:szCs w:val="13"/>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Long-Term</w:t>
            </w: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7"/>
              <w:spacing w:after="0" w:line="154" w:lineRule="exact"/>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3"/>
                <w:szCs w:val="13"/>
                <w:color w:val="auto"/>
              </w:rPr>
            </w:pPr>
          </w:p>
        </w:tc>
        <w:tc>
          <w:tcPr>
            <w:tcW w:w="96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4"/>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1"/>
              </w:rPr>
              <w:t>cash</w:t>
            </w: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cost</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Gains</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5"/>
                <w:szCs w:val="15"/>
                <w:b w:val="1"/>
                <w:bCs w:val="1"/>
                <w:color w:val="auto"/>
                <w:w w:val="85"/>
              </w:rPr>
              <w:t>Losses</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Fair Value</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equivalents</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Investments</w:t>
            </w:r>
          </w:p>
        </w:tc>
        <w:tc>
          <w:tcPr>
            <w:tcW w:w="60" w:type="dxa"/>
            <w:vAlign w:val="bottom"/>
            <w:tcBorders>
              <w:bottom w:val="single" w:sz="8" w:color="E6E6E6"/>
            </w:tcBorders>
          </w:tcPr>
          <w:p>
            <w:pPr>
              <w:spacing w:after="0"/>
              <w:rPr>
                <w:sz w:val="17"/>
                <w:szCs w:val="17"/>
                <w:color w:val="auto"/>
              </w:rPr>
            </w:pPr>
          </w:p>
        </w:tc>
        <w:tc>
          <w:tcPr>
            <w:tcW w:w="9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8"/>
              </w:rPr>
              <w:t>Investments</w:t>
            </w:r>
          </w:p>
        </w:tc>
        <w:tc>
          <w:tcPr>
            <w:tcW w:w="0" w:type="dxa"/>
            <w:vAlign w:val="bottom"/>
          </w:tcPr>
          <w:p>
            <w:pPr>
              <w:spacing w:after="0"/>
              <w:rPr>
                <w:sz w:val="1"/>
                <w:szCs w:val="1"/>
                <w:color w:val="auto"/>
              </w:rPr>
            </w:pPr>
          </w:p>
        </w:tc>
      </w:tr>
      <w:tr>
        <w:trPr>
          <w:trHeight w:val="264"/>
        </w:trPr>
        <w:tc>
          <w:tcPr>
            <w:tcW w:w="39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Cash</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$ 610,201</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$ 610,201</w:t>
            </w: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$ 610,201</w:t>
            </w:r>
          </w:p>
        </w:tc>
        <w:tc>
          <w:tcPr>
            <w:tcW w:w="260" w:type="dxa"/>
            <w:vAlign w:val="bottom"/>
            <w:gridSpan w:val="2"/>
            <w:shd w:val="clear" w:color="auto" w:fill="E6E6E6"/>
          </w:tcPr>
          <w:p>
            <w:pPr>
              <w:ind w:left="120"/>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8"/>
        </w:trPr>
        <w:tc>
          <w:tcPr>
            <w:tcW w:w="3980" w:type="dxa"/>
            <w:vAlign w:val="bottom"/>
            <w:gridSpan w:val="2"/>
          </w:tcPr>
          <w:p>
            <w:pPr>
              <w:ind w:left="60"/>
              <w:spacing w:after="0"/>
              <w:rPr>
                <w:sz w:val="20"/>
                <w:szCs w:val="20"/>
                <w:color w:val="auto"/>
              </w:rPr>
            </w:pPr>
            <w:r>
              <w:rPr>
                <w:rFonts w:ascii="Arial" w:cs="Arial" w:eastAsia="Arial" w:hAnsi="Arial"/>
                <w:sz w:val="19"/>
                <w:szCs w:val="19"/>
                <w:color w:val="auto"/>
              </w:rPr>
              <w:t>Level 1:</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Money market funds</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677,712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677,712</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677,712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E6E6E6"/>
            </w:tcBorders>
          </w:tcPr>
          <w:p>
            <w:pPr>
              <w:ind w:left="280"/>
              <w:spacing w:after="0"/>
              <w:rPr>
                <w:sz w:val="20"/>
                <w:szCs w:val="20"/>
                <w:color w:val="auto"/>
              </w:rPr>
            </w:pPr>
            <w:r>
              <w:rPr>
                <w:rFonts w:ascii="Arial" w:cs="Arial" w:eastAsia="Arial" w:hAnsi="Arial"/>
                <w:sz w:val="19"/>
                <w:szCs w:val="19"/>
                <w:color w:val="auto"/>
              </w:rPr>
              <w:t>U.S. Treasury securities</w:t>
            </w: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2,310,538</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2,820</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(531)</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2,312,827</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173,341</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1,605,369</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534,117</w:t>
            </w:r>
          </w:p>
        </w:tc>
        <w:tc>
          <w:tcPr>
            <w:tcW w:w="0" w:type="dxa"/>
            <w:vAlign w:val="bottom"/>
          </w:tcPr>
          <w:p>
            <w:pPr>
              <w:spacing w:after="0"/>
              <w:rPr>
                <w:sz w:val="1"/>
                <w:szCs w:val="1"/>
                <w:color w:val="auto"/>
              </w:rPr>
            </w:pPr>
          </w:p>
        </w:tc>
      </w:tr>
      <w:tr>
        <w:trPr>
          <w:trHeight w:val="293"/>
        </w:trPr>
        <w:tc>
          <w:tcPr>
            <w:tcW w:w="398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Subtotal</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2,988,250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2,820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(531)</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2,990,539</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851,053</w:t>
            </w:r>
          </w:p>
        </w:tc>
        <w:tc>
          <w:tcPr>
            <w:tcW w:w="102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1,605,369</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534,117</w:t>
            </w:r>
          </w:p>
        </w:tc>
        <w:tc>
          <w:tcPr>
            <w:tcW w:w="0" w:type="dxa"/>
            <w:vAlign w:val="bottom"/>
          </w:tcPr>
          <w:p>
            <w:pPr>
              <w:spacing w:after="0"/>
              <w:rPr>
                <w:sz w:val="1"/>
                <w:szCs w:val="1"/>
                <w:color w:val="auto"/>
              </w:rPr>
            </w:pPr>
          </w:p>
        </w:tc>
      </w:tr>
      <w:tr>
        <w:trPr>
          <w:trHeight w:val="297"/>
        </w:trPr>
        <w:tc>
          <w:tcPr>
            <w:tcW w:w="3980" w:type="dxa"/>
            <w:vAlign w:val="bottom"/>
            <w:gridSpan w:val="2"/>
          </w:tcPr>
          <w:p>
            <w:pPr>
              <w:ind w:left="60"/>
              <w:spacing w:after="0"/>
              <w:rPr>
                <w:sz w:val="20"/>
                <w:szCs w:val="20"/>
                <w:color w:val="auto"/>
              </w:rPr>
            </w:pPr>
            <w:r>
              <w:rPr>
                <w:rFonts w:ascii="Arial" w:cs="Arial" w:eastAsia="Arial" w:hAnsi="Arial"/>
                <w:sz w:val="19"/>
                <w:szCs w:val="19"/>
                <w:color w:val="auto"/>
              </w:rPr>
              <w:t>Level 2:</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Certificates of deposit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3,998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3,999</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3,999</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3"/>
        </w:trPr>
        <w:tc>
          <w:tcPr>
            <w:tcW w:w="3980" w:type="dxa"/>
            <w:vAlign w:val="bottom"/>
            <w:gridSpan w:val="2"/>
          </w:tcPr>
          <w:p>
            <w:pPr>
              <w:ind w:left="280"/>
              <w:spacing w:after="0"/>
              <w:rPr>
                <w:sz w:val="20"/>
                <w:szCs w:val="20"/>
                <w:color w:val="auto"/>
              </w:rPr>
            </w:pPr>
            <w:r>
              <w:rPr>
                <w:rFonts w:ascii="Arial" w:cs="Arial" w:eastAsia="Arial" w:hAnsi="Arial"/>
                <w:sz w:val="19"/>
                <w:szCs w:val="19"/>
                <w:color w:val="auto"/>
              </w:rPr>
              <w:t>Time deposits</w:t>
            </w:r>
            <w:r>
              <w:rPr>
                <w:rFonts w:ascii="Arial" w:cs="Arial" w:eastAsia="Arial" w:hAnsi="Arial"/>
                <w:sz w:val="24"/>
                <w:szCs w:val="24"/>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9"/>
                <w:szCs w:val="19"/>
                <w:color w:val="auto"/>
              </w:rPr>
              <w:t>515,000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515,000</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435,000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20,000</w:t>
            </w:r>
          </w:p>
        </w:tc>
        <w:tc>
          <w:tcPr>
            <w:tcW w:w="0" w:type="dxa"/>
            <w:vAlign w:val="bottom"/>
          </w:tcPr>
          <w:p>
            <w:pPr>
              <w:spacing w:after="0"/>
              <w:rPr>
                <w:sz w:val="1"/>
                <w:szCs w:val="1"/>
                <w:color w:val="auto"/>
              </w:rPr>
            </w:pPr>
          </w:p>
        </w:tc>
      </w:tr>
      <w:tr>
        <w:trPr>
          <w:trHeight w:val="303"/>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Commercial paper</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141,525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141,546</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75,442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66,104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E6E6E6"/>
            </w:tcBorders>
          </w:tcPr>
          <w:p>
            <w:pPr>
              <w:ind w:left="280"/>
              <w:spacing w:after="0"/>
              <w:rPr>
                <w:sz w:val="20"/>
                <w:szCs w:val="20"/>
                <w:color w:val="auto"/>
              </w:rPr>
            </w:pPr>
            <w:r>
              <w:rPr>
                <w:rFonts w:ascii="Arial" w:cs="Arial" w:eastAsia="Arial" w:hAnsi="Arial"/>
                <w:sz w:val="19"/>
                <w:szCs w:val="19"/>
                <w:color w:val="auto"/>
              </w:rPr>
              <w:t>Corporate debt securities</w:t>
            </w: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781,178</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1,281</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(553)</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781,906</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10,169</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313,631</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458,106</w:t>
            </w:r>
          </w:p>
        </w:tc>
        <w:tc>
          <w:tcPr>
            <w:tcW w:w="0" w:type="dxa"/>
            <w:vAlign w:val="bottom"/>
          </w:tcPr>
          <w:p>
            <w:pPr>
              <w:spacing w:after="0"/>
              <w:rPr>
                <w:sz w:val="1"/>
                <w:szCs w:val="1"/>
                <w:color w:val="auto"/>
              </w:rPr>
            </w:pPr>
          </w:p>
        </w:tc>
      </w:tr>
      <w:tr>
        <w:trPr>
          <w:trHeight w:val="254"/>
        </w:trPr>
        <w:tc>
          <w:tcPr>
            <w:tcW w:w="39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Subtotal</w:t>
            </w:r>
          </w:p>
        </w:tc>
        <w:tc>
          <w:tcPr>
            <w:tcW w:w="2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1,441,701</w:t>
            </w: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1,307</w:t>
            </w:r>
          </w:p>
        </w:tc>
        <w:tc>
          <w:tcPr>
            <w:tcW w:w="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(557)</w:t>
            </w:r>
          </w:p>
        </w:tc>
        <w:tc>
          <w:tcPr>
            <w:tcW w:w="6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1,442,451</w:t>
            </w:r>
          </w:p>
        </w:tc>
        <w:tc>
          <w:tcPr>
            <w:tcW w:w="6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145,611</w:t>
            </w:r>
          </w:p>
        </w:tc>
        <w:tc>
          <w:tcPr>
            <w:tcW w:w="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818,734</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478,106</w:t>
            </w:r>
          </w:p>
        </w:tc>
        <w:tc>
          <w:tcPr>
            <w:tcW w:w="0" w:type="dxa"/>
            <w:vAlign w:val="bottom"/>
          </w:tcPr>
          <w:p>
            <w:pPr>
              <w:spacing w:after="0"/>
              <w:rPr>
                <w:sz w:val="1"/>
                <w:szCs w:val="1"/>
                <w:color w:val="auto"/>
              </w:rPr>
            </w:pPr>
          </w:p>
        </w:tc>
      </w:tr>
      <w:tr>
        <w:trPr>
          <w:trHeight w:val="273"/>
        </w:trPr>
        <w:tc>
          <w:tcPr>
            <w:tcW w:w="3960" w:type="dxa"/>
            <w:vAlign w:val="bottom"/>
          </w:tcPr>
          <w:p>
            <w:pPr>
              <w:ind w:left="60"/>
              <w:spacing w:after="0"/>
              <w:rPr>
                <w:sz w:val="20"/>
                <w:szCs w:val="20"/>
                <w:color w:val="auto"/>
              </w:rPr>
            </w:pPr>
            <w:r>
              <w:rPr>
                <w:rFonts w:ascii="Arial" w:cs="Arial" w:eastAsia="Arial" w:hAnsi="Arial"/>
                <w:sz w:val="19"/>
                <w:szCs w:val="19"/>
                <w:color w:val="auto"/>
              </w:rPr>
              <w:t>Total</w:t>
            </w: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$5,040,152</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4,127</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(1,088)</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$5,043,191</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$1,606,865</w:t>
            </w:r>
          </w:p>
        </w:tc>
        <w:tc>
          <w:tcPr>
            <w:tcW w:w="60" w:type="dxa"/>
            <w:vAlign w:val="bottom"/>
          </w:tcPr>
          <w:p>
            <w:pPr>
              <w:spacing w:after="0"/>
              <w:rPr>
                <w:sz w:val="23"/>
                <w:szCs w:val="23"/>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w w:val="92"/>
              </w:rPr>
              <w:t>$2,424,103</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7"/>
              </w:rPr>
              <w:t>1,012,223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-2207895</wp:posOffset>
            </wp:positionV>
            <wp:extent cx="453644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55">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-1512570</wp:posOffset>
            </wp:positionV>
            <wp:extent cx="453644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6">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-377825</wp:posOffset>
            </wp:positionV>
            <wp:extent cx="453644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57">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-204470</wp:posOffset>
            </wp:positionV>
            <wp:extent cx="453644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58">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-42545</wp:posOffset>
            </wp:positionV>
            <wp:extent cx="4536440"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9">
                      <a:extLst>
                        <a:ext uri="{28A0092B-C50C-407E-A947-70E740481C1C}"/>
                      </a:extLst>
                    </a:blip>
                    <a:srcRect/>
                    <a:stretch>
                      <a:fillRect/>
                    </a:stretch>
                  </pic:blipFill>
                  <pic:spPr bwMode="auto">
                    <a:xfrm>
                      <a:off x="0" y="0"/>
                      <a:ext cx="4536440" cy="49530"/>
                    </a:xfrm>
                    <a:prstGeom prst="rect">
                      <a:avLst/>
                    </a:prstGeom>
                    <a:noFill/>
                  </pic:spPr>
                </pic:pic>
              </a:graphicData>
            </a:graphic>
          </wp:anchor>
        </w:drawing>
      </w:r>
    </w:p>
    <w:p>
      <w:pPr>
        <w:spacing w:after="0" w:line="207" w:lineRule="exact"/>
        <w:rPr>
          <w:sz w:val="20"/>
          <w:szCs w:val="20"/>
          <w:color w:val="auto"/>
        </w:rPr>
      </w:pPr>
    </w:p>
    <w:p>
      <w:pPr>
        <w:ind w:left="160" w:hanging="153"/>
        <w:spacing w:after="0"/>
        <w:tabs>
          <w:tab w:leader="none" w:pos="160" w:val="left"/>
        </w:tabs>
        <w:numPr>
          <w:ilvl w:val="0"/>
          <w:numId w:val="169"/>
        </w:numPr>
        <w:rPr>
          <w:rFonts w:ascii="Arial" w:cs="Arial" w:eastAsia="Arial" w:hAnsi="Arial"/>
          <w:sz w:val="18"/>
          <w:szCs w:val="18"/>
          <w:color w:val="auto"/>
          <w:vertAlign w:val="superscript"/>
        </w:rPr>
      </w:pPr>
      <w:r>
        <w:rPr>
          <w:rFonts w:ascii="Arial" w:cs="Arial" w:eastAsia="Arial" w:hAnsi="Arial"/>
          <w:sz w:val="14"/>
          <w:szCs w:val="14"/>
          <w:color w:val="auto"/>
        </w:rPr>
        <w:t>Included $35.0 million of time deposit with GIB in short-term investments and long-term investments. GIB is a related party of the PIF, which is an affiliate of Ayar. See Note</w:t>
      </w:r>
    </w:p>
    <w:p>
      <w:pPr>
        <w:spacing w:after="0"/>
        <w:rPr>
          <w:rFonts w:ascii="Arial" w:cs="Arial" w:eastAsia="Arial" w:hAnsi="Arial"/>
          <w:sz w:val="18"/>
          <w:szCs w:val="18"/>
          <w:color w:val="auto"/>
          <w:vertAlign w:val="superscript"/>
        </w:rPr>
      </w:pPr>
      <w:r>
        <w:rPr>
          <w:rFonts w:ascii="Arial" w:cs="Arial" w:eastAsia="Arial" w:hAnsi="Arial"/>
          <w:sz w:val="15"/>
          <w:szCs w:val="15"/>
          <w:color w:val="auto"/>
        </w:rPr>
        <w:t>16 “Related Party Transactions” for more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5"/>
                <w:szCs w:val="15"/>
                <w:b w:val="1"/>
                <w:bCs w:val="1"/>
                <w:color w:val="auto"/>
                <w:w w:val="91"/>
              </w:rPr>
              <w:t>December 31, 2023</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Reported As: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Amortized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07"/>
              <w:spacing w:after="0" w:line="154" w:lineRule="exact"/>
              <w:rPr>
                <w:sz w:val="20"/>
                <w:szCs w:val="20"/>
                <w:color w:val="auto"/>
              </w:rPr>
            </w:pPr>
            <w:r>
              <w:rPr>
                <w:rFonts w:ascii="Arial" w:cs="Arial" w:eastAsia="Arial" w:hAnsi="Arial"/>
                <w:sz w:val="15"/>
                <w:szCs w:val="15"/>
                <w:b w:val="1"/>
                <w:bCs w:val="1"/>
                <w:color w:val="auto"/>
                <w:w w:val="96"/>
              </w:rPr>
              <w:t>Gross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08"/>
              <w:spacing w:after="0" w:line="154" w:lineRule="exact"/>
              <w:rPr>
                <w:sz w:val="20"/>
                <w:szCs w:val="20"/>
                <w:color w:val="auto"/>
              </w:rPr>
            </w:pPr>
            <w:r>
              <w:rPr>
                <w:rFonts w:ascii="Arial" w:cs="Arial" w:eastAsia="Arial" w:hAnsi="Arial"/>
                <w:sz w:val="15"/>
                <w:szCs w:val="15"/>
                <w:b w:val="1"/>
                <w:bCs w:val="1"/>
                <w:color w:val="auto"/>
                <w:w w:val="92"/>
              </w:rPr>
              <w:t>Gross</w:t>
            </w:r>
          </w:p>
        </w:tc>
        <w:tc>
          <w:tcPr>
            <w:tcW w:w="60" w:type="dxa"/>
            <w:vAlign w:val="bottom"/>
          </w:tcPr>
          <w:p>
            <w:pPr>
              <w:spacing w:after="0"/>
              <w:rPr>
                <w:sz w:val="13"/>
                <w:szCs w:val="13"/>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5"/>
                <w:szCs w:val="15"/>
                <w:b w:val="1"/>
                <w:bCs w:val="1"/>
                <w:color w:val="auto"/>
                <w:w w:val="94"/>
              </w:rPr>
              <w:t>Estimated</w:t>
            </w:r>
          </w:p>
        </w:tc>
        <w:tc>
          <w:tcPr>
            <w:tcW w:w="9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Cash and</w:t>
            </w:r>
          </w:p>
        </w:tc>
        <w:tc>
          <w:tcPr>
            <w:tcW w:w="6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Short-Term</w:t>
            </w:r>
          </w:p>
        </w:tc>
        <w:tc>
          <w:tcPr>
            <w:tcW w:w="60" w:type="dxa"/>
            <w:vAlign w:val="bottom"/>
          </w:tcPr>
          <w:p>
            <w:pPr>
              <w:spacing w:after="0"/>
              <w:rPr>
                <w:sz w:val="13"/>
                <w:szCs w:val="13"/>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Long-Term</w:t>
            </w:r>
          </w:p>
        </w:tc>
        <w:tc>
          <w:tcPr>
            <w:tcW w:w="0" w:type="dxa"/>
            <w:vAlign w:val="bottom"/>
          </w:tcPr>
          <w:p>
            <w:pPr>
              <w:spacing w:after="0"/>
              <w:rPr>
                <w:sz w:val="1"/>
                <w:szCs w:val="1"/>
                <w:color w:val="auto"/>
              </w:rPr>
            </w:pPr>
          </w:p>
        </w:tc>
      </w:tr>
      <w:tr>
        <w:trPr>
          <w:trHeight w:val="154"/>
        </w:trPr>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7"/>
              <w:spacing w:after="0" w:line="154" w:lineRule="exact"/>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3"/>
                <w:szCs w:val="13"/>
                <w:color w:val="auto"/>
              </w:rPr>
            </w:pPr>
          </w:p>
        </w:tc>
        <w:tc>
          <w:tcPr>
            <w:tcW w:w="96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4"/>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1"/>
              </w:rPr>
              <w:t>cash</w:t>
            </w: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cost</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Gains</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5"/>
                <w:szCs w:val="15"/>
                <w:b w:val="1"/>
                <w:bCs w:val="1"/>
                <w:color w:val="auto"/>
                <w:w w:val="85"/>
              </w:rPr>
              <w:t>Losses</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Fair Value</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equivalents</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Investments</w:t>
            </w:r>
          </w:p>
        </w:tc>
        <w:tc>
          <w:tcPr>
            <w:tcW w:w="60" w:type="dxa"/>
            <w:vAlign w:val="bottom"/>
            <w:tcBorders>
              <w:bottom w:val="single" w:sz="8" w:color="E6E6E6"/>
            </w:tcBorders>
          </w:tcPr>
          <w:p>
            <w:pPr>
              <w:spacing w:after="0"/>
              <w:rPr>
                <w:sz w:val="17"/>
                <w:szCs w:val="17"/>
                <w:color w:val="auto"/>
              </w:rPr>
            </w:pPr>
          </w:p>
        </w:tc>
        <w:tc>
          <w:tcPr>
            <w:tcW w:w="9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8"/>
              </w:rPr>
              <w:t>Investments</w:t>
            </w:r>
          </w:p>
        </w:tc>
        <w:tc>
          <w:tcPr>
            <w:tcW w:w="0" w:type="dxa"/>
            <w:vAlign w:val="bottom"/>
          </w:tcPr>
          <w:p>
            <w:pPr>
              <w:spacing w:after="0"/>
              <w:rPr>
                <w:sz w:val="1"/>
                <w:szCs w:val="1"/>
                <w:color w:val="auto"/>
              </w:rPr>
            </w:pPr>
          </w:p>
        </w:tc>
      </w:tr>
      <w:tr>
        <w:trPr>
          <w:trHeight w:val="264"/>
        </w:trPr>
        <w:tc>
          <w:tcPr>
            <w:tcW w:w="39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Cash</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$ 516,673</w:t>
            </w:r>
          </w:p>
        </w:tc>
        <w:tc>
          <w:tcPr>
            <w:tcW w:w="28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$ 516,673</w:t>
            </w: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$ 516,673</w:t>
            </w:r>
          </w:p>
        </w:tc>
        <w:tc>
          <w:tcPr>
            <w:tcW w:w="260" w:type="dxa"/>
            <w:vAlign w:val="bottom"/>
            <w:gridSpan w:val="2"/>
            <w:shd w:val="clear" w:color="auto" w:fill="E6E6E6"/>
          </w:tcPr>
          <w:p>
            <w:pPr>
              <w:ind w:left="120"/>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8"/>
        </w:trPr>
        <w:tc>
          <w:tcPr>
            <w:tcW w:w="3980" w:type="dxa"/>
            <w:vAlign w:val="bottom"/>
            <w:gridSpan w:val="2"/>
          </w:tcPr>
          <w:p>
            <w:pPr>
              <w:ind w:left="60"/>
              <w:spacing w:after="0"/>
              <w:rPr>
                <w:sz w:val="20"/>
                <w:szCs w:val="20"/>
                <w:color w:val="auto"/>
              </w:rPr>
            </w:pPr>
            <w:r>
              <w:rPr>
                <w:rFonts w:ascii="Arial" w:cs="Arial" w:eastAsia="Arial" w:hAnsi="Arial"/>
                <w:sz w:val="19"/>
                <w:szCs w:val="19"/>
                <w:color w:val="auto"/>
              </w:rPr>
              <w:t>Level 1:</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Money market funds</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698,702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698,702</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698,702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E6E6E6"/>
            </w:tcBorders>
            <w:gridSpan w:val="2"/>
          </w:tcPr>
          <w:p>
            <w:pPr>
              <w:ind w:left="280"/>
              <w:spacing w:after="0"/>
              <w:rPr>
                <w:sz w:val="20"/>
                <w:szCs w:val="20"/>
                <w:color w:val="auto"/>
              </w:rPr>
            </w:pPr>
            <w:r>
              <w:rPr>
                <w:rFonts w:ascii="Arial" w:cs="Arial" w:eastAsia="Arial" w:hAnsi="Arial"/>
                <w:sz w:val="19"/>
                <w:szCs w:val="19"/>
                <w:color w:val="auto"/>
              </w:rPr>
              <w:t>U.S. Treasury securities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2,033,711</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2,480</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(2,073)</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2,034,118</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104,572</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1,638,537</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291,009</w:t>
            </w:r>
          </w:p>
        </w:tc>
        <w:tc>
          <w:tcPr>
            <w:tcW w:w="0" w:type="dxa"/>
            <w:vAlign w:val="bottom"/>
          </w:tcPr>
          <w:p>
            <w:pPr>
              <w:spacing w:after="0"/>
              <w:rPr>
                <w:sz w:val="1"/>
                <w:szCs w:val="1"/>
                <w:color w:val="auto"/>
              </w:rPr>
            </w:pPr>
          </w:p>
        </w:tc>
      </w:tr>
      <w:tr>
        <w:trPr>
          <w:trHeight w:val="293"/>
        </w:trPr>
        <w:tc>
          <w:tcPr>
            <w:tcW w:w="398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Subtotal</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2,732,413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2,480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(2,073)</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2,732,820</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803,274</w:t>
            </w:r>
          </w:p>
        </w:tc>
        <w:tc>
          <w:tcPr>
            <w:tcW w:w="102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1,638,537</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6"/>
              </w:rPr>
              <w:t>291,009</w:t>
            </w:r>
          </w:p>
        </w:tc>
        <w:tc>
          <w:tcPr>
            <w:tcW w:w="0" w:type="dxa"/>
            <w:vAlign w:val="bottom"/>
          </w:tcPr>
          <w:p>
            <w:pPr>
              <w:spacing w:after="0"/>
              <w:rPr>
                <w:sz w:val="1"/>
                <w:szCs w:val="1"/>
                <w:color w:val="auto"/>
              </w:rPr>
            </w:pPr>
          </w:p>
        </w:tc>
      </w:tr>
      <w:tr>
        <w:trPr>
          <w:trHeight w:val="297"/>
        </w:trPr>
        <w:tc>
          <w:tcPr>
            <w:tcW w:w="3980" w:type="dxa"/>
            <w:vAlign w:val="bottom"/>
            <w:gridSpan w:val="2"/>
          </w:tcPr>
          <w:p>
            <w:pPr>
              <w:ind w:left="60"/>
              <w:spacing w:after="0"/>
              <w:rPr>
                <w:sz w:val="20"/>
                <w:szCs w:val="20"/>
                <w:color w:val="auto"/>
              </w:rPr>
            </w:pPr>
            <w:r>
              <w:rPr>
                <w:rFonts w:ascii="Arial" w:cs="Arial" w:eastAsia="Arial" w:hAnsi="Arial"/>
                <w:sz w:val="19"/>
                <w:szCs w:val="19"/>
                <w:color w:val="auto"/>
              </w:rPr>
              <w:t>Level 2:</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Certificates of deposit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105,993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97</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106,068</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106,068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7"/>
        </w:trPr>
        <w:tc>
          <w:tcPr>
            <w:tcW w:w="3980" w:type="dxa"/>
            <w:vAlign w:val="bottom"/>
            <w:gridSpan w:val="2"/>
          </w:tcPr>
          <w:p>
            <w:pPr>
              <w:ind w:left="280"/>
              <w:spacing w:after="0"/>
              <w:rPr>
                <w:sz w:val="20"/>
                <w:szCs w:val="20"/>
                <w:color w:val="auto"/>
              </w:rPr>
            </w:pPr>
            <w:r>
              <w:rPr>
                <w:rFonts w:ascii="Arial" w:cs="Arial" w:eastAsia="Arial" w:hAnsi="Arial"/>
                <w:sz w:val="19"/>
                <w:szCs w:val="19"/>
                <w:color w:val="auto"/>
              </w:rPr>
              <w:t>Time deposits</w:t>
            </w:r>
          </w:p>
        </w:tc>
        <w:tc>
          <w:tcPr>
            <w:tcW w:w="960" w:type="dxa"/>
            <w:vAlign w:val="bottom"/>
          </w:tcPr>
          <w:p>
            <w:pPr>
              <w:jc w:val="right"/>
              <w:spacing w:after="0"/>
              <w:rPr>
                <w:sz w:val="20"/>
                <w:szCs w:val="20"/>
                <w:color w:val="auto"/>
              </w:rPr>
            </w:pPr>
            <w:r>
              <w:rPr>
                <w:rFonts w:ascii="Arial" w:cs="Arial" w:eastAsia="Arial" w:hAnsi="Arial"/>
                <w:sz w:val="19"/>
                <w:szCs w:val="19"/>
                <w:color w:val="auto"/>
              </w:rPr>
              <w:t>50,000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50,000</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9"/>
        </w:trPr>
        <w:tc>
          <w:tcPr>
            <w:tcW w:w="398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Commercial paper</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299,248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299,431</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299,431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E6E6E6"/>
            </w:tcBorders>
          </w:tcPr>
          <w:p>
            <w:pPr>
              <w:ind w:left="280"/>
              <w:spacing w:after="0"/>
              <w:rPr>
                <w:sz w:val="20"/>
                <w:szCs w:val="20"/>
                <w:color w:val="auto"/>
              </w:rPr>
            </w:pPr>
            <w:r>
              <w:rPr>
                <w:rFonts w:ascii="Arial" w:cs="Arial" w:eastAsia="Arial" w:hAnsi="Arial"/>
                <w:sz w:val="19"/>
                <w:szCs w:val="19"/>
                <w:color w:val="auto"/>
              </w:rPr>
              <w:t>Corporate debt securities</w:t>
            </w: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615,350</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1,101</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(669)</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615,782</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445,762</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170,020</w:t>
            </w:r>
          </w:p>
        </w:tc>
        <w:tc>
          <w:tcPr>
            <w:tcW w:w="0" w:type="dxa"/>
            <w:vAlign w:val="bottom"/>
          </w:tcPr>
          <w:p>
            <w:pPr>
              <w:spacing w:after="0"/>
              <w:rPr>
                <w:sz w:val="1"/>
                <w:szCs w:val="1"/>
                <w:color w:val="auto"/>
              </w:rPr>
            </w:pPr>
          </w:p>
        </w:tc>
      </w:tr>
      <w:tr>
        <w:trPr>
          <w:trHeight w:val="254"/>
        </w:trPr>
        <w:tc>
          <w:tcPr>
            <w:tcW w:w="39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Subtotal</w:t>
            </w:r>
          </w:p>
        </w:tc>
        <w:tc>
          <w:tcPr>
            <w:tcW w:w="2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1,070,591</w:t>
            </w: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1,389</w:t>
            </w:r>
          </w:p>
        </w:tc>
        <w:tc>
          <w:tcPr>
            <w:tcW w:w="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(699)</w:t>
            </w:r>
          </w:p>
        </w:tc>
        <w:tc>
          <w:tcPr>
            <w:tcW w:w="6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1,071,281</w:t>
            </w:r>
          </w:p>
        </w:tc>
        <w:tc>
          <w:tcPr>
            <w:tcW w:w="6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50,000</w:t>
            </w:r>
          </w:p>
        </w:tc>
        <w:tc>
          <w:tcPr>
            <w:tcW w:w="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851,261</w:t>
            </w:r>
          </w:p>
        </w:tc>
        <w:tc>
          <w:tcPr>
            <w:tcW w:w="6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6"/>
              </w:rPr>
              <w:t>170,020</w:t>
            </w:r>
          </w:p>
        </w:tc>
        <w:tc>
          <w:tcPr>
            <w:tcW w:w="0" w:type="dxa"/>
            <w:vAlign w:val="bottom"/>
          </w:tcPr>
          <w:p>
            <w:pPr>
              <w:spacing w:after="0"/>
              <w:rPr>
                <w:sz w:val="1"/>
                <w:szCs w:val="1"/>
                <w:color w:val="auto"/>
              </w:rPr>
            </w:pPr>
          </w:p>
        </w:tc>
      </w:tr>
      <w:tr>
        <w:trPr>
          <w:trHeight w:val="235"/>
        </w:trPr>
        <w:tc>
          <w:tcPr>
            <w:tcW w:w="3980" w:type="dxa"/>
            <w:vAlign w:val="bottom"/>
            <w:gridSpan w:val="2"/>
          </w:tcPr>
          <w:p>
            <w:pPr>
              <w:ind w:left="60"/>
              <w:spacing w:after="0"/>
              <w:rPr>
                <w:sz w:val="20"/>
                <w:szCs w:val="20"/>
                <w:color w:val="auto"/>
              </w:rPr>
            </w:pPr>
            <w:r>
              <w:rPr>
                <w:rFonts w:ascii="Arial" w:cs="Arial" w:eastAsia="Arial" w:hAnsi="Arial"/>
                <w:sz w:val="19"/>
                <w:szCs w:val="19"/>
                <w:color w:val="auto"/>
              </w:rPr>
              <w:t>Total</w:t>
            </w:r>
          </w:p>
        </w:tc>
        <w:tc>
          <w:tcPr>
            <w:tcW w:w="960" w:type="dxa"/>
            <w:vAlign w:val="bottom"/>
          </w:tcPr>
          <w:p>
            <w:pPr>
              <w:jc w:val="center"/>
              <w:spacing w:after="0"/>
              <w:rPr>
                <w:sz w:val="20"/>
                <w:szCs w:val="20"/>
                <w:color w:val="auto"/>
              </w:rPr>
            </w:pPr>
            <w:r>
              <w:rPr>
                <w:rFonts w:ascii="Arial" w:cs="Arial" w:eastAsia="Arial" w:hAnsi="Arial"/>
                <w:sz w:val="19"/>
                <w:szCs w:val="19"/>
                <w:color w:val="auto"/>
                <w:w w:val="90"/>
              </w:rPr>
              <w:t>$4,319,677</w:t>
            </w:r>
          </w:p>
        </w:tc>
        <w:tc>
          <w:tcPr>
            <w:tcW w:w="280" w:type="dxa"/>
            <w:vAlign w:val="bottom"/>
            <w:gridSpan w:val="2"/>
          </w:tcPr>
          <w:p>
            <w:pPr>
              <w:jc w:val="right"/>
              <w:ind w:right="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3,869</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(2,772)</w:t>
            </w:r>
          </w:p>
        </w:tc>
        <w:tc>
          <w:tcPr>
            <w:tcW w:w="1020" w:type="dxa"/>
            <w:vAlign w:val="bottom"/>
            <w:gridSpan w:val="2"/>
          </w:tcPr>
          <w:p>
            <w:pPr>
              <w:jc w:val="center"/>
              <w:spacing w:after="0"/>
              <w:rPr>
                <w:sz w:val="20"/>
                <w:szCs w:val="20"/>
                <w:color w:val="auto"/>
              </w:rPr>
            </w:pPr>
            <w:r>
              <w:rPr>
                <w:rFonts w:ascii="Arial" w:cs="Arial" w:eastAsia="Arial" w:hAnsi="Arial"/>
                <w:sz w:val="19"/>
                <w:szCs w:val="19"/>
                <w:color w:val="auto"/>
                <w:w w:val="92"/>
              </w:rPr>
              <w:t>$4,320,774</w:t>
            </w:r>
          </w:p>
        </w:tc>
        <w:tc>
          <w:tcPr>
            <w:tcW w:w="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9"/>
                <w:szCs w:val="19"/>
                <w:color w:val="auto"/>
                <w:w w:val="90"/>
              </w:rPr>
              <w:t>$1,369,947</w:t>
            </w:r>
          </w:p>
        </w:tc>
        <w:tc>
          <w:tcPr>
            <w:tcW w:w="1020" w:type="dxa"/>
            <w:vAlign w:val="bottom"/>
            <w:gridSpan w:val="3"/>
          </w:tcPr>
          <w:p>
            <w:pPr>
              <w:ind w:left="120"/>
              <w:spacing w:after="0"/>
              <w:rPr>
                <w:sz w:val="20"/>
                <w:szCs w:val="20"/>
                <w:color w:val="auto"/>
              </w:rPr>
            </w:pPr>
            <w:r>
              <w:rPr>
                <w:rFonts w:ascii="Arial" w:cs="Arial" w:eastAsia="Arial" w:hAnsi="Arial"/>
                <w:sz w:val="19"/>
                <w:szCs w:val="19"/>
                <w:color w:val="auto"/>
                <w:w w:val="92"/>
              </w:rPr>
              <w:t>$2,489,798</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461,029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-2207895</wp:posOffset>
            </wp:positionV>
            <wp:extent cx="453644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60">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-1512570</wp:posOffset>
            </wp:positionV>
            <wp:extent cx="453644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1">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-377825</wp:posOffset>
            </wp:positionV>
            <wp:extent cx="453644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62">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-204470</wp:posOffset>
            </wp:positionV>
            <wp:extent cx="453644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63">
                      <a:extLst>
                        <a:ext uri="{28A0092B-C50C-407E-A947-70E740481C1C}"/>
                      </a:extLst>
                    </a:blip>
                    <a:srcRect/>
                    <a:stretch>
                      <a:fillRect/>
                    </a:stretch>
                  </pic:blipFill>
                  <pic:spPr bwMode="auto">
                    <a:xfrm>
                      <a:off x="0" y="0"/>
                      <a:ext cx="4536440" cy="2540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-42545</wp:posOffset>
            </wp:positionV>
            <wp:extent cx="3886835"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64">
                      <a:extLst>
                        <a:ext uri="{28A0092B-C50C-407E-A947-70E740481C1C}"/>
                      </a:extLst>
                    </a:blip>
                    <a:srcRect/>
                    <a:stretch>
                      <a:fillRect/>
                    </a:stretch>
                  </pic:blipFill>
                  <pic:spPr bwMode="auto">
                    <a:xfrm>
                      <a:off x="0" y="0"/>
                      <a:ext cx="3886835" cy="49530"/>
                    </a:xfrm>
                    <a:prstGeom prst="rect">
                      <a:avLst/>
                    </a:prstGeom>
                    <a:noFill/>
                  </pic:spPr>
                </pic:pic>
              </a:graphicData>
            </a:graphic>
          </wp:anchor>
        </w:drawing>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During the years ended December 31, 2024, 2023, and 2022, there were immaterial gross realized gains or losses on the sale of available-for-sale securities. Accrued interest receivable excluded from both the fair value and amortized cost basis of the available-for -sale securities was $19.6 million and $11.1 million as of December 31, 2024 and 2023, respectively, and was recorded in other current assets on its consolidated balance sheets. As of December 31, 2024 and 2023, no allowance for credit losses was recorded related to an impairment of available-for-sale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our available-for-sale securities by contractual maturity:</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1080"/>
          </w:cols>
          <w:pgMar w:left="400" w:top="763" w:right="400" w:bottom="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209"/>
        </w:trPr>
        <w:tc>
          <w:tcPr>
            <w:tcW w:w="9080" w:type="dxa"/>
            <w:vAlign w:val="bottom"/>
          </w:tcPr>
          <w:p>
            <w:pPr>
              <w:spacing w:after="0"/>
              <w:rPr>
                <w:sz w:val="18"/>
                <w:szCs w:val="18"/>
                <w:color w:val="auto"/>
              </w:rPr>
            </w:pPr>
          </w:p>
        </w:tc>
        <w:tc>
          <w:tcPr>
            <w:tcW w:w="2000" w:type="dxa"/>
            <w:vAlign w:val="bottom"/>
            <w:tcBorders>
              <w:bottom w:val="single" w:sz="8" w:color="auto"/>
            </w:tcBorders>
            <w:gridSpan w:val="3"/>
          </w:tcPr>
          <w:p>
            <w:pPr>
              <w:ind w:left="380"/>
              <w:spacing w:after="0"/>
              <w:rPr>
                <w:sz w:val="20"/>
                <w:szCs w:val="20"/>
                <w:color w:val="auto"/>
              </w:rPr>
            </w:pPr>
            <w:r>
              <w:rPr>
                <w:rFonts w:ascii="Arial" w:cs="Arial" w:eastAsia="Arial" w:hAnsi="Arial"/>
                <w:sz w:val="15"/>
                <w:szCs w:val="15"/>
                <w:b w:val="1"/>
                <w:bCs w:val="1"/>
                <w:color w:val="auto"/>
              </w:rPr>
              <w:t>December 31, 2024</w:t>
            </w:r>
          </w:p>
        </w:tc>
      </w:tr>
      <w:tr>
        <w:trPr>
          <w:trHeight w:val="164"/>
        </w:trPr>
        <w:tc>
          <w:tcPr>
            <w:tcW w:w="9080" w:type="dxa"/>
            <w:vAlign w:val="bottom"/>
          </w:tcPr>
          <w:p>
            <w:pPr>
              <w:spacing w:after="0"/>
              <w:rPr>
                <w:sz w:val="14"/>
                <w:szCs w:val="14"/>
                <w:color w:val="auto"/>
              </w:rPr>
            </w:pPr>
          </w:p>
        </w:tc>
        <w:tc>
          <w:tcPr>
            <w:tcW w:w="9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95"/>
              </w:rPr>
              <w:t>Amortized</w:t>
            </w:r>
          </w:p>
        </w:tc>
        <w:tc>
          <w:tcPr>
            <w:tcW w:w="60" w:type="dxa"/>
            <w:vAlign w:val="bottom"/>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91"/>
              </w:rPr>
              <w:t>Estimated</w:t>
            </w:r>
          </w:p>
        </w:tc>
      </w:tr>
      <w:tr>
        <w:trPr>
          <w:trHeight w:val="205"/>
        </w:trPr>
        <w:tc>
          <w:tcPr>
            <w:tcW w:w="908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cost</w:t>
            </w:r>
          </w:p>
        </w:tc>
        <w:tc>
          <w:tcPr>
            <w:tcW w:w="60" w:type="dxa"/>
            <w:vAlign w:val="bottom"/>
            <w:tcBorders>
              <w:bottom w:val="single" w:sz="8" w:color="E6E6E6"/>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Fair Value</w:t>
            </w:r>
          </w:p>
        </w:tc>
      </w:tr>
      <w:tr>
        <w:trPr>
          <w:trHeight w:val="264"/>
        </w:trPr>
        <w:tc>
          <w:tcPr>
            <w:tcW w:w="9080" w:type="dxa"/>
            <w:vAlign w:val="bottom"/>
            <w:shd w:val="clear" w:color="auto" w:fill="E6E6E6"/>
          </w:tcPr>
          <w:p>
            <w:pPr>
              <w:ind w:left="60"/>
              <w:spacing w:after="0"/>
              <w:rPr>
                <w:sz w:val="20"/>
                <w:szCs w:val="20"/>
                <w:color w:val="auto"/>
              </w:rPr>
            </w:pPr>
            <w:r>
              <w:rPr>
                <w:rFonts w:ascii="Arial" w:cs="Arial" w:eastAsia="Arial" w:hAnsi="Arial"/>
                <w:sz w:val="19"/>
                <w:szCs w:val="19"/>
                <w:color w:val="auto"/>
              </w:rPr>
              <w:t>Within one year</w:t>
            </w:r>
          </w:p>
        </w:tc>
        <w:tc>
          <w:tcPr>
            <w:tcW w:w="96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90"/>
              </w:rPr>
              <w:t>$2,422,138</w:t>
            </w:r>
          </w:p>
        </w:tc>
        <w:tc>
          <w:tcPr>
            <w:tcW w:w="104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90"/>
              </w:rPr>
              <w:t>$2,424,103</w:t>
            </w:r>
          </w:p>
        </w:tc>
      </w:tr>
      <w:tr>
        <w:trPr>
          <w:trHeight w:val="263"/>
        </w:trPr>
        <w:tc>
          <w:tcPr>
            <w:tcW w:w="90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After one year through three years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1,011,184</w:t>
            </w:r>
          </w:p>
        </w:tc>
        <w:tc>
          <w:tcPr>
            <w:tcW w:w="60" w:type="dxa"/>
            <w:vAlign w:val="bottom"/>
            <w:tcBorders>
              <w:bottom w:val="single" w:sz="8" w:color="E6E6E6"/>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1,012,223</w:t>
            </w:r>
          </w:p>
        </w:tc>
      </w:tr>
      <w:tr>
        <w:trPr>
          <w:trHeight w:val="273"/>
        </w:trPr>
        <w:tc>
          <w:tcPr>
            <w:tcW w:w="90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Total</w:t>
            </w:r>
          </w:p>
        </w:tc>
        <w:tc>
          <w:tcPr>
            <w:tcW w:w="96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0"/>
              </w:rPr>
              <w:t>$3,433,322</w:t>
            </w:r>
          </w:p>
        </w:tc>
        <w:tc>
          <w:tcPr>
            <w:tcW w:w="60" w:type="dxa"/>
            <w:vAlign w:val="bottom"/>
            <w:tcBorders>
              <w:bottom w:val="single" w:sz="8" w:color="E6E6E6"/>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0"/>
              </w:rPr>
              <w:t>$3,436,326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-551815</wp:posOffset>
            </wp:positionV>
            <wp:extent cx="128778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5">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-204470</wp:posOffset>
            </wp:positionV>
            <wp:extent cx="128778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66">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-42545</wp:posOffset>
            </wp:positionV>
            <wp:extent cx="1287780"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67">
                      <a:extLst>
                        <a:ext uri="{28A0092B-C50C-407E-A947-70E740481C1C}"/>
                      </a:extLst>
                    </a:blip>
                    <a:srcRect/>
                    <a:stretch>
                      <a:fillRect/>
                    </a:stretch>
                  </pic:blipFill>
                  <pic:spPr bwMode="auto">
                    <a:xfrm>
                      <a:off x="0" y="0"/>
                      <a:ext cx="1287780" cy="49530"/>
                    </a:xfrm>
                    <a:prstGeom prst="rect">
                      <a:avLst/>
                    </a:prstGeom>
                    <a:noFill/>
                  </pic:spPr>
                </pic:pic>
              </a:graphicData>
            </a:graphic>
          </wp:anchor>
        </w:drawing>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November 6, 2023, the Company received 28,352,273 ordinary shares of Aston Martin with an initial fair value of $73.2 million. The Company remeasured the shares and recorded fair values of $37.8 million and $81.5 million within investments in equity securities of a related party in the consolidated balance sheets as of December 31, 2024 and 2023, respectively. These equity securities are publicly traded stocks (where shares are denominated in GBP) measured at fair value on a recurring basis and classified within level 1 in the fair value hierarchy. During the years ended December 31, 2024 and 2023, the Company recognized an unrealized loss of $43.1 million and an unrealized gain of $6.0 million, respectively, in change of fair value of equity securities of a related party in the consolidated statement of operations and comprehensive loss. During the years ended December 31, 2024 and 2023, the Company also recognized $0.6 million of unrealized foreign currency loss and $2.3 million of unrealized foreign currency gain related to these equity securities, respectively, in other income (expense), net in the consolidated statement of operations and comprehensive loss. See Note 16 “Related Party Transactions” for more information.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following table presents a reconciliation of the common stock warrant liability measured and recorded at fair value on a recurring basis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80" w:type="dxa"/>
            <w:vAlign w:val="bottom"/>
          </w:tcPr>
          <w:p>
            <w:pPr>
              <w:spacing w:after="0"/>
              <w:rPr>
                <w:sz w:val="18"/>
                <w:szCs w:val="18"/>
                <w:color w:val="auto"/>
              </w:rPr>
            </w:pPr>
          </w:p>
        </w:tc>
        <w:tc>
          <w:tcPr>
            <w:tcW w:w="200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5"/>
                <w:szCs w:val="15"/>
                <w:b w:val="1"/>
                <w:bCs w:val="1"/>
                <w:color w:val="auto"/>
                <w:w w:val="99"/>
              </w:rPr>
              <w:t>Year Ended December 31,</w:t>
            </w:r>
          </w:p>
        </w:tc>
      </w:tr>
      <w:tr>
        <w:trPr>
          <w:trHeight w:val="211"/>
        </w:trPr>
        <w:tc>
          <w:tcPr>
            <w:tcW w:w="90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b w:val="1"/>
                <w:bCs w:val="1"/>
                <w:color w:val="auto"/>
              </w:rPr>
              <w:t>2023</w:t>
            </w:r>
          </w:p>
        </w:tc>
      </w:tr>
      <w:tr>
        <w:trPr>
          <w:trHeight w:val="264"/>
        </w:trPr>
        <w:tc>
          <w:tcPr>
            <w:tcW w:w="90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Fair value-beginning of period</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53,664</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6"/>
              </w:rPr>
              <w:t>140,590</w:t>
            </w:r>
          </w:p>
        </w:tc>
      </w:tr>
      <w:tr>
        <w:trPr>
          <w:trHeight w:val="263"/>
        </w:trPr>
        <w:tc>
          <w:tcPr>
            <w:tcW w:w="9080" w:type="dxa"/>
            <w:vAlign w:val="bottom"/>
            <w:tcBorders>
              <w:bottom w:val="single" w:sz="8" w:color="E6E6E6"/>
            </w:tcBorders>
          </w:tcPr>
          <w:p>
            <w:pPr>
              <w:ind w:left="240"/>
              <w:spacing w:after="0"/>
              <w:rPr>
                <w:sz w:val="20"/>
                <w:szCs w:val="20"/>
                <w:color w:val="auto"/>
              </w:rPr>
            </w:pPr>
            <w:r>
              <w:rPr>
                <w:rFonts w:ascii="Arial" w:cs="Arial" w:eastAsia="Arial" w:hAnsi="Arial"/>
                <w:sz w:val="19"/>
                <w:szCs w:val="19"/>
                <w:color w:val="auto"/>
              </w:rPr>
              <w:t>Change in fair value</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(34,150)</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(86,926)</w:t>
            </w:r>
          </w:p>
        </w:tc>
      </w:tr>
      <w:tr>
        <w:trPr>
          <w:trHeight w:val="273"/>
        </w:trPr>
        <w:tc>
          <w:tcPr>
            <w:tcW w:w="9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Fair value-end of period</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19,514</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53,664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-551815</wp:posOffset>
            </wp:positionV>
            <wp:extent cx="128778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8">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-204470</wp:posOffset>
            </wp:positionV>
            <wp:extent cx="128778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9">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-42545</wp:posOffset>
            </wp:positionV>
            <wp:extent cx="1287780"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70">
                      <a:extLst>
                        <a:ext uri="{28A0092B-C50C-407E-A947-70E740481C1C}"/>
                      </a:extLst>
                    </a:blip>
                    <a:srcRect/>
                    <a:stretch>
                      <a:fillRect/>
                    </a:stretch>
                  </pic:blipFill>
                  <pic:spPr bwMode="auto">
                    <a:xfrm>
                      <a:off x="0" y="0"/>
                      <a:ext cx="1287780" cy="49530"/>
                    </a:xfrm>
                    <a:prstGeom prst="rect">
                      <a:avLst/>
                    </a:prstGeom>
                    <a:noFill/>
                  </pic:spPr>
                </pic:pic>
              </a:graphicData>
            </a:graphic>
          </wp:anchor>
        </w:drawing>
      </w:r>
    </w:p>
    <w:p>
      <w:pPr>
        <w:spacing w:after="0" w:line="21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following table presents a reconciliation of the derivative liabilities associated with the Redeemable Convertible Preferred Stock measured and recorded at fair value on a recurring basis (in thousands):</w:t>
      </w:r>
    </w:p>
    <w:p>
      <w:pPr>
        <w:spacing w:after="0" w:line="223" w:lineRule="exact"/>
        <w:rPr>
          <w:sz w:val="20"/>
          <w:szCs w:val="20"/>
          <w:color w:val="auto"/>
        </w:rPr>
      </w:pPr>
    </w:p>
    <w:p>
      <w:pPr>
        <w:jc w:val="center"/>
        <w:ind w:left="9080"/>
        <w:spacing w:after="0"/>
        <w:rPr>
          <w:sz w:val="20"/>
          <w:szCs w:val="20"/>
          <w:color w:val="auto"/>
        </w:rPr>
      </w:pPr>
      <w:r>
        <w:rPr>
          <w:rFonts w:ascii="Arial" w:cs="Arial" w:eastAsia="Arial" w:hAnsi="Arial"/>
          <w:sz w:val="15"/>
          <w:szCs w:val="15"/>
          <w:b w:val="1"/>
          <w:bCs w:val="1"/>
          <w:color w:val="auto"/>
        </w:rPr>
        <w:t>Year Ended December 31,</w:t>
      </w:r>
    </w:p>
    <w:p>
      <w:pPr>
        <w:jc w:val="center"/>
        <w:ind w:left="9080"/>
        <w:spacing w:after="0"/>
        <w:rPr>
          <w:sz w:val="20"/>
          <w:szCs w:val="20"/>
          <w:color w:val="auto"/>
        </w:rPr>
      </w:pPr>
      <w:r>
        <w:rPr>
          <w:rFonts w:ascii="Arial" w:cs="Arial" w:eastAsia="Arial" w:hAnsi="Arial"/>
          <w:sz w:val="15"/>
          <w:szCs w:val="15"/>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74"/>
              <w:spacing w:after="0" w:line="160" w:lineRule="exact"/>
              <w:rPr>
                <w:sz w:val="20"/>
                <w:szCs w:val="20"/>
                <w:color w:val="auto"/>
              </w:rPr>
            </w:pPr>
            <w:r>
              <w:rPr>
                <w:rFonts w:ascii="Arial" w:cs="Arial" w:eastAsia="Arial" w:hAnsi="Arial"/>
                <w:sz w:val="15"/>
                <w:szCs w:val="15"/>
                <w:b w:val="1"/>
                <w:bCs w:val="1"/>
                <w:color w:val="auto"/>
                <w:w w:val="89"/>
              </w:rPr>
              <w:t>Series A</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94"/>
              <w:spacing w:after="0" w:line="160" w:lineRule="exact"/>
              <w:rPr>
                <w:sz w:val="20"/>
                <w:szCs w:val="20"/>
                <w:color w:val="auto"/>
              </w:rPr>
            </w:pPr>
            <w:r>
              <w:rPr>
                <w:rFonts w:ascii="Arial" w:cs="Arial" w:eastAsia="Arial" w:hAnsi="Arial"/>
                <w:sz w:val="15"/>
                <w:szCs w:val="15"/>
                <w:b w:val="1"/>
                <w:bCs w:val="1"/>
                <w:color w:val="auto"/>
                <w:w w:val="89"/>
              </w:rPr>
              <w:t>Series B</w:t>
            </w:r>
          </w:p>
        </w:tc>
        <w:tc>
          <w:tcPr>
            <w:tcW w:w="20" w:type="dxa"/>
            <w:vAlign w:val="bottom"/>
          </w:tcPr>
          <w:p>
            <w:pPr>
              <w:spacing w:after="0"/>
              <w:rPr>
                <w:sz w:val="13"/>
                <w:szCs w:val="13"/>
                <w:color w:val="auto"/>
              </w:rPr>
            </w:pPr>
          </w:p>
        </w:tc>
      </w:tr>
      <w:tr>
        <w:trPr>
          <w:trHeight w:val="154"/>
        </w:trPr>
        <w:tc>
          <w:tcPr>
            <w:tcW w:w="9080" w:type="dxa"/>
            <w:vAlign w:val="bottom"/>
          </w:tcPr>
          <w:p>
            <w:pPr>
              <w:spacing w:after="0"/>
              <w:rPr>
                <w:sz w:val="13"/>
                <w:szCs w:val="13"/>
                <w:color w:val="auto"/>
              </w:rPr>
            </w:pPr>
          </w:p>
        </w:tc>
        <w:tc>
          <w:tcPr>
            <w:tcW w:w="96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4"/>
              </w:rPr>
              <w:t>Derivative</w:t>
            </w:r>
          </w:p>
        </w:tc>
        <w:tc>
          <w:tcPr>
            <w:tcW w:w="60" w:type="dxa"/>
            <w:vAlign w:val="bottom"/>
          </w:tcPr>
          <w:p>
            <w:pPr>
              <w:spacing w:after="0"/>
              <w:rPr>
                <w:sz w:val="13"/>
                <w:szCs w:val="13"/>
                <w:color w:val="auto"/>
              </w:rPr>
            </w:pPr>
          </w:p>
        </w:tc>
        <w:tc>
          <w:tcPr>
            <w:tcW w:w="1000" w:type="dxa"/>
            <w:vAlign w:val="bottom"/>
            <w:gridSpan w:val="3"/>
          </w:tcPr>
          <w:p>
            <w:pPr>
              <w:jc w:val="center"/>
              <w:ind w:right="20"/>
              <w:spacing w:after="0" w:line="154" w:lineRule="exact"/>
              <w:rPr>
                <w:sz w:val="20"/>
                <w:szCs w:val="20"/>
                <w:color w:val="auto"/>
              </w:rPr>
            </w:pPr>
            <w:r>
              <w:rPr>
                <w:rFonts w:ascii="Arial" w:cs="Arial" w:eastAsia="Arial" w:hAnsi="Arial"/>
                <w:sz w:val="15"/>
                <w:szCs w:val="15"/>
                <w:b w:val="1"/>
                <w:bCs w:val="1"/>
                <w:color w:val="auto"/>
                <w:w w:val="97"/>
              </w:rPr>
              <w:t>Derivative</w:t>
            </w:r>
          </w:p>
        </w:tc>
      </w:tr>
      <w:tr>
        <w:trPr>
          <w:trHeight w:val="205"/>
        </w:trPr>
        <w:tc>
          <w:tcPr>
            <w:tcW w:w="908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8"/>
              </w:rPr>
              <w:t>Liability</w:t>
            </w: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rPr>
              <w:t>Liability</w:t>
            </w:r>
          </w:p>
        </w:tc>
        <w:tc>
          <w:tcPr>
            <w:tcW w:w="20" w:type="dxa"/>
            <w:vAlign w:val="bottom"/>
            <w:tcBorders>
              <w:bottom w:val="single" w:sz="8" w:color="E6E6E6"/>
            </w:tcBorders>
          </w:tcPr>
          <w:p>
            <w:pPr>
              <w:spacing w:after="0"/>
              <w:rPr>
                <w:sz w:val="17"/>
                <w:szCs w:val="17"/>
                <w:color w:val="auto"/>
              </w:rPr>
            </w:pPr>
          </w:p>
        </w:tc>
      </w:tr>
      <w:tr>
        <w:trPr>
          <w:trHeight w:val="264"/>
        </w:trPr>
        <w:tc>
          <w:tcPr>
            <w:tcW w:w="90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Fair value-beginning of period</w:t>
            </w:r>
          </w:p>
        </w:tc>
        <w:tc>
          <w:tcPr>
            <w:tcW w:w="180" w:type="dxa"/>
            <w:vAlign w:val="bottom"/>
            <w:shd w:val="clear" w:color="auto" w:fill="E6E6E6"/>
          </w:tcPr>
          <w:p>
            <w:pPr>
              <w:ind w:left="60"/>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E6E6E6"/>
          </w:tcPr>
          <w:p>
            <w:pPr>
              <w:ind w:lef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r>
      <w:tr>
        <w:trPr>
          <w:trHeight w:val="268"/>
        </w:trPr>
        <w:tc>
          <w:tcPr>
            <w:tcW w:w="9080" w:type="dxa"/>
            <w:vAlign w:val="bottom"/>
          </w:tcPr>
          <w:p>
            <w:pPr>
              <w:ind w:left="240"/>
              <w:spacing w:after="0"/>
              <w:rPr>
                <w:sz w:val="20"/>
                <w:szCs w:val="20"/>
                <w:color w:val="auto"/>
              </w:rPr>
            </w:pPr>
            <w:r>
              <w:rPr>
                <w:rFonts w:ascii="Arial" w:cs="Arial" w:eastAsia="Arial" w:hAnsi="Arial"/>
                <w:sz w:val="19"/>
                <w:szCs w:val="19"/>
                <w:color w:val="auto"/>
              </w:rPr>
              <w:t>Issuance</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497,100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297,675</w:t>
            </w:r>
          </w:p>
        </w:tc>
        <w:tc>
          <w:tcPr>
            <w:tcW w:w="20" w:type="dxa"/>
            <w:vAlign w:val="bottom"/>
          </w:tcPr>
          <w:p>
            <w:pPr>
              <w:spacing w:after="0"/>
              <w:rPr>
                <w:sz w:val="23"/>
                <w:szCs w:val="23"/>
                <w:color w:val="auto"/>
              </w:rPr>
            </w:pPr>
          </w:p>
        </w:tc>
      </w:tr>
      <w:tr>
        <w:trPr>
          <w:trHeight w:val="289"/>
        </w:trPr>
        <w:tc>
          <w:tcPr>
            <w:tcW w:w="908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9"/>
                <w:szCs w:val="19"/>
                <w:color w:val="auto"/>
              </w:rPr>
              <w:t>Change in fair value</w:t>
            </w:r>
          </w:p>
        </w:tc>
        <w:tc>
          <w:tcPr>
            <w:tcW w:w="18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(88,300)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(67,050)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3"/>
        </w:trPr>
        <w:tc>
          <w:tcPr>
            <w:tcW w:w="908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Fair value-end of period</w:t>
            </w:r>
          </w:p>
        </w:tc>
        <w:tc>
          <w:tcPr>
            <w:tcW w:w="1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9"/>
                <w:szCs w:val="19"/>
                <w:color w:val="auto"/>
                <w:w w:val="94"/>
              </w:rPr>
              <w:t>$</w:t>
            </w:r>
          </w:p>
        </w:tc>
        <w:tc>
          <w:tcPr>
            <w:tcW w:w="7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408,800</w:t>
            </w:r>
          </w:p>
        </w:tc>
        <w:tc>
          <w:tcPr>
            <w:tcW w:w="60" w:type="dxa"/>
            <w:vAlign w:val="bottom"/>
          </w:tcPr>
          <w:p>
            <w:pPr>
              <w:spacing w:after="0"/>
              <w:rPr>
                <w:sz w:val="22"/>
                <w:szCs w:val="22"/>
                <w:color w:val="auto"/>
              </w:rPr>
            </w:pPr>
          </w:p>
        </w:tc>
        <w:tc>
          <w:tcPr>
            <w:tcW w:w="1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9"/>
                <w:szCs w:val="19"/>
                <w:color w:val="auto"/>
                <w:w w:val="94"/>
              </w:rPr>
              <w:t>$</w:t>
            </w:r>
          </w:p>
        </w:tc>
        <w:tc>
          <w:tcPr>
            <w:tcW w:w="8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230,625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-725805</wp:posOffset>
            </wp:positionV>
            <wp:extent cx="128778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71">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-204470</wp:posOffset>
            </wp:positionV>
            <wp:extent cx="128778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72">
                      <a:extLst>
                        <a:ext uri="{28A0092B-C50C-407E-A947-70E740481C1C}"/>
                      </a:extLst>
                    </a:blip>
                    <a:srcRect/>
                    <a:stretch>
                      <a:fillRect/>
                    </a:stretch>
                  </pic:blipFill>
                  <pic:spPr bwMode="auto">
                    <a:xfrm>
                      <a:off x="0" y="0"/>
                      <a:ext cx="1287780" cy="2540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-42545</wp:posOffset>
            </wp:positionV>
            <wp:extent cx="1287780"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73">
                      <a:extLst>
                        <a:ext uri="{28A0092B-C50C-407E-A947-70E740481C1C}"/>
                      </a:extLst>
                    </a:blip>
                    <a:srcRect/>
                    <a:stretch>
                      <a:fillRect/>
                    </a:stretch>
                  </pic:blipFill>
                  <pic:spPr bwMode="auto">
                    <a:xfrm>
                      <a:off x="0" y="0"/>
                      <a:ext cx="1287780" cy="4953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DEBT</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2026 Notes</w:t>
      </w:r>
    </w:p>
    <w:p>
      <w:pPr>
        <w:spacing w:after="0" w:line="25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ectPr>
          <w:pgSz w:w="11880" w:h="15480" w:orient="portrait"/>
          <w:cols w:equalWidth="0" w:num="1">
            <w:col w:w="11080"/>
          </w:cols>
          <w:pgMar w:left="400" w:top="834" w:right="40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1080"/>
          </w:cols>
          <w:pgMar w:left="400" w:top="834" w:right="400" w:bottom="0" w:gutter="0" w:footer="0" w:header="0"/>
          <w:type w:val="continuous"/>
        </w:sectPr>
      </w:pPr>
    </w:p>
    <w:bookmarkStart w:id="239" w:name="page240"/>
    <w:bookmarkEnd w:id="239"/>
    <w:p>
      <w:pPr>
        <w:ind w:right="80"/>
        <w:spacing w:after="0" w:line="272" w:lineRule="auto"/>
        <w:rPr>
          <w:sz w:val="20"/>
          <w:szCs w:val="20"/>
          <w:color w:val="auto"/>
        </w:rPr>
      </w:pPr>
      <w:r>
        <w:rPr>
          <w:rFonts w:ascii="Arial" w:cs="Arial" w:eastAsia="Arial" w:hAnsi="Arial"/>
          <w:sz w:val="18"/>
          <w:szCs w:val="18"/>
          <w:color w:val="auto"/>
        </w:rPr>
        <w:t>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260"/>
        <w:spacing w:after="0" w:line="289" w:lineRule="auto"/>
        <w:rPr>
          <w:sz w:val="20"/>
          <w:szCs w:val="20"/>
          <w:color w:val="auto"/>
        </w:rPr>
      </w:pPr>
      <w:r>
        <w:rPr>
          <w:rFonts w:ascii="Arial" w:cs="Arial" w:eastAsia="Arial" w:hAnsi="Arial"/>
          <w:sz w:val="19"/>
          <w:szCs w:val="19"/>
          <w:color w:val="auto"/>
        </w:rPr>
        <w:t>Holders of the 2026 Notes may convert all or a portion of their 2026 Notes at their option prior to September 15, 2026, in multiples of $1,000 principal amounts, only under the following circumstances:</w:t>
      </w:r>
    </w:p>
    <w:p>
      <w:pPr>
        <w:spacing w:after="0" w:line="108" w:lineRule="exact"/>
        <w:rPr>
          <w:sz w:val="20"/>
          <w:szCs w:val="20"/>
          <w:color w:val="auto"/>
        </w:rPr>
      </w:pPr>
    </w:p>
    <w:p>
      <w:pPr>
        <w:ind w:left="700" w:right="280" w:hanging="347"/>
        <w:spacing w:after="0" w:line="271" w:lineRule="auto"/>
        <w:tabs>
          <w:tab w:leader="none" w:pos="7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w:t>
      </w:r>
    </w:p>
    <w:p>
      <w:pPr>
        <w:spacing w:after="0" w:line="124" w:lineRule="exact"/>
        <w:rPr>
          <w:rFonts w:ascii="Arial" w:cs="Arial" w:eastAsia="Arial" w:hAnsi="Arial"/>
          <w:sz w:val="19"/>
          <w:szCs w:val="19"/>
          <w:color w:val="auto"/>
        </w:rPr>
      </w:pPr>
    </w:p>
    <w:p>
      <w:pPr>
        <w:ind w:left="700" w:hanging="347"/>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w:t>
      </w:r>
    </w:p>
    <w:p>
      <w:pPr>
        <w:spacing w:after="0" w:line="23" w:lineRule="exact"/>
        <w:rPr>
          <w:rFonts w:ascii="Arial" w:cs="Arial" w:eastAsia="Arial" w:hAnsi="Arial"/>
          <w:sz w:val="18"/>
          <w:szCs w:val="18"/>
          <w:color w:val="auto"/>
        </w:rPr>
      </w:pPr>
    </w:p>
    <w:p>
      <w:pPr>
        <w:ind w:left="700" w:right="140"/>
        <w:spacing w:after="0" w:line="289" w:lineRule="auto"/>
        <w:rPr>
          <w:rFonts w:ascii="Arial" w:cs="Arial" w:eastAsia="Arial" w:hAnsi="Arial"/>
          <w:sz w:val="18"/>
          <w:szCs w:val="18"/>
          <w:color w:val="auto"/>
        </w:rPr>
      </w:pPr>
      <w:r>
        <w:rPr>
          <w:rFonts w:ascii="Arial" w:cs="Arial" w:eastAsia="Arial" w:hAnsi="Arial"/>
          <w:sz w:val="19"/>
          <w:szCs w:val="19"/>
          <w:color w:val="auto"/>
        </w:rPr>
        <w:t>$1,000 principal amount of notes for each trading day of the measurement period was less than 98% of the product of the last reported sale price per share of our common stock on such trading day and the conversion rate on such trading day;</w:t>
      </w:r>
    </w:p>
    <w:p>
      <w:pPr>
        <w:spacing w:after="0" w:line="107" w:lineRule="exact"/>
        <w:rPr>
          <w:rFonts w:ascii="Arial" w:cs="Arial" w:eastAsia="Arial" w:hAnsi="Arial"/>
          <w:sz w:val="18"/>
          <w:szCs w:val="18"/>
          <w:color w:val="auto"/>
        </w:rPr>
      </w:pPr>
    </w:p>
    <w:p>
      <w:pPr>
        <w:ind w:left="700" w:hanging="347"/>
        <w:spacing w:after="0"/>
        <w:tabs>
          <w:tab w:leader="none" w:pos="7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upon the occurrence of specified corporate events; or</w:t>
      </w:r>
    </w:p>
    <w:p>
      <w:pPr>
        <w:spacing w:after="0" w:line="184" w:lineRule="exact"/>
        <w:rPr>
          <w:rFonts w:ascii="Arial" w:cs="Arial" w:eastAsia="Arial" w:hAnsi="Arial"/>
          <w:sz w:val="19"/>
          <w:szCs w:val="19"/>
          <w:color w:val="auto"/>
        </w:rPr>
      </w:pPr>
    </w:p>
    <w:p>
      <w:pPr>
        <w:ind w:left="700" w:right="500" w:hanging="347"/>
        <w:spacing w:after="0" w:line="289" w:lineRule="auto"/>
        <w:tabs>
          <w:tab w:leader="none" w:pos="7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65"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88" w:lineRule="exact"/>
        <w:rPr>
          <w:sz w:val="20"/>
          <w:szCs w:val="20"/>
          <w:color w:val="auto"/>
        </w:rPr>
      </w:pPr>
    </w:p>
    <w:p>
      <w:pPr>
        <w:jc w:val="both"/>
        <w:ind w:right="240"/>
        <w:spacing w:after="0" w:line="271" w:lineRule="auto"/>
        <w:rPr>
          <w:sz w:val="20"/>
          <w:szCs w:val="20"/>
          <w:color w:val="auto"/>
        </w:rPr>
      </w:pPr>
      <w:r>
        <w:rPr>
          <w:rFonts w:ascii="Arial" w:cs="Arial" w:eastAsia="Arial" w:hAnsi="Arial"/>
          <w:sz w:val="19"/>
          <w:szCs w:val="19"/>
          <w:color w:val="auto"/>
        </w:rPr>
        <w:t>The Company accounted for the issuance of the 2026 Notes as a single liability measured at its amortized cost, as no other embedded features require bifurcation and recognition as derivatives. The following table is a summary of the 2026 Notes as of December 31, 2024 and 2023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December 31, 2024</w:t>
            </w:r>
          </w:p>
        </w:tc>
        <w:tc>
          <w:tcPr>
            <w:tcW w:w="6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December 31, 2023</w:t>
            </w:r>
          </w:p>
        </w:tc>
      </w:tr>
      <w:tr>
        <w:trPr>
          <w:trHeight w:val="293"/>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Principal Amount</w:t>
            </w:r>
          </w:p>
        </w:tc>
        <w:tc>
          <w:tcPr>
            <w:tcW w:w="460" w:type="dxa"/>
            <w:vAlign w:val="bottom"/>
            <w:shd w:val="clear" w:color="auto" w:fill="E6E6E6"/>
          </w:tcPr>
          <w:p>
            <w:pPr>
              <w:jc w:val="right"/>
              <w:ind w:right="229"/>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2,012.5</w:t>
            </w:r>
          </w:p>
        </w:tc>
        <w:tc>
          <w:tcPr>
            <w:tcW w:w="520" w:type="dxa"/>
            <w:vAlign w:val="bottom"/>
            <w:gridSpan w:val="2"/>
            <w:shd w:val="clear" w:color="auto" w:fill="E6E6E6"/>
          </w:tcPr>
          <w:p>
            <w:pPr>
              <w:jc w:val="right"/>
              <w:ind w:right="243"/>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2,012.5</w:t>
            </w:r>
          </w:p>
        </w:tc>
      </w:tr>
      <w:tr>
        <w:trPr>
          <w:trHeight w:val="292"/>
        </w:trPr>
        <w:tc>
          <w:tcPr>
            <w:tcW w:w="814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Unamortized Debt Discounts and Issuance Costs</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w:t>
            </w: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w:t>
            </w:r>
          </w:p>
        </w:tc>
      </w:tr>
      <w:tr>
        <w:trPr>
          <w:trHeight w:val="302"/>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Net Carrying Amount</w:t>
            </w:r>
          </w:p>
        </w:tc>
        <w:tc>
          <w:tcPr>
            <w:tcW w:w="460" w:type="dxa"/>
            <w:vAlign w:val="bottom"/>
            <w:shd w:val="clear" w:color="auto" w:fill="E6E6E6"/>
          </w:tcPr>
          <w:p>
            <w:pPr>
              <w:jc w:val="right"/>
              <w:ind w:right="229"/>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2,002.2</w:t>
            </w:r>
          </w:p>
        </w:tc>
        <w:tc>
          <w:tcPr>
            <w:tcW w:w="520" w:type="dxa"/>
            <w:vAlign w:val="bottom"/>
            <w:gridSpan w:val="2"/>
            <w:shd w:val="clear" w:color="auto" w:fill="E6E6E6"/>
          </w:tcPr>
          <w:p>
            <w:pPr>
              <w:jc w:val="right"/>
              <w:ind w:right="243"/>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1,997.0</w:t>
            </w:r>
          </w:p>
        </w:tc>
      </w:tr>
      <w:tr>
        <w:trPr>
          <w:trHeight w:val="274"/>
        </w:trPr>
        <w:tc>
          <w:tcPr>
            <w:tcW w:w="8140" w:type="dxa"/>
            <w:vAlign w:val="bottom"/>
            <w:tcBorders>
              <w:top w:val="single" w:sz="8" w:color="E6E6E6"/>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303"/>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Fair Value (Level 2)</w:t>
            </w:r>
          </w:p>
        </w:tc>
        <w:tc>
          <w:tcPr>
            <w:tcW w:w="460" w:type="dxa"/>
            <w:vAlign w:val="bottom"/>
            <w:shd w:val="clear" w:color="auto" w:fill="E6E6E6"/>
          </w:tcPr>
          <w:p>
            <w:pPr>
              <w:jc w:val="right"/>
              <w:ind w:right="229"/>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1,579.8</w:t>
            </w:r>
          </w:p>
        </w:tc>
        <w:tc>
          <w:tcPr>
            <w:tcW w:w="520" w:type="dxa"/>
            <w:vAlign w:val="bottom"/>
            <w:gridSpan w:val="2"/>
            <w:shd w:val="clear" w:color="auto" w:fill="E6E6E6"/>
          </w:tcPr>
          <w:p>
            <w:pPr>
              <w:jc w:val="right"/>
              <w:ind w:right="243"/>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-972820</wp:posOffset>
            </wp:positionV>
            <wp:extent cx="18916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74">
                      <a:extLst>
                        <a:ext uri="{28A0092B-C50C-407E-A947-70E740481C1C}"/>
                      </a:extLst>
                    </a:blip>
                    <a:srcRect/>
                    <a:stretch>
                      <a:fillRect/>
                    </a:stretch>
                  </pic:blipFill>
                  <pic:spPr bwMode="auto">
                    <a:xfrm>
                      <a:off x="0" y="0"/>
                      <a:ext cx="1891665" cy="25400"/>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-588645</wp:posOffset>
            </wp:positionV>
            <wp:extent cx="18916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75">
                      <a:extLst>
                        <a:ext uri="{28A0092B-C50C-407E-A947-70E740481C1C}"/>
                      </a:extLst>
                    </a:blip>
                    <a:srcRect/>
                    <a:stretch>
                      <a:fillRect/>
                    </a:stretch>
                  </pic:blipFill>
                  <pic:spPr bwMode="auto">
                    <a:xfrm>
                      <a:off x="0" y="0"/>
                      <a:ext cx="1891665" cy="25400"/>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-408305</wp:posOffset>
            </wp:positionV>
            <wp:extent cx="189166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76">
                      <a:extLst>
                        <a:ext uri="{28A0092B-C50C-407E-A947-70E740481C1C}"/>
                      </a:extLst>
                    </a:blip>
                    <a:srcRect/>
                    <a:stretch>
                      <a:fillRect/>
                    </a:stretch>
                  </pic:blipFill>
                  <pic:spPr bwMode="auto">
                    <a:xfrm>
                      <a:off x="0" y="0"/>
                      <a:ext cx="1891665" cy="49530"/>
                    </a:xfrm>
                    <a:prstGeom prst="rect">
                      <a:avLst/>
                    </a:prstGeom>
                    <a:noFill/>
                  </pic:spPr>
                </pic:pic>
              </a:graphicData>
            </a:graphic>
          </wp:anchor>
        </w:drawing>
      </w:r>
    </w:p>
    <w:p>
      <w:pPr>
        <w:spacing w:after="0" w:line="246" w:lineRule="exact"/>
        <w:rPr>
          <w:sz w:val="20"/>
          <w:szCs w:val="20"/>
          <w:color w:val="auto"/>
        </w:rPr>
      </w:pPr>
    </w:p>
    <w:p>
      <w:pPr>
        <w:jc w:val="both"/>
        <w:ind w:right="80"/>
        <w:spacing w:after="0" w:line="289" w:lineRule="auto"/>
        <w:rPr>
          <w:sz w:val="20"/>
          <w:szCs w:val="20"/>
          <w:color w:val="auto"/>
        </w:rPr>
      </w:pPr>
      <w:r>
        <w:rPr>
          <w:rFonts w:ascii="Arial" w:cs="Arial" w:eastAsia="Arial" w:hAnsi="Arial"/>
          <w:sz w:val="19"/>
          <w:szCs w:val="19"/>
          <w:color w:val="auto"/>
        </w:rPr>
        <w:t>The effective interest rate for the 2026 Notes is 1.5%. The components of interest expense related to the 2026 Notes were as follows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64"/>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E6E6E6"/>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5"/>
                <w:szCs w:val="15"/>
                <w:b w:val="1"/>
                <w:bCs w:val="1"/>
                <w:color w:val="auto"/>
              </w:rPr>
              <w:t>2023</w:t>
            </w:r>
          </w:p>
        </w:tc>
        <w:tc>
          <w:tcPr>
            <w:tcW w:w="4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5"/>
                <w:szCs w:val="15"/>
                <w:b w:val="1"/>
                <w:bCs w:val="1"/>
                <w:color w:val="auto"/>
              </w:rPr>
              <w:t>2022</w:t>
            </w:r>
          </w:p>
        </w:tc>
      </w:tr>
      <w:tr>
        <w:trPr>
          <w:trHeight w:val="293"/>
        </w:trPr>
        <w:tc>
          <w:tcPr>
            <w:tcW w:w="6700" w:type="dxa"/>
            <w:vAlign w:val="bottom"/>
            <w:shd w:val="clear" w:color="auto" w:fill="E6E6E6"/>
          </w:tcPr>
          <w:p>
            <w:pPr>
              <w:ind w:left="60"/>
              <w:spacing w:after="0"/>
              <w:rPr>
                <w:sz w:val="20"/>
                <w:szCs w:val="20"/>
                <w:color w:val="auto"/>
              </w:rPr>
            </w:pPr>
            <w:r>
              <w:rPr>
                <w:rFonts w:ascii="Arial" w:cs="Arial" w:eastAsia="Arial" w:hAnsi="Arial"/>
                <w:sz w:val="19"/>
                <w:szCs w:val="19"/>
                <w:color w:val="auto"/>
              </w:rPr>
              <w:t>Contractual interest</w:t>
            </w:r>
          </w:p>
        </w:tc>
        <w:tc>
          <w:tcPr>
            <w:tcW w:w="940" w:type="dxa"/>
            <w:vAlign w:val="bottom"/>
            <w:shd w:val="clear" w:color="auto" w:fill="E6E6E6"/>
          </w:tcPr>
          <w:p>
            <w:pPr>
              <w:jc w:val="right"/>
              <w:ind w:right="710"/>
              <w:spacing w:after="0"/>
              <w:rPr>
                <w:sz w:val="20"/>
                <w:szCs w:val="20"/>
                <w:color w:val="auto"/>
              </w:rPr>
            </w:pPr>
            <w:r>
              <w:rPr>
                <w:rFonts w:ascii="Arial" w:cs="Arial" w:eastAsia="Arial" w:hAnsi="Arial"/>
                <w:sz w:val="19"/>
                <w:szCs w:val="19"/>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w:t>
            </w:r>
          </w:p>
        </w:tc>
        <w:tc>
          <w:tcPr>
            <w:tcW w:w="400" w:type="dxa"/>
            <w:vAlign w:val="bottom"/>
            <w:gridSpan w:val="2"/>
            <w:shd w:val="clear" w:color="auto" w:fill="E6E6E6"/>
          </w:tcPr>
          <w:p>
            <w:pPr>
              <w:jc w:val="right"/>
              <w:ind w:right="104"/>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w:t>
            </w:r>
          </w:p>
        </w:tc>
        <w:tc>
          <w:tcPr>
            <w:tcW w:w="400" w:type="dxa"/>
            <w:vAlign w:val="bottom"/>
            <w:gridSpan w:val="2"/>
            <w:shd w:val="clear" w:color="auto" w:fill="E6E6E6"/>
          </w:tcPr>
          <w:p>
            <w:pPr>
              <w:jc w:val="right"/>
              <w:ind w:right="104"/>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w:t>
            </w:r>
          </w:p>
        </w:tc>
      </w:tr>
      <w:tr>
        <w:trPr>
          <w:trHeight w:val="292"/>
        </w:trPr>
        <w:tc>
          <w:tcPr>
            <w:tcW w:w="67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Amortization of debt discounts and debt issuance costs</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w:t>
            </w:r>
          </w:p>
        </w:tc>
        <w:tc>
          <w:tcPr>
            <w:tcW w:w="4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w:t>
            </w:r>
          </w:p>
        </w:tc>
      </w:tr>
      <w:tr>
        <w:trPr>
          <w:trHeight w:val="302"/>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Interest expense</w:t>
            </w:r>
          </w:p>
        </w:tc>
        <w:tc>
          <w:tcPr>
            <w:tcW w:w="940" w:type="dxa"/>
            <w:vAlign w:val="bottom"/>
            <w:tcBorders>
              <w:bottom w:val="single" w:sz="8" w:color="auto"/>
            </w:tcBorders>
            <w:shd w:val="clear" w:color="auto" w:fill="E6E6E6"/>
          </w:tcPr>
          <w:p>
            <w:pPr>
              <w:jc w:val="right"/>
              <w:ind w:right="710"/>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30.4</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4"/>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30.4</w:t>
            </w:r>
          </w:p>
        </w:tc>
        <w:tc>
          <w:tcPr>
            <w:tcW w:w="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4"/>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-607060</wp:posOffset>
            </wp:positionV>
            <wp:extent cx="284353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77">
                      <a:extLst>
                        <a:ext uri="{28A0092B-C50C-407E-A947-70E740481C1C}"/>
                      </a:extLst>
                    </a:blip>
                    <a:srcRect/>
                    <a:stretch>
                      <a:fillRect/>
                    </a:stretch>
                  </pic:blipFill>
                  <pic:spPr bwMode="auto">
                    <a:xfrm>
                      <a:off x="0" y="0"/>
                      <a:ext cx="2843530" cy="254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-222250</wp:posOffset>
            </wp:positionV>
            <wp:extent cx="284353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78">
                      <a:extLst>
                        <a:ext uri="{28A0092B-C50C-407E-A947-70E740481C1C}"/>
                      </a:extLst>
                    </a:blip>
                    <a:srcRect/>
                    <a:stretch>
                      <a:fillRect/>
                    </a:stretch>
                  </pic:blipFill>
                  <pic:spPr bwMode="auto">
                    <a:xfrm>
                      <a:off x="0" y="0"/>
                      <a:ext cx="2843530" cy="254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-42545</wp:posOffset>
            </wp:positionV>
            <wp:extent cx="2843530"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79">
                      <a:extLst>
                        <a:ext uri="{28A0092B-C50C-407E-A947-70E740481C1C}"/>
                      </a:extLst>
                    </a:blip>
                    <a:srcRect/>
                    <a:stretch>
                      <a:fillRect/>
                    </a:stretch>
                  </pic:blipFill>
                  <pic:spPr bwMode="auto">
                    <a:xfrm>
                      <a:off x="0" y="0"/>
                      <a:ext cx="2843530" cy="49530"/>
                    </a:xfrm>
                    <a:prstGeom prst="rect">
                      <a:avLst/>
                    </a:prstGeom>
                    <a:noFill/>
                  </pic:spPr>
                </pic:pic>
              </a:graphicData>
            </a:graphic>
          </wp:anchor>
        </w:drawing>
      </w:r>
    </w:p>
    <w:p>
      <w:pPr>
        <w:spacing w:after="0" w:line="217" w:lineRule="exact"/>
        <w:rPr>
          <w:sz w:val="20"/>
          <w:szCs w:val="20"/>
          <w:color w:val="auto"/>
        </w:rPr>
      </w:pPr>
    </w:p>
    <w:p>
      <w:pPr>
        <w:ind w:right="380"/>
        <w:spacing w:after="0" w:line="271" w:lineRule="auto"/>
        <w:rPr>
          <w:sz w:val="20"/>
          <w:szCs w:val="20"/>
          <w:color w:val="auto"/>
        </w:rPr>
      </w:pPr>
      <w:r>
        <w:rPr>
          <w:rFonts w:ascii="Arial" w:cs="Arial" w:eastAsia="Arial" w:hAnsi="Arial"/>
          <w:sz w:val="19"/>
          <w:szCs w:val="19"/>
          <w:color w:val="auto"/>
        </w:rPr>
        <w:t>The 2026 Notes were not eligible for conversion as of December 31, 2024 and 2023. No sinking fund is provided for the 2026 Notes, which means that the Company is not required to redeem or retire them periodically. As of December 31, 2024 and 2023, the Company was in compliance with applicable covenants under the indenture governing the 2026 Notes.</w:t>
      </w:r>
    </w:p>
    <w:p>
      <w:pPr>
        <w:sectPr>
          <w:pgSz w:w="11880" w:h="15480" w:orient="portrait"/>
          <w:cols w:equalWidth="0" w:num="1">
            <w:col w:w="11140"/>
          </w:cols>
          <w:pgMar w:left="400" w:top="763" w:right="340" w:bottom="0" w:gutter="0" w:footer="0" w:header="0"/>
        </w:sectPr>
      </w:pP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1140"/>
          </w:cols>
          <w:pgMar w:left="400" w:top="763" w:right="340" w:bottom="0" w:gutter="0" w:footer="0" w:header="0"/>
          <w:type w:val="continuous"/>
        </w:sectPr>
      </w:pPr>
    </w:p>
    <w:bookmarkStart w:id="240" w:name="page241"/>
    <w:bookmarkEnd w:id="240"/>
    <w:p>
      <w:pPr>
        <w:spacing w:after="0"/>
        <w:rPr>
          <w:sz w:val="20"/>
          <w:szCs w:val="20"/>
          <w:color w:val="auto"/>
        </w:rPr>
      </w:pPr>
      <w:r>
        <w:rPr>
          <w:rFonts w:ascii="Arial" w:cs="Arial" w:eastAsia="Arial" w:hAnsi="Arial"/>
          <w:sz w:val="19"/>
          <w:szCs w:val="19"/>
          <w:b w:val="1"/>
          <w:bCs w:val="1"/>
          <w:i w:val="1"/>
          <w:iCs w:val="1"/>
          <w:color w:val="auto"/>
        </w:rPr>
        <w:t>SIDF Loan Agreement</w:t>
      </w:r>
    </w:p>
    <w:p>
      <w:pPr>
        <w:spacing w:after="0" w:line="250"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On February 27, 2022,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84" w:lineRule="exact"/>
        <w:rPr>
          <w:sz w:val="20"/>
          <w:szCs w:val="20"/>
          <w:color w:val="auto"/>
        </w:rPr>
      </w:pPr>
    </w:p>
    <w:p>
      <w:pPr>
        <w:ind w:right="460"/>
        <w:spacing w:after="0" w:line="265" w:lineRule="auto"/>
        <w:rPr>
          <w:sz w:val="20"/>
          <w:szCs w:val="20"/>
          <w:color w:val="auto"/>
        </w:rPr>
      </w:pPr>
      <w:r>
        <w:rPr>
          <w:rFonts w:ascii="Arial" w:cs="Arial" w:eastAsia="Arial" w:hAnsi="Arial"/>
          <w:sz w:val="19"/>
          <w:szCs w:val="19"/>
          <w:color w:val="auto"/>
        </w:rPr>
        <w:t>SIDF Loans will not bear interest. Instead, Lucid LLC will be required to pay SIDF service fees, consisting of follow-up and technical evaluation fees, ranging, in aggregate, from SAR 415 million (approximately $110.4 million) to SAR 1.77 billion (approximately $471.1 million), over the term of the SIDF Loans. SIDF Loans will be secured by security interests in the equipment, machines and assets funded thereby.</w:t>
      </w:r>
    </w:p>
    <w:p>
      <w:pPr>
        <w:spacing w:after="0" w:line="188"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As of December 31, 2024 and 2023, no amount was outstanding under the SIDF Loan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GIB Facility Agreement</w:t>
      </w:r>
    </w:p>
    <w:p>
      <w:pPr>
        <w:spacing w:after="0" w:line="25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may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pacing w:after="0" w:line="196" w:lineRule="exact"/>
        <w:rPr>
          <w:sz w:val="20"/>
          <w:szCs w:val="20"/>
          <w:color w:val="auto"/>
        </w:rPr>
      </w:pPr>
    </w:p>
    <w:p>
      <w:pPr>
        <w:ind w:right="420"/>
        <w:spacing w:after="0" w:line="284" w:lineRule="auto"/>
        <w:rPr>
          <w:sz w:val="20"/>
          <w:szCs w:val="20"/>
          <w:color w:val="auto"/>
        </w:rPr>
      </w:pPr>
      <w:r>
        <w:rPr>
          <w:rFonts w:ascii="Arial" w:cs="Arial" w:eastAsia="Arial" w:hAnsi="Arial"/>
          <w:sz w:val="18"/>
          <w:szCs w:val="18"/>
          <w:color w:val="auto"/>
        </w:rPr>
        <w:t>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have a maturity of no more than 12 months and bear interest at a rate of 1.40% per annum over SAIBOR (based on the term of borrowing) and associated fees.</w:t>
      </w:r>
    </w:p>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The Company is required to pay a quarterly commitment fee of 0.15% per annum based on the unutilized portion of the 2023 GIB Credit Facility. Commitments under the 2023 Amended GIB Facility Agreement will terminate, and all amounts then outstanding thereunder would become payable, on the maturity date of the 2023 Amended GIB Facility Agreement. The commitment fees for the years ended December 31, 2024, 2023, and 2022 were immaterial. The 2023 Amended GIB Facility Agreement contains certain conditions precedent to drawdowns, representations and warranties and covenants of Lucid LLC and events of default.</w:t>
      </w:r>
    </w:p>
    <w:p>
      <w:pPr>
        <w:spacing w:after="0" w:line="19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As of December 31, 2024 and 2023, the Company had outstanding borrowings of SAR 475 million (approximately $126.4 million) and SAR 272 million (approximately $72.5 million), respectively. The weighted average interest rate on the outstanding borrowings was 7.04% and</w:t>
      </w:r>
    </w:p>
    <w:p>
      <w:pPr>
        <w:ind w:right="100"/>
        <w:spacing w:after="0" w:line="259" w:lineRule="auto"/>
        <w:rPr>
          <w:sz w:val="20"/>
          <w:szCs w:val="20"/>
          <w:color w:val="auto"/>
        </w:rPr>
      </w:pPr>
      <w:r>
        <w:rPr>
          <w:rFonts w:ascii="Arial" w:cs="Arial" w:eastAsia="Arial" w:hAnsi="Arial"/>
          <w:sz w:val="19"/>
          <w:szCs w:val="19"/>
          <w:color w:val="auto"/>
        </w:rPr>
        <w:t>7.49% as of December 31, 2024 and 2023, respectively. As of December 31, 2024 and 2023, availability under the 2023 GIB Credit Facility was SAR 523 million (approximately $139.2 million) and SAR 727 million (approximately $193.9 million), respectively, after giving effect to the outstanding letters of credit. The outstanding borrowings were recorded within other current liabilities in the consolidated balance sheets. The Company recorded interest expense of SAR 18 million (approximately $4.9 million) and SAR 8 million (approximately $2.2 million) for the years ended December 31, 2024 and 2023, respectively. The interest expense recorded for the year ended December 31, 2022 was immaterial. As of December 31, 2024 and 2023, the Company was in compliance with applicable covenants under the 2023 Amended GIB Facility Agreement.</w:t>
      </w:r>
    </w:p>
    <w:p>
      <w:pPr>
        <w:sectPr>
          <w:pgSz w:w="11880" w:h="15480" w:orient="portrait"/>
          <w:cols w:equalWidth="0" w:num="1">
            <w:col w:w="11060"/>
          </w:cols>
          <w:pgMar w:left="400" w:top="75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1060"/>
          </w:cols>
          <w:pgMar w:left="400" w:top="755" w:right="420" w:bottom="0" w:gutter="0" w:footer="0" w:header="0"/>
          <w:type w:val="continuous"/>
        </w:sectPr>
      </w:pPr>
    </w:p>
    <w:bookmarkStart w:id="241" w:name="page242"/>
    <w:bookmarkEnd w:id="241"/>
    <w:p>
      <w:pPr>
        <w:spacing w:after="0"/>
        <w:rPr>
          <w:sz w:val="20"/>
          <w:szCs w:val="20"/>
          <w:color w:val="auto"/>
        </w:rPr>
      </w:pPr>
      <w:r>
        <w:rPr>
          <w:rFonts w:ascii="Arial" w:cs="Arial" w:eastAsia="Arial" w:hAnsi="Arial"/>
          <w:sz w:val="19"/>
          <w:szCs w:val="19"/>
          <w:b w:val="1"/>
          <w:bCs w:val="1"/>
          <w:i w:val="1"/>
          <w:iCs w:val="1"/>
          <w:color w:val="auto"/>
        </w:rPr>
        <w:t>ABL Credit Facility</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December 31, 2024 and 2023, the Company was in compliance with applicable covenants under the ABL Credit Facility.</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As of December 31, 2024 and 2023, the Company had no outstanding borrowings under the ABL Credit Facility. Outstanding letters of credit under the ABL Credit Facility were $56.9 million and $45.4 million as of December 31, 2024 and 2023, respectively. Availability under the ABL Credit Facility was $354.9 million (including $191.1 million cash and cash equivalents) and $413.4 million (including $144.0 million cash and cash equivalents) as of December 31, 2024 and 2023, respectively, after giving effect to the borrowing base and the outstanding letters of credit. The Company incurred issuance costs of $6.3 million to obtain the ABL Credit Facility, which was capitalized within other noncurrent assets in the consolidated balance sheets and amortized over the facility term using the straight-line method. The Company recorded amortization of the deferred issuance costs and commitment fee of $3.7 million for the years ended December 31, 2024 and 2023, and $2.1 million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DDTL Credit Facility</w:t>
      </w:r>
    </w:p>
    <w:p>
      <w:pPr>
        <w:spacing w:after="0" w:line="250" w:lineRule="exact"/>
        <w:rPr>
          <w:sz w:val="20"/>
          <w:szCs w:val="20"/>
          <w:color w:val="auto"/>
        </w:rPr>
      </w:pPr>
    </w:p>
    <w:p>
      <w:pPr>
        <w:ind w:right="240"/>
        <w:spacing w:after="0" w:line="262" w:lineRule="auto"/>
        <w:rPr>
          <w:sz w:val="20"/>
          <w:szCs w:val="20"/>
          <w:color w:val="auto"/>
        </w:rPr>
      </w:pPr>
      <w:r>
        <w:rPr>
          <w:rFonts w:ascii="Arial" w:cs="Arial" w:eastAsia="Arial" w:hAnsi="Arial"/>
          <w:sz w:val="19"/>
          <w:szCs w:val="19"/>
          <w:color w:val="auto"/>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2024, the Company was in compliance with applicable covenants under the DDTL Credit Facility.</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As of December 31, 2024, the Company had no outstanding borrowings under the DDTL Credit Facility. The Company incurred issuance costs of $6.2 million to obtain the DDTL Credit Facility, which was capitalized within other noncurrent assets in the consolidated balance sheet and amortized over the facility term using the straight-line method. The Company recorded amortization of the deferred issuance costs and commitment fee of $2.1 million for the year ended December 31, 2024.</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COMMON STOCK WARRANT LIABILITY</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On July 23, 2021, in connection with the merger, the Company effectively issued 44,350,000 Private Placement Warrants to purchase shares of Lucid’s common stock at an exercise price of $11.50. The Private Placement Warrants were initially recognized as a liability with a fair value of $812.0 million and was remeasured to a fair value of $53.7 million as of December 31, 2023. The Private Placement Warrants remained unexercised and were remeasured to a fair value of $19.5 million as of December 31, 2024. The Company recognized gains of $34.2 million, $86.9 million, and $1,254.2 million for the years ended December 31, 2024, 2023 and 2022, respectively, in the consolidated statements of operations and comprehensive loss.</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1080"/>
          </w:cols>
          <w:pgMar w:left="400" w:top="755" w:right="400" w:bottom="0" w:gutter="0" w:footer="0" w:header="0"/>
          <w:type w:val="continuous"/>
        </w:sectPr>
      </w:pPr>
    </w:p>
    <w:bookmarkStart w:id="242" w:name="page243"/>
    <w:bookmarkEnd w:id="242"/>
    <w:p>
      <w:pPr>
        <w:spacing w:after="0"/>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Scholes option pricing model, and was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December 31, 2024</w:t>
            </w:r>
          </w:p>
        </w:tc>
        <w:tc>
          <w:tcPr>
            <w:tcW w:w="6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December 31, 2023</w:t>
            </w:r>
          </w:p>
        </w:tc>
      </w:tr>
      <w:tr>
        <w:trPr>
          <w:trHeight w:val="264"/>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Fair value of Private Placement Warrants per share</w:t>
            </w:r>
          </w:p>
        </w:tc>
        <w:tc>
          <w:tcPr>
            <w:tcW w:w="580" w:type="dxa"/>
            <w:vAlign w:val="bottom"/>
            <w:shd w:val="clear" w:color="auto" w:fill="E6E6E6"/>
          </w:tcPr>
          <w:p>
            <w:pPr>
              <w:jc w:val="right"/>
              <w:ind w:right="354"/>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0.44</w:t>
            </w:r>
          </w:p>
        </w:tc>
        <w:tc>
          <w:tcPr>
            <w:tcW w:w="640" w:type="dxa"/>
            <w:vAlign w:val="bottom"/>
            <w:gridSpan w:val="2"/>
            <w:shd w:val="clear" w:color="auto" w:fill="E6E6E6"/>
          </w:tcPr>
          <w:p>
            <w:pPr>
              <w:jc w:val="right"/>
              <w:ind w:right="363"/>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-186055</wp:posOffset>
            </wp:positionV>
            <wp:extent cx="18916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80">
                      <a:extLst>
                        <a:ext uri="{28A0092B-C50C-407E-A947-70E740481C1C}"/>
                      </a:extLst>
                    </a:blip>
                    <a:srcRect/>
                    <a:stretch>
                      <a:fillRect/>
                    </a:stretch>
                  </pic:blipFill>
                  <pic:spPr bwMode="auto">
                    <a:xfrm>
                      <a:off x="0" y="0"/>
                      <a:ext cx="1891665" cy="25400"/>
                    </a:xfrm>
                    <a:prstGeom prst="rect">
                      <a:avLst/>
                    </a:prstGeom>
                    <a:noFill/>
                  </pic:spPr>
                </pic:pic>
              </a:graphicData>
            </a:graphic>
          </wp:anchor>
        </w:drawing>
      </w:r>
    </w:p>
    <w:p>
      <w:pPr>
        <w:spacing w:after="0" w:line="246"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Assumptions used in the Black-Scholes option pricing model take into account the contract terms as well as the quoted price of the Company’s common stock in an active market. The volatility is primarily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97"/>
              </w:rPr>
              <w:t>December 31, 2024</w:t>
            </w:r>
          </w:p>
        </w:tc>
        <w:tc>
          <w:tcPr>
            <w:tcW w:w="6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w w:val="97"/>
              </w:rPr>
              <w:t>December 31, 2023</w:t>
            </w:r>
          </w:p>
        </w:tc>
      </w:tr>
      <w:tr>
        <w:trPr>
          <w:trHeight w:val="264"/>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Volatility</w:t>
            </w:r>
          </w:p>
        </w:tc>
        <w:tc>
          <w:tcPr>
            <w:tcW w:w="14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95.0 %</w:t>
            </w:r>
          </w:p>
        </w:tc>
        <w:tc>
          <w:tcPr>
            <w:tcW w:w="15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85.0 %</w:t>
            </w:r>
          </w:p>
        </w:tc>
      </w:tr>
      <w:tr>
        <w:trPr>
          <w:trHeight w:val="268"/>
        </w:trPr>
        <w:tc>
          <w:tcPr>
            <w:tcW w:w="8140" w:type="dxa"/>
            <w:vAlign w:val="bottom"/>
          </w:tcPr>
          <w:p>
            <w:pPr>
              <w:ind w:left="60"/>
              <w:spacing w:after="0"/>
              <w:rPr>
                <w:sz w:val="20"/>
                <w:szCs w:val="20"/>
                <w:color w:val="auto"/>
              </w:rPr>
            </w:pPr>
            <w:r>
              <w:rPr>
                <w:rFonts w:ascii="Arial" w:cs="Arial" w:eastAsia="Arial" w:hAnsi="Arial"/>
                <w:sz w:val="19"/>
                <w:szCs w:val="19"/>
                <w:color w:val="auto"/>
              </w:rPr>
              <w:t>Expected term (in years)</w:t>
            </w:r>
          </w:p>
        </w:tc>
        <w:tc>
          <w:tcPr>
            <w:tcW w:w="1440" w:type="dxa"/>
            <w:vAlign w:val="bottom"/>
          </w:tcPr>
          <w:p>
            <w:pPr>
              <w:jc w:val="right"/>
              <w:ind w:right="188"/>
              <w:spacing w:after="0"/>
              <w:rPr>
                <w:sz w:val="20"/>
                <w:szCs w:val="20"/>
                <w:color w:val="auto"/>
              </w:rPr>
            </w:pPr>
            <w:r>
              <w:rPr>
                <w:rFonts w:ascii="Arial" w:cs="Arial" w:eastAsia="Arial" w:hAnsi="Arial"/>
                <w:sz w:val="19"/>
                <w:szCs w:val="19"/>
                <w:color w:val="auto"/>
              </w:rPr>
              <w:t>1.6</w:t>
            </w:r>
          </w:p>
        </w:tc>
        <w:tc>
          <w:tcPr>
            <w:tcW w:w="1500" w:type="dxa"/>
            <w:vAlign w:val="bottom"/>
            <w:gridSpan w:val="2"/>
          </w:tcPr>
          <w:p>
            <w:pPr>
              <w:jc w:val="right"/>
              <w:ind w:right="194"/>
              <w:spacing w:after="0"/>
              <w:rPr>
                <w:sz w:val="20"/>
                <w:szCs w:val="20"/>
                <w:color w:val="auto"/>
              </w:rPr>
            </w:pPr>
            <w:r>
              <w:rPr>
                <w:rFonts w:ascii="Arial" w:cs="Arial" w:eastAsia="Arial" w:hAnsi="Arial"/>
                <w:sz w:val="19"/>
                <w:szCs w:val="19"/>
                <w:color w:val="auto"/>
              </w:rPr>
              <w:t>2.6</w:t>
            </w:r>
          </w:p>
        </w:tc>
      </w:tr>
      <w:tr>
        <w:trPr>
          <w:trHeight w:val="280"/>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Risk-free rate</w:t>
            </w:r>
          </w:p>
        </w:tc>
        <w:tc>
          <w:tcPr>
            <w:tcW w:w="14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4.2 %</w:t>
            </w:r>
          </w:p>
        </w:tc>
        <w:tc>
          <w:tcPr>
            <w:tcW w:w="15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4.1 %</w:t>
            </w:r>
          </w:p>
        </w:tc>
      </w:tr>
      <w:tr>
        <w:trPr>
          <w:trHeight w:val="262"/>
        </w:trPr>
        <w:tc>
          <w:tcPr>
            <w:tcW w:w="8140" w:type="dxa"/>
            <w:vAlign w:val="bottom"/>
          </w:tcPr>
          <w:p>
            <w:pPr>
              <w:ind w:left="60"/>
              <w:spacing w:after="0"/>
              <w:rPr>
                <w:sz w:val="20"/>
                <w:szCs w:val="20"/>
                <w:color w:val="auto"/>
              </w:rPr>
            </w:pPr>
            <w:r>
              <w:rPr>
                <w:rFonts w:ascii="Arial" w:cs="Arial" w:eastAsia="Arial" w:hAnsi="Arial"/>
                <w:sz w:val="19"/>
                <w:szCs w:val="19"/>
                <w:color w:val="auto"/>
              </w:rPr>
              <w:t>Dividend yield</w:t>
            </w:r>
          </w:p>
        </w:tc>
        <w:tc>
          <w:tcPr>
            <w:tcW w:w="1440" w:type="dxa"/>
            <w:vAlign w:val="bottom"/>
          </w:tcPr>
          <w:p>
            <w:pPr>
              <w:jc w:val="right"/>
              <w:spacing w:after="0"/>
              <w:rPr>
                <w:sz w:val="20"/>
                <w:szCs w:val="20"/>
                <w:color w:val="auto"/>
              </w:rPr>
            </w:pPr>
            <w:r>
              <w:rPr>
                <w:rFonts w:ascii="Arial" w:cs="Arial" w:eastAsia="Arial" w:hAnsi="Arial"/>
                <w:sz w:val="19"/>
                <w:szCs w:val="19"/>
                <w:color w:val="auto"/>
              </w:rPr>
              <w:t>— %</w:t>
            </w:r>
          </w:p>
        </w:tc>
        <w:tc>
          <w:tcPr>
            <w:tcW w:w="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-699770</wp:posOffset>
            </wp:positionV>
            <wp:extent cx="18916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1">
                      <a:extLst>
                        <a:ext uri="{28A0092B-C50C-407E-A947-70E740481C1C}"/>
                      </a:extLst>
                    </a:blip>
                    <a:srcRect/>
                    <a:stretch>
                      <a:fillRect/>
                    </a:stretch>
                  </pic:blipFill>
                  <pic:spPr bwMode="auto">
                    <a:xfrm>
                      <a:off x="0" y="0"/>
                      <a:ext cx="1891665" cy="2540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REDEEMABLE CONVERTIBLE PREFERRED STOCK</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w:t>
      </w:r>
    </w:p>
    <w:p>
      <w:pPr>
        <w:spacing w:after="0" w:line="188" w:lineRule="exact"/>
        <w:rPr>
          <w:sz w:val="20"/>
          <w:szCs w:val="20"/>
          <w:color w:val="auto"/>
        </w:rPr>
      </w:pPr>
    </w:p>
    <w:p>
      <w:pPr>
        <w:jc w:val="both"/>
        <w:ind w:right="160"/>
        <w:spacing w:after="0" w:line="248" w:lineRule="auto"/>
        <w:rPr>
          <w:sz w:val="20"/>
          <w:szCs w:val="20"/>
          <w:color w:val="auto"/>
        </w:rPr>
      </w:pPr>
      <w:r>
        <w:rPr>
          <w:rFonts w:ascii="Arial" w:cs="Arial" w:eastAsia="Arial" w:hAnsi="Arial"/>
          <w:sz w:val="19"/>
          <w:szCs w:val="19"/>
          <w:color w:val="auto"/>
        </w:rPr>
        <w:t>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w:t>
      </w:r>
    </w:p>
    <w:p>
      <w:pPr>
        <w:spacing w:after="0" w:line="188" w:lineRule="exact"/>
        <w:rPr>
          <w:sz w:val="20"/>
          <w:szCs w:val="20"/>
          <w:color w:val="auto"/>
        </w:rPr>
      </w:pPr>
    </w:p>
    <w:p>
      <w:pPr>
        <w:ind w:right="260"/>
        <w:spacing w:after="0" w:line="262" w:lineRule="auto"/>
        <w:rPr>
          <w:sz w:val="20"/>
          <w:szCs w:val="20"/>
          <w:color w:val="auto"/>
        </w:rPr>
      </w:pPr>
      <w:r>
        <w:rPr>
          <w:rFonts w:ascii="Arial" w:cs="Arial" w:eastAsia="Arial" w:hAnsi="Arial"/>
          <w:sz w:val="19"/>
          <w:szCs w:val="19"/>
          <w:color w:val="auto"/>
        </w:rPr>
        <w:t>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w:t>
      </w:r>
    </w:p>
    <w:p>
      <w:pPr>
        <w:spacing w:after="0" w:line="18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Redeemable Convertible Preferred Stock ranks senior to the common stock with respect to dividends and distributions of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Upon a liquidation, dissolution or winding up of the Company, each holder of shares of the Redeemable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December 31, 2024, the liquidation preference of the Series A Redeemable Convertible Preferred Stock and Series B Redeemable Convertible Preferred Stock was $1,138.8 million and $800.4 million, respectively.</w:t>
      </w:r>
    </w:p>
    <w:p>
      <w:pPr>
        <w:sectPr>
          <w:pgSz w:w="11880" w:h="15480" w:orient="portrait"/>
          <w:cols w:equalWidth="0" w:num="1">
            <w:col w:w="11080"/>
          </w:cols>
          <w:pgMar w:left="400" w:top="99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1080"/>
          </w:cols>
          <w:pgMar w:left="400" w:top="993" w:right="400" w:bottom="0" w:gutter="0" w:footer="0" w:header="0"/>
          <w:type w:val="continuous"/>
        </w:sectPr>
      </w:pPr>
    </w:p>
    <w:bookmarkStart w:id="243" w:name="page244"/>
    <w:bookmarkEnd w:id="243"/>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is entitled to the number of votes equal to the number of whole shares of common stock into which the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 for the Series A Redeemable Convertible Preferred Stock and $3.12 for the Series B Redeemable Convertible Preferred Stock).</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Each share of the Redeemable Convertible Preferred Stock is convertible, at the option of the respective Holder, from time-to-time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for the Series A Redeemable Convertible Preferred Stock and $4.3799 for the Series B Redeemable Convertible Preferred Stock, subject to customary anti-dilution adjustments, including in the event of any stock split, stock dividend, recapitalization or similar events (the “Conversion Price”).</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i w:val="1"/>
          <w:iCs w:val="1"/>
          <w:color w:val="auto"/>
        </w:rPr>
        <w:t xml:space="preserve">Mandatory Conversion: </w:t>
      </w:r>
      <w:r>
        <w:rPr>
          <w:rFonts w:ascii="Arial" w:cs="Arial" w:eastAsia="Arial" w:hAnsi="Arial"/>
          <w:sz w:val="18"/>
          <w:szCs w:val="18"/>
          <w:color w:val="auto"/>
        </w:rPr>
        <w:t>On or after the third anniversary of the initial issue date, if at any time (i) the daily VWAP of the common stock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spacing w:after="0" w:line="18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i w:val="1"/>
          <w:iCs w:val="1"/>
          <w:color w:val="auto"/>
        </w:rPr>
        <w:t xml:space="preserve">Fundamental Change: </w:t>
      </w:r>
      <w:r>
        <w:rPr>
          <w:rFonts w:ascii="Arial" w:cs="Arial" w:eastAsia="Arial" w:hAnsi="Arial"/>
          <w:sz w:val="19"/>
          <w:szCs w:val="19"/>
          <w:color w:val="auto"/>
        </w:rPr>
        <w:t>Upon a fundamental change, the Holders will be entitled, on the fundamental change repurchase date specified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i w:val="1"/>
          <w:iCs w:val="1"/>
          <w:color w:val="auto"/>
        </w:rPr>
        <w:t xml:space="preserve">Optional Redemption: </w:t>
      </w:r>
      <w:r>
        <w:rPr>
          <w:rFonts w:ascii="Arial" w:cs="Arial" w:eastAsia="Arial" w:hAnsi="Arial"/>
          <w:sz w:val="17"/>
          <w:szCs w:val="17"/>
          <w:color w:val="auto"/>
        </w:rPr>
        <w:t>On or after the fifth anniversary of the initial issue date, the Company may redeem all or any portion of the Redeemable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w:t>
      </w:r>
    </w:p>
    <w:p>
      <w:pPr>
        <w:sectPr>
          <w:pgSz w:w="11880" w:h="15480" w:orient="portrait"/>
          <w:cols w:equalWidth="0" w:num="1">
            <w:col w:w="11060"/>
          </w:cols>
          <w:pgMar w:left="400" w:top="75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1060"/>
          </w:cols>
          <w:pgMar w:left="400" w:top="758" w:right="420" w:bottom="0" w:gutter="0" w:footer="0" w:header="0"/>
          <w:type w:val="continuous"/>
        </w:sectPr>
      </w:pPr>
    </w:p>
    <w:bookmarkStart w:id="244" w:name="page245"/>
    <w:bookmarkEnd w:id="244"/>
    <w:p>
      <w:pPr>
        <w:ind w:right="240"/>
        <w:spacing w:after="0" w:line="289" w:lineRule="auto"/>
        <w:rPr>
          <w:sz w:val="20"/>
          <w:szCs w:val="20"/>
          <w:color w:val="auto"/>
        </w:rPr>
      </w:pPr>
      <w:r>
        <w:rPr>
          <w:rFonts w:ascii="Arial" w:cs="Arial" w:eastAsia="Arial" w:hAnsi="Arial"/>
          <w:sz w:val="19"/>
          <w:szCs w:val="19"/>
          <w:color w:val="auto"/>
        </w:rPr>
        <w:t>The Company may not pay any portion of such redemption price in shares of common stock if the common stock liquidity conditions are not satisfied.</w:t>
      </w:r>
    </w:p>
    <w:p>
      <w:pPr>
        <w:spacing w:after="0" w:line="188"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Stock initially at its issuance price, net of issuance costs of $0.6 million and net of the initial value of the bifurcated derivative liability of $297.7 million.</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During the year ended December 31, 2024, the Company recorded accretion of $229.5 million and $118.1 million related to the Series A Redeemable Convertible Preferred Stock and the Series B Redeemable Convertible Preferred Stock, respectively. Accretion of the Redeemable Convertible Preferred Stock was reflected as adjustments to additional paid-in capital in the consolidated balance sheet as of December 31, 2024. The carrying value of the Series A Redeemable Convertible Preferred Stock and Series B Redeemable Convertible Preferred Stock was $730.0 million and $569.8 million as of December 31, 2024, respectively.</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consolidated statement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2024, the derivative liabilities for the Redeemable Convertible Preferred Stock were remeasured to fair value of</w:t>
      </w:r>
    </w:p>
    <w:p>
      <w:pPr>
        <w:ind w:right="40"/>
        <w:spacing w:after="0" w:line="248" w:lineRule="auto"/>
        <w:rPr>
          <w:sz w:val="20"/>
          <w:szCs w:val="20"/>
          <w:color w:val="auto"/>
        </w:rPr>
      </w:pPr>
      <w:r>
        <w:rPr>
          <w:rFonts w:ascii="Arial" w:cs="Arial" w:eastAsia="Arial" w:hAnsi="Arial"/>
          <w:sz w:val="19"/>
          <w:szCs w:val="19"/>
          <w:color w:val="auto"/>
        </w:rPr>
        <w:t>$639.4 million, comprising of $408.8 million related to Series A Redeemable Convertible Preferred Stock and $230.6 million related to Series B Redeemable Convertible Preferred Stock. The Company recognized gains of $155.4 million for the year ended December 31, 2024 in change in fair value of derivative liabilities associated with redeemable convertible preferred stock (related party) in the consolidated statements of operations and comprehensive loss.</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The Company estimated the fair value of the derivative liabilities using a binomial lattice model with the volatility, credit spread, and term as significant unobservable inputs. Assumptions used in the valuation also take into account the contractual terms as well as the quoted price of the Company’s common stock in an active market. Significant changes in any of those inputs in isolation would result in significant changes to the fair value measurement.</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The level 3 fair value inputs used in the valuation of the derivative liabilities associated with the Redeemable Convertible Preferred Stock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5"/>
                <w:szCs w:val="15"/>
                <w:b w:val="1"/>
                <w:bCs w:val="1"/>
                <w:color w:val="auto"/>
              </w:rPr>
              <w:t>December 31, 2024</w:t>
            </w:r>
          </w:p>
        </w:tc>
      </w:tr>
      <w:tr>
        <w:trPr>
          <w:trHeight w:val="164"/>
        </w:trPr>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69"/>
              <w:spacing w:after="0" w:line="164" w:lineRule="exact"/>
              <w:rPr>
                <w:sz w:val="20"/>
                <w:szCs w:val="20"/>
                <w:color w:val="auto"/>
              </w:rPr>
            </w:pPr>
            <w:r>
              <w:rPr>
                <w:rFonts w:ascii="Arial" w:cs="Arial" w:eastAsia="Arial" w:hAnsi="Arial"/>
                <w:sz w:val="15"/>
                <w:szCs w:val="15"/>
                <w:b w:val="1"/>
                <w:bCs w:val="1"/>
                <w:color w:val="auto"/>
              </w:rPr>
              <w:t>Series A</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67"/>
              <w:spacing w:after="0" w:line="164" w:lineRule="exact"/>
              <w:rPr>
                <w:sz w:val="20"/>
                <w:szCs w:val="20"/>
                <w:color w:val="auto"/>
              </w:rPr>
            </w:pPr>
            <w:r>
              <w:rPr>
                <w:rFonts w:ascii="Arial" w:cs="Arial" w:eastAsia="Arial" w:hAnsi="Arial"/>
                <w:sz w:val="15"/>
                <w:szCs w:val="15"/>
                <w:b w:val="1"/>
                <w:bCs w:val="1"/>
                <w:color w:val="auto"/>
              </w:rPr>
              <w:t>Series B</w:t>
            </w:r>
          </w:p>
        </w:tc>
      </w:tr>
      <w:tr>
        <w:trPr>
          <w:trHeight w:val="205"/>
        </w:trPr>
        <w:tc>
          <w:tcPr>
            <w:tcW w:w="8140" w:type="dxa"/>
            <w:vAlign w:val="bottom"/>
            <w:tcBorders>
              <w:bottom w:val="single" w:sz="8" w:color="E6E6E6"/>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Derivative Liability</w:t>
            </w:r>
          </w:p>
        </w:tc>
        <w:tc>
          <w:tcPr>
            <w:tcW w:w="60" w:type="dxa"/>
            <w:vAlign w:val="bottom"/>
            <w:tcBorders>
              <w:bottom w:val="single" w:sz="8" w:color="E6E6E6"/>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Derivative Liability</w:t>
            </w:r>
          </w:p>
        </w:tc>
      </w:tr>
      <w:tr>
        <w:trPr>
          <w:trHeight w:val="264"/>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Volatility</w:t>
            </w:r>
          </w:p>
        </w:tc>
        <w:tc>
          <w:tcPr>
            <w:tcW w:w="300" w:type="dxa"/>
            <w:vAlign w:val="bottom"/>
            <w:shd w:val="clear" w:color="auto" w:fill="E6E6E6"/>
          </w:tcPr>
          <w:p>
            <w:pPr>
              <w:spacing w:after="0"/>
              <w:rPr>
                <w:sz w:val="22"/>
                <w:szCs w:val="22"/>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40.0 %</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40.0 %</w:t>
            </w:r>
          </w:p>
        </w:tc>
      </w:tr>
      <w:tr>
        <w:trPr>
          <w:trHeight w:val="268"/>
        </w:trPr>
        <w:tc>
          <w:tcPr>
            <w:tcW w:w="8140" w:type="dxa"/>
            <w:vAlign w:val="bottom"/>
          </w:tcPr>
          <w:p>
            <w:pPr>
              <w:ind w:left="60"/>
              <w:spacing w:after="0"/>
              <w:rPr>
                <w:sz w:val="20"/>
                <w:szCs w:val="20"/>
                <w:color w:val="auto"/>
              </w:rPr>
            </w:pPr>
            <w:r>
              <w:rPr>
                <w:rFonts w:ascii="Arial" w:cs="Arial" w:eastAsia="Arial" w:hAnsi="Arial"/>
                <w:sz w:val="19"/>
                <w:szCs w:val="19"/>
                <w:color w:val="auto"/>
              </w:rPr>
              <w:t>Credit spread</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17.9 %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17.9 %</w:t>
            </w:r>
          </w:p>
        </w:tc>
      </w:tr>
      <w:tr>
        <w:trPr>
          <w:trHeight w:val="280"/>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Stock price</w:t>
            </w:r>
          </w:p>
        </w:tc>
        <w:tc>
          <w:tcPr>
            <w:tcW w:w="300" w:type="dxa"/>
            <w:vAlign w:val="bottom"/>
            <w:shd w:val="clear" w:color="auto" w:fill="E6E6E6"/>
          </w:tcPr>
          <w:p>
            <w:pPr>
              <w:jc w:val="right"/>
              <w:ind w:right="74"/>
              <w:spacing w:after="0"/>
              <w:rPr>
                <w:sz w:val="20"/>
                <w:szCs w:val="20"/>
                <w:color w:val="auto"/>
              </w:rPr>
            </w:pPr>
            <w:r>
              <w:rPr>
                <w:rFonts w:ascii="Arial" w:cs="Arial" w:eastAsia="Arial" w:hAnsi="Arial"/>
                <w:sz w:val="19"/>
                <w:szCs w:val="19"/>
                <w:color w:val="auto"/>
              </w:rPr>
              <w:t>$</w:t>
            </w:r>
          </w:p>
        </w:tc>
        <w:tc>
          <w:tcPr>
            <w:tcW w:w="1140" w:type="dxa"/>
            <w:vAlign w:val="bottom"/>
            <w:shd w:val="clear" w:color="auto" w:fill="E6E6E6"/>
          </w:tcPr>
          <w:p>
            <w:pPr>
              <w:jc w:val="right"/>
              <w:ind w:right="149"/>
              <w:spacing w:after="0"/>
              <w:rPr>
                <w:sz w:val="20"/>
                <w:szCs w:val="20"/>
                <w:color w:val="auto"/>
              </w:rPr>
            </w:pPr>
            <w:r>
              <w:rPr>
                <w:rFonts w:ascii="Arial" w:cs="Arial" w:eastAsia="Arial" w:hAnsi="Arial"/>
                <w:sz w:val="19"/>
                <w:szCs w:val="19"/>
                <w:color w:val="auto"/>
              </w:rPr>
              <w:t>3.02</w:t>
            </w:r>
          </w:p>
        </w:tc>
        <w:tc>
          <w:tcPr>
            <w:tcW w:w="36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1140" w:type="dxa"/>
            <w:vAlign w:val="bottom"/>
            <w:shd w:val="clear" w:color="auto" w:fill="E6E6E6"/>
          </w:tcPr>
          <w:p>
            <w:pPr>
              <w:jc w:val="right"/>
              <w:ind w:right="147"/>
              <w:spacing w:after="0"/>
              <w:rPr>
                <w:sz w:val="20"/>
                <w:szCs w:val="20"/>
                <w:color w:val="auto"/>
              </w:rPr>
            </w:pPr>
            <w:r>
              <w:rPr>
                <w:rFonts w:ascii="Arial" w:cs="Arial" w:eastAsia="Arial" w:hAnsi="Arial"/>
                <w:sz w:val="19"/>
                <w:szCs w:val="19"/>
                <w:color w:val="auto"/>
              </w:rPr>
              <w:t>3.02</w:t>
            </w:r>
          </w:p>
        </w:tc>
      </w:tr>
      <w:tr>
        <w:trPr>
          <w:trHeight w:val="268"/>
        </w:trPr>
        <w:tc>
          <w:tcPr>
            <w:tcW w:w="8140" w:type="dxa"/>
            <w:vAlign w:val="bottom"/>
          </w:tcPr>
          <w:p>
            <w:pPr>
              <w:ind w:left="60"/>
              <w:spacing w:after="0"/>
              <w:rPr>
                <w:sz w:val="20"/>
                <w:szCs w:val="20"/>
                <w:color w:val="auto"/>
              </w:rPr>
            </w:pPr>
            <w:r>
              <w:rPr>
                <w:rFonts w:ascii="Arial" w:cs="Arial" w:eastAsia="Arial" w:hAnsi="Arial"/>
                <w:sz w:val="19"/>
                <w:szCs w:val="19"/>
                <w:color w:val="auto"/>
              </w:rPr>
              <w:t>Term (in years)</w:t>
            </w:r>
          </w:p>
        </w:tc>
        <w:tc>
          <w:tcPr>
            <w:tcW w:w="300" w:type="dxa"/>
            <w:vAlign w:val="bottom"/>
          </w:tcPr>
          <w:p>
            <w:pPr>
              <w:spacing w:after="0"/>
              <w:rPr>
                <w:sz w:val="23"/>
                <w:szCs w:val="23"/>
                <w:color w:val="auto"/>
              </w:rPr>
            </w:pPr>
          </w:p>
        </w:tc>
        <w:tc>
          <w:tcPr>
            <w:tcW w:w="1140" w:type="dxa"/>
            <w:vAlign w:val="bottom"/>
          </w:tcPr>
          <w:p>
            <w:pPr>
              <w:jc w:val="right"/>
              <w:ind w:right="189"/>
              <w:spacing w:after="0"/>
              <w:rPr>
                <w:sz w:val="20"/>
                <w:szCs w:val="20"/>
                <w:color w:val="auto"/>
              </w:rPr>
            </w:pPr>
            <w:r>
              <w:rPr>
                <w:rFonts w:ascii="Arial" w:cs="Arial" w:eastAsia="Arial" w:hAnsi="Arial"/>
                <w:sz w:val="19"/>
                <w:szCs w:val="19"/>
                <w:color w:val="auto"/>
              </w:rPr>
              <w:t>4.2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187"/>
              <w:spacing w:after="0"/>
              <w:rPr>
                <w:sz w:val="20"/>
                <w:szCs w:val="20"/>
                <w:color w:val="auto"/>
              </w:rPr>
            </w:pPr>
            <w:r>
              <w:rPr>
                <w:rFonts w:ascii="Arial" w:cs="Arial" w:eastAsia="Arial" w:hAnsi="Arial"/>
                <w:sz w:val="19"/>
                <w:szCs w:val="19"/>
                <w:color w:val="auto"/>
              </w:rPr>
              <w:t>4.6</w:t>
            </w:r>
          </w:p>
        </w:tc>
      </w:tr>
      <w:tr>
        <w:trPr>
          <w:trHeight w:val="280"/>
        </w:trPr>
        <w:tc>
          <w:tcPr>
            <w:tcW w:w="8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Risk-free rate</w:t>
            </w:r>
          </w:p>
        </w:tc>
        <w:tc>
          <w:tcPr>
            <w:tcW w:w="30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-881380</wp:posOffset>
            </wp:positionV>
            <wp:extent cx="18916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82">
                      <a:extLst>
                        <a:ext uri="{28A0092B-C50C-407E-A947-70E740481C1C}"/>
                      </a:extLst>
                    </a:blip>
                    <a:srcRect/>
                    <a:stretch>
                      <a:fillRect/>
                    </a:stretch>
                  </pic:blipFill>
                  <pic:spPr bwMode="auto">
                    <a:xfrm>
                      <a:off x="0" y="0"/>
                      <a:ext cx="1891665" cy="2540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STOCKHOLDERS’ EQUITY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250" w:lineRule="exact"/>
        <w:rPr>
          <w:sz w:val="20"/>
          <w:szCs w:val="20"/>
          <w:color w:val="auto"/>
        </w:rPr>
      </w:pPr>
    </w:p>
    <w:p>
      <w:pPr>
        <w:ind w:right="140"/>
        <w:spacing w:after="0" w:line="305" w:lineRule="auto"/>
        <w:rPr>
          <w:sz w:val="20"/>
          <w:szCs w:val="20"/>
          <w:color w:val="auto"/>
        </w:rPr>
      </w:pPr>
      <w:r>
        <w:rPr>
          <w:rFonts w:ascii="Arial" w:cs="Arial" w:eastAsia="Arial" w:hAnsi="Arial"/>
          <w:sz w:val="17"/>
          <w:szCs w:val="17"/>
          <w:color w:val="auto"/>
        </w:rPr>
        <w:t>The Company has authorized the issuance of 10,000,000 shares of undesignated preferred stock with a par value of $0.0001 per share with rights and preferences, including voting rights, designated from time-to-time by the Board of Directors. As of December 31, 2024, there were 100,000 and 75,000 issued and outstanding shares of Series A Redeemable Convertible Preferred Stock and Series B Redeemable Convertible Preferred Stock, respectively. There were no issued and outstanding shares of preferred stock as of December 31, 2023.</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1080"/>
          </w:cols>
          <w:pgMar w:left="400" w:top="763" w:right="400" w:bottom="0" w:gutter="0" w:footer="0" w:header="0"/>
          <w:type w:val="continuous"/>
        </w:sectPr>
      </w:pPr>
    </w:p>
    <w:bookmarkStart w:id="245" w:name="page246"/>
    <w:bookmarkEnd w:id="245"/>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$5.7 million. No shares remain available for sale under the Equity Distribution Agreement.</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On November 8, 2022, the Company also entered into the 2022 Subscription Agreement, pursuant to which Ayar agreed to purchase from the Company, up to $915.0 million of shares of its common stock in one or more private placements through March 31, 2023. During the year ended December 31, 2022, the Company issued 85,712,679 shares to Ayar pursuant to the 2022 Subscription Agreement at a weighted average price per share of $10.68, and received aggregate proceeds of $915.0 million.</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On May 31, 2023, the Company entered into the 2023 Underwriting Agreement with the Underwriter, under which the Underwriter agreed to purchase 173,544,948 shares of the Company’s common stock at a price per share of $6.83, for aggregate net proceeds to the Company of $1.2 billion. In June 2023, the Company issued the shares to the Underwriter pursuant to the 2023 Underwriting Agreement and received aggregate net proceeds of $1.2 billion after deducting issuance costs of $1.1 million.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On May 31, 2023, the Company entered into the 2023 Subscription Agreement with Ayar, pursuant to which Ayar agreed to purchase from the Company 265,693,703 shares of the Company’s common stock at a price per share of $6.83 in a private placement for aggregate net proceeds to the Company of $1.8 billion. In June 2023, the Company issued the shares to Ayar pursuant to the 2023 Subscription Agreement and received aggregate net proceeds of $1.8 billion after deducting issuance costs of $2.0 million.</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16, 2024, the Company entered into the 2024 Underwriting Agreement with the Underwriter, under which the Underwriter agreed to purchase 262,446,931 shares of the Company’s common stock. The Company also granted the Underwriter an Overallotment Option to purchase additional shares. On October 17, 2024, the Underwriter exercised the Overallotment Option to purchase an additional 15,037,594 shares. On October 18, 2024, the Company completed the public offering pursuant to the 2024 Underwriting Agreement at a price per share of $2.59, and received aggregate net proceeds of $718.4 million after deducting issuance costs of $0.6 million.</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16, 2024, the Company entered into the 2024 Subscription Agreement with Ayar, pursuant to which Ayar agreed to purchase from the Company 374,717,927 shares of the Company’s common stock. In addition, given the Underwriter’s exercise of the Overallotment Option,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Issuance costs incurred were recorded as a reduction of the gross proceeds received from the equity offerings within additional paid-in capital in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Treasury Stock</w:t>
      </w:r>
    </w:p>
    <w:p>
      <w:pPr>
        <w:spacing w:after="0" w:line="250" w:lineRule="exact"/>
        <w:rPr>
          <w:sz w:val="20"/>
          <w:szCs w:val="20"/>
          <w:color w:val="auto"/>
        </w:rPr>
      </w:pPr>
    </w:p>
    <w:p>
      <w:pPr>
        <w:jc w:val="both"/>
        <w:ind w:right="80"/>
        <w:spacing w:after="0" w:line="271" w:lineRule="auto"/>
        <w:rPr>
          <w:sz w:val="20"/>
          <w:szCs w:val="20"/>
          <w:color w:val="auto"/>
        </w:rPr>
      </w:pPr>
      <w:r>
        <w:rPr>
          <w:rFonts w:ascii="Arial" w:cs="Arial" w:eastAsia="Arial" w:hAnsi="Arial"/>
          <w:sz w:val="19"/>
          <w:szCs w:val="19"/>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years ended December 31, 2024 and 2023.</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Reserved for Issuance</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Company’s common stock reserved for future issuances as of December 31, 2024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2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5"/>
                <w:szCs w:val="15"/>
                <w:b w:val="1"/>
                <w:bCs w:val="1"/>
                <w:color w:val="auto"/>
              </w:rPr>
              <w:t>December 31,</w:t>
            </w:r>
          </w:p>
        </w:tc>
      </w:tr>
      <w:tr>
        <w:trPr>
          <w:trHeight w:val="205"/>
        </w:trPr>
        <w:tc>
          <w:tcPr>
            <w:tcW w:w="982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2024</w:t>
            </w:r>
          </w:p>
        </w:tc>
      </w:tr>
      <w:tr>
        <w:trPr>
          <w:trHeight w:val="264"/>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Private Placement Warrants to purchase common stock</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44,350,000</w:t>
            </w:r>
          </w:p>
        </w:tc>
      </w:tr>
      <w:tr>
        <w:trPr>
          <w:trHeight w:val="268"/>
        </w:trPr>
        <w:tc>
          <w:tcPr>
            <w:tcW w:w="9820" w:type="dxa"/>
            <w:vAlign w:val="bottom"/>
          </w:tcPr>
          <w:p>
            <w:pPr>
              <w:ind w:left="60"/>
              <w:spacing w:after="0"/>
              <w:rPr>
                <w:sz w:val="20"/>
                <w:szCs w:val="20"/>
                <w:color w:val="auto"/>
              </w:rPr>
            </w:pPr>
            <w:r>
              <w:rPr>
                <w:rFonts w:ascii="Arial" w:cs="Arial" w:eastAsia="Arial" w:hAnsi="Arial"/>
                <w:sz w:val="19"/>
                <w:szCs w:val="19"/>
                <w:color w:val="auto"/>
              </w:rPr>
              <w:t>Stock options outstanding</w:t>
            </w:r>
          </w:p>
        </w:tc>
        <w:tc>
          <w:tcPr>
            <w:tcW w:w="1260" w:type="dxa"/>
            <w:vAlign w:val="bottom"/>
          </w:tcPr>
          <w:p>
            <w:pPr>
              <w:jc w:val="right"/>
              <w:spacing w:after="0"/>
              <w:rPr>
                <w:sz w:val="20"/>
                <w:szCs w:val="20"/>
                <w:color w:val="auto"/>
              </w:rPr>
            </w:pPr>
            <w:r>
              <w:rPr>
                <w:rFonts w:ascii="Arial" w:cs="Arial" w:eastAsia="Arial" w:hAnsi="Arial"/>
                <w:sz w:val="19"/>
                <w:szCs w:val="19"/>
                <w:color w:val="auto"/>
              </w:rPr>
              <w:t>26,894,103</w:t>
            </w:r>
          </w:p>
        </w:tc>
      </w:tr>
      <w:tr>
        <w:trPr>
          <w:trHeight w:val="280"/>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Restricted stock units outstanding</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103,965,469</w:t>
            </w:r>
          </w:p>
        </w:tc>
      </w:tr>
      <w:tr>
        <w:trPr>
          <w:trHeight w:val="268"/>
        </w:trPr>
        <w:tc>
          <w:tcPr>
            <w:tcW w:w="9820" w:type="dxa"/>
            <w:vAlign w:val="bottom"/>
          </w:tcPr>
          <w:p>
            <w:pPr>
              <w:ind w:left="60"/>
              <w:spacing w:after="0"/>
              <w:rPr>
                <w:sz w:val="20"/>
                <w:szCs w:val="20"/>
                <w:color w:val="auto"/>
              </w:rPr>
            </w:pPr>
            <w:r>
              <w:rPr>
                <w:rFonts w:ascii="Arial" w:cs="Arial" w:eastAsia="Arial" w:hAnsi="Arial"/>
                <w:sz w:val="19"/>
                <w:szCs w:val="19"/>
                <w:color w:val="auto"/>
              </w:rPr>
              <w:t>Shares available for future grants under equity plans</w:t>
            </w:r>
          </w:p>
        </w:tc>
        <w:tc>
          <w:tcPr>
            <w:tcW w:w="1260" w:type="dxa"/>
            <w:vAlign w:val="bottom"/>
          </w:tcPr>
          <w:p>
            <w:pPr>
              <w:jc w:val="right"/>
              <w:spacing w:after="0"/>
              <w:rPr>
                <w:sz w:val="20"/>
                <w:szCs w:val="20"/>
                <w:color w:val="auto"/>
              </w:rPr>
            </w:pPr>
            <w:r>
              <w:rPr>
                <w:rFonts w:ascii="Arial" w:cs="Arial" w:eastAsia="Arial" w:hAnsi="Arial"/>
                <w:sz w:val="19"/>
                <w:szCs w:val="19"/>
                <w:color w:val="auto"/>
              </w:rPr>
              <w:t>45,196,984</w:t>
            </w:r>
          </w:p>
        </w:tc>
      </w:tr>
      <w:tr>
        <w:trPr>
          <w:trHeight w:val="280"/>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If-converted common shares from convertible note</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36,737,785</w:t>
            </w:r>
          </w:p>
        </w:tc>
      </w:tr>
      <w:tr>
        <w:trPr>
          <w:trHeight w:val="268"/>
        </w:trPr>
        <w:tc>
          <w:tcPr>
            <w:tcW w:w="9820" w:type="dxa"/>
            <w:vAlign w:val="bottom"/>
          </w:tcPr>
          <w:p>
            <w:pPr>
              <w:ind w:left="60"/>
              <w:spacing w:after="0"/>
              <w:rPr>
                <w:sz w:val="20"/>
                <w:szCs w:val="20"/>
                <w:color w:val="auto"/>
              </w:rPr>
            </w:pPr>
            <w:r>
              <w:rPr>
                <w:rFonts w:ascii="Arial" w:cs="Arial" w:eastAsia="Arial" w:hAnsi="Arial"/>
                <w:sz w:val="19"/>
                <w:szCs w:val="19"/>
                <w:color w:val="auto"/>
              </w:rPr>
              <w:t>If-converted common shares from Series A redeemable convertible preferred stock</w:t>
            </w:r>
          </w:p>
        </w:tc>
        <w:tc>
          <w:tcPr>
            <w:tcW w:w="1260" w:type="dxa"/>
            <w:vAlign w:val="bottom"/>
          </w:tcPr>
          <w:p>
            <w:pPr>
              <w:jc w:val="right"/>
              <w:spacing w:after="0"/>
              <w:rPr>
                <w:sz w:val="20"/>
                <w:szCs w:val="20"/>
                <w:color w:val="auto"/>
              </w:rPr>
            </w:pPr>
            <w:r>
              <w:rPr>
                <w:rFonts w:ascii="Arial" w:cs="Arial" w:eastAsia="Arial" w:hAnsi="Arial"/>
                <w:sz w:val="19"/>
                <w:szCs w:val="19"/>
                <w:color w:val="auto"/>
              </w:rPr>
              <w:t>297,567,387</w:t>
            </w:r>
          </w:p>
        </w:tc>
      </w:tr>
      <w:tr>
        <w:trPr>
          <w:trHeight w:val="289"/>
        </w:trPr>
        <w:tc>
          <w:tcPr>
            <w:tcW w:w="98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If-converted common shares from Series B redeemable convertible preferred stock</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177,103,144</w:t>
            </w:r>
          </w:p>
        </w:tc>
      </w:tr>
      <w:tr>
        <w:trPr>
          <w:trHeight w:val="253"/>
        </w:trPr>
        <w:tc>
          <w:tcPr>
            <w:tcW w:w="9820" w:type="dxa"/>
            <w:vAlign w:val="bottom"/>
          </w:tcPr>
          <w:p>
            <w:pPr>
              <w:ind w:left="60"/>
              <w:spacing w:after="0" w:line="216" w:lineRule="exact"/>
              <w:rPr>
                <w:sz w:val="20"/>
                <w:szCs w:val="20"/>
                <w:color w:val="auto"/>
              </w:rPr>
            </w:pPr>
            <w:r>
              <w:rPr>
                <w:rFonts w:ascii="Arial" w:cs="Arial" w:eastAsia="Arial" w:hAnsi="Arial"/>
                <w:sz w:val="19"/>
                <w:szCs w:val="19"/>
                <w:color w:val="auto"/>
              </w:rPr>
              <w:t>Total shares of common stock reserved</w:t>
            </w:r>
          </w:p>
        </w:tc>
        <w:tc>
          <w:tcPr>
            <w:tcW w:w="1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731,814,872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-1421130</wp:posOffset>
            </wp:positionV>
            <wp:extent cx="82169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83">
                      <a:extLst>
                        <a:ext uri="{28A0092B-C50C-407E-A947-70E740481C1C}"/>
                      </a:extLst>
                    </a:blip>
                    <a:srcRect/>
                    <a:stretch>
                      <a:fillRect/>
                    </a:stretch>
                  </pic:blipFill>
                  <pic:spPr bwMode="auto">
                    <a:xfrm>
                      <a:off x="0" y="0"/>
                      <a:ext cx="821690"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-204470</wp:posOffset>
            </wp:positionV>
            <wp:extent cx="82169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4">
                      <a:extLst>
                        <a:ext uri="{28A0092B-C50C-407E-A947-70E740481C1C}"/>
                      </a:extLst>
                    </a:blip>
                    <a:srcRect/>
                    <a:stretch>
                      <a:fillRect/>
                    </a:stretch>
                  </pic:blipFill>
                  <pic:spPr bwMode="auto">
                    <a:xfrm>
                      <a:off x="0" y="0"/>
                      <a:ext cx="821690"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-42545</wp:posOffset>
            </wp:positionV>
            <wp:extent cx="821690"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85">
                      <a:extLst>
                        <a:ext uri="{28A0092B-C50C-407E-A947-70E740481C1C}"/>
                      </a:extLst>
                    </a:blip>
                    <a:srcRect/>
                    <a:stretch>
                      <a:fillRect/>
                    </a:stretch>
                  </pic:blipFill>
                  <pic:spPr bwMode="auto">
                    <a:xfrm>
                      <a:off x="0" y="0"/>
                      <a:ext cx="821690" cy="49530"/>
                    </a:xfrm>
                    <a:prstGeom prst="rect">
                      <a:avLst/>
                    </a:prstGeom>
                    <a:noFill/>
                  </pic:spPr>
                </pic:pic>
              </a:graphicData>
            </a:graphic>
          </wp:anchor>
        </w:drawing>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1080"/>
          </w:cols>
          <w:pgMar w:left="400" w:top="755" w:right="400" w:bottom="0" w:gutter="0" w:footer="0" w:header="0"/>
          <w:type w:val="continuous"/>
        </w:sectPr>
      </w:pPr>
    </w:p>
    <w:bookmarkStart w:id="246" w:name="page247"/>
    <w:bookmarkEnd w:id="246"/>
    <w:p>
      <w:pPr>
        <w:spacing w:after="0"/>
        <w:rPr>
          <w:sz w:val="20"/>
          <w:szCs w:val="20"/>
          <w:color w:val="auto"/>
        </w:rPr>
      </w:pPr>
      <w:r>
        <w:rPr>
          <w:rFonts w:ascii="Arial" w:cs="Arial" w:eastAsia="Arial" w:hAnsi="Arial"/>
          <w:sz w:val="19"/>
          <w:szCs w:val="19"/>
          <w:b w:val="1"/>
          <w:bCs w:val="1"/>
          <w:color w:val="auto"/>
        </w:rPr>
        <w:t>NOTE 10 – STOCK-BASED AWARDS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Lucid 2021 Incentive Plan and ESPP</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In July 2021, the Company’s Board of Directors adopted and the stockholders approved the 2021 Incentive Plan (the “2021 Incentive Plan”), which includes an ESPP as an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91" w:lineRule="exact"/>
        <w:rPr>
          <w:sz w:val="20"/>
          <w:szCs w:val="20"/>
          <w:color w:val="auto"/>
        </w:rPr>
      </w:pPr>
    </w:p>
    <w:p>
      <w:pPr>
        <w:ind w:right="720"/>
        <w:spacing w:after="0" w:line="289" w:lineRule="auto"/>
        <w:rPr>
          <w:sz w:val="20"/>
          <w:szCs w:val="20"/>
          <w:color w:val="auto"/>
        </w:rPr>
      </w:pPr>
      <w:r>
        <w:rPr>
          <w:rFonts w:ascii="Arial" w:cs="Arial" w:eastAsia="Arial" w:hAnsi="Arial"/>
          <w:sz w:val="19"/>
          <w:szCs w:val="19"/>
          <w:color w:val="auto"/>
        </w:rPr>
        <w:t>The Company had 45,196,984 shares of common stock available for issuance under the 2021 Incentive Plan, including the ESPP, as of December 31, 2024.</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Options</w:t>
      </w:r>
    </w:p>
    <w:p>
      <w:pPr>
        <w:spacing w:after="0" w:line="250" w:lineRule="exact"/>
        <w:rPr>
          <w:sz w:val="20"/>
          <w:szCs w:val="20"/>
          <w:color w:val="auto"/>
        </w:rPr>
      </w:pPr>
    </w:p>
    <w:p>
      <w:pPr>
        <w:ind w:right="220"/>
        <w:spacing w:after="0" w:line="265" w:lineRule="auto"/>
        <w:rPr>
          <w:sz w:val="20"/>
          <w:szCs w:val="20"/>
          <w:color w:val="auto"/>
        </w:rPr>
      </w:pPr>
      <w:r>
        <w:rPr>
          <w:rFonts w:ascii="Arial" w:cs="Arial" w:eastAsia="Arial" w:hAnsi="Arial"/>
          <w:sz w:val="19"/>
          <w:szCs w:val="19"/>
          <w:color w:val="auto"/>
        </w:rPr>
        <w:t>The Company’s outstanding stock options generally expire between 7 years to 10 years from the date of grant and are exercisable when the options vest. In general, incentive stock options and non-statutory options vest over four years, the majority of which vest at a rate of 25% on the first anniversary of the grant date, with the remainder vesting ratably each month over the next three years. A summary of stock option activity for the year ended December 31, 2024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5"/>
                <w:szCs w:val="15"/>
                <w:b w:val="1"/>
                <w:bCs w:val="1"/>
                <w:color w:val="auto"/>
              </w:rPr>
              <w:t>Outstanding Options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1"/>
        </w:trPr>
        <w:tc>
          <w:tcPr>
            <w:tcW w:w="5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30"/>
              <w:spacing w:after="0" w:line="161" w:lineRule="exact"/>
              <w:rPr>
                <w:sz w:val="20"/>
                <w:szCs w:val="20"/>
                <w:color w:val="auto"/>
              </w:rPr>
            </w:pPr>
            <w:r>
              <w:rPr>
                <w:rFonts w:ascii="Arial" w:cs="Arial" w:eastAsia="Arial" w:hAnsi="Arial"/>
                <w:sz w:val="15"/>
                <w:szCs w:val="15"/>
                <w:b w:val="1"/>
                <w:bCs w:val="1"/>
                <w:color w:val="auto"/>
                <w:w w:val="94"/>
              </w:rPr>
              <w:t>Weighted</w:t>
            </w:r>
          </w:p>
        </w:tc>
        <w:tc>
          <w:tcPr>
            <w:tcW w:w="60" w:type="dxa"/>
            <w:vAlign w:val="bottom"/>
          </w:tcPr>
          <w:p>
            <w:pPr>
              <w:spacing w:after="0"/>
              <w:rPr>
                <w:sz w:val="13"/>
                <w:szCs w:val="13"/>
                <w:color w:val="auto"/>
              </w:rPr>
            </w:pPr>
          </w:p>
        </w:tc>
        <w:tc>
          <w:tcPr>
            <w:tcW w:w="18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2"/>
              </w:rPr>
              <w:t>Weighted-Average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2"/>
        </w:trPr>
        <w:tc>
          <w:tcPr>
            <w:tcW w:w="5240" w:type="dxa"/>
            <w:vAlign w:val="bottom"/>
          </w:tcPr>
          <w:p>
            <w:pPr>
              <w:spacing w:after="0"/>
              <w:rPr>
                <w:sz w:val="14"/>
                <w:szCs w:val="14"/>
                <w:color w:val="auto"/>
              </w:rPr>
            </w:pPr>
          </w:p>
        </w:tc>
        <w:tc>
          <w:tcPr>
            <w:tcW w:w="1160" w:type="dxa"/>
            <w:vAlign w:val="bottom"/>
          </w:tcPr>
          <w:p>
            <w:pPr>
              <w:jc w:val="right"/>
              <w:ind w:right="129"/>
              <w:spacing w:after="0"/>
              <w:rPr>
                <w:sz w:val="20"/>
                <w:szCs w:val="20"/>
                <w:color w:val="auto"/>
              </w:rPr>
            </w:pPr>
            <w:r>
              <w:rPr>
                <w:rFonts w:ascii="Arial" w:cs="Arial" w:eastAsia="Arial" w:hAnsi="Arial"/>
                <w:sz w:val="15"/>
                <w:szCs w:val="15"/>
                <w:b w:val="1"/>
                <w:bCs w:val="1"/>
                <w:color w:val="auto"/>
              </w:rPr>
              <w:t>Number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10"/>
              <w:spacing w:after="0"/>
              <w:rPr>
                <w:sz w:val="20"/>
                <w:szCs w:val="20"/>
                <w:color w:val="auto"/>
              </w:rPr>
            </w:pPr>
            <w:r>
              <w:rPr>
                <w:rFonts w:ascii="Arial" w:cs="Arial" w:eastAsia="Arial" w:hAnsi="Arial"/>
                <w:sz w:val="15"/>
                <w:szCs w:val="15"/>
                <w:b w:val="1"/>
                <w:bCs w:val="1"/>
                <w:color w:val="auto"/>
                <w:w w:val="91"/>
              </w:rPr>
              <w:t>Average</w:t>
            </w:r>
          </w:p>
        </w:tc>
        <w:tc>
          <w:tcPr>
            <w:tcW w:w="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3"/>
              </w:rPr>
              <w:t>Remaining Contractual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92"/>
              <w:spacing w:after="0"/>
              <w:rPr>
                <w:sz w:val="20"/>
                <w:szCs w:val="20"/>
                <w:color w:val="auto"/>
              </w:rPr>
            </w:pPr>
            <w:r>
              <w:rPr>
                <w:rFonts w:ascii="Arial" w:cs="Arial" w:eastAsia="Arial" w:hAnsi="Arial"/>
                <w:sz w:val="15"/>
                <w:szCs w:val="15"/>
                <w:b w:val="1"/>
                <w:bCs w:val="1"/>
                <w:color w:val="auto"/>
                <w:w w:val="99"/>
              </w:rPr>
              <w:t>Intrinsic Value</w:t>
            </w:r>
          </w:p>
        </w:tc>
      </w:tr>
      <w:tr>
        <w:trPr>
          <w:trHeight w:val="209"/>
        </w:trPr>
        <w:tc>
          <w:tcPr>
            <w:tcW w:w="5240" w:type="dxa"/>
            <w:vAlign w:val="bottom"/>
            <w:tcBorders>
              <w:bottom w:val="single" w:sz="8" w:color="E6E6E6"/>
            </w:tcBorders>
          </w:tcPr>
          <w:p>
            <w:pPr>
              <w:spacing w:after="0"/>
              <w:rPr>
                <w:sz w:val="18"/>
                <w:szCs w:val="18"/>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b w:val="1"/>
                <w:bCs w:val="1"/>
                <w:color w:val="auto"/>
              </w:rPr>
              <w:t>Options</w:t>
            </w:r>
          </w:p>
        </w:tc>
        <w:tc>
          <w:tcPr>
            <w:tcW w:w="40" w:type="dxa"/>
            <w:vAlign w:val="bottom"/>
            <w:tcBorders>
              <w:bottom w:val="single" w:sz="8" w:color="E6E6E6"/>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Exercise Price</w:t>
            </w:r>
          </w:p>
        </w:tc>
        <w:tc>
          <w:tcPr>
            <w:tcW w:w="60" w:type="dxa"/>
            <w:vAlign w:val="bottom"/>
            <w:tcBorders>
              <w:bottom w:val="single" w:sz="8" w:color="E6E6E6"/>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Term</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b w:val="1"/>
                <w:bCs w:val="1"/>
                <w:color w:val="auto"/>
                <w:w w:val="96"/>
              </w:rPr>
              <w:t>(in thousands)</w:t>
            </w:r>
          </w:p>
        </w:tc>
      </w:tr>
      <w:tr>
        <w:trPr>
          <w:trHeight w:val="264"/>
        </w:trPr>
        <w:tc>
          <w:tcPr>
            <w:tcW w:w="5240" w:type="dxa"/>
            <w:vAlign w:val="bottom"/>
            <w:shd w:val="clear" w:color="auto" w:fill="E6E6E6"/>
          </w:tcPr>
          <w:p>
            <w:pPr>
              <w:ind w:left="60"/>
              <w:spacing w:after="0"/>
              <w:rPr>
                <w:sz w:val="20"/>
                <w:szCs w:val="20"/>
                <w:color w:val="auto"/>
              </w:rPr>
            </w:pPr>
            <w:r>
              <w:rPr>
                <w:rFonts w:ascii="Arial" w:cs="Arial" w:eastAsia="Arial" w:hAnsi="Arial"/>
                <w:sz w:val="19"/>
                <w:szCs w:val="19"/>
                <w:color w:val="auto"/>
              </w:rPr>
              <w:t>Balance as of December 31, 2023</w:t>
            </w: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32,911,135</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1.99</w:t>
            </w:r>
          </w:p>
        </w:tc>
        <w:tc>
          <w:tcPr>
            <w:tcW w:w="18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5.5</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91,785</w:t>
            </w:r>
          </w:p>
        </w:tc>
      </w:tr>
      <w:tr>
        <w:trPr>
          <w:trHeight w:val="268"/>
        </w:trPr>
        <w:tc>
          <w:tcPr>
            <w:tcW w:w="5240" w:type="dxa"/>
            <w:vAlign w:val="bottom"/>
          </w:tcPr>
          <w:p>
            <w:pPr>
              <w:ind w:left="180"/>
              <w:spacing w:after="0"/>
              <w:rPr>
                <w:sz w:val="20"/>
                <w:szCs w:val="20"/>
                <w:color w:val="auto"/>
              </w:rPr>
            </w:pPr>
            <w:r>
              <w:rPr>
                <w:rFonts w:ascii="Arial" w:cs="Arial" w:eastAsia="Arial" w:hAnsi="Arial"/>
                <w:sz w:val="19"/>
                <w:szCs w:val="19"/>
                <w:color w:val="auto"/>
              </w:rPr>
              <w:t>Options 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232,177</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3.99</w:t>
            </w:r>
          </w:p>
        </w:tc>
        <w:tc>
          <w:tcPr>
            <w:tcW w:w="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0"/>
        </w:trPr>
        <w:tc>
          <w:tcPr>
            <w:tcW w:w="5240" w:type="dxa"/>
            <w:vAlign w:val="bottom"/>
            <w:shd w:val="clear" w:color="auto" w:fill="E6E6E6"/>
          </w:tcPr>
          <w:p>
            <w:pPr>
              <w:ind w:left="180"/>
              <w:spacing w:after="0"/>
              <w:rPr>
                <w:sz w:val="20"/>
                <w:szCs w:val="20"/>
                <w:color w:val="auto"/>
              </w:rPr>
            </w:pPr>
            <w:r>
              <w:rPr>
                <w:rFonts w:ascii="Arial" w:cs="Arial" w:eastAsia="Arial" w:hAnsi="Arial"/>
                <w:sz w:val="19"/>
                <w:szCs w:val="19"/>
                <w:color w:val="auto"/>
              </w:rPr>
              <w:t>Options exercised</w:t>
            </w: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(4,513,606)</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1.08</w:t>
            </w:r>
          </w:p>
        </w:tc>
        <w:tc>
          <w:tcPr>
            <w:tcW w:w="60" w:type="dxa"/>
            <w:vAlign w:val="bottom"/>
            <w:shd w:val="clear" w:color="auto" w:fill="E6E6E6"/>
          </w:tcPr>
          <w:p>
            <w:pPr>
              <w:spacing w:after="0"/>
              <w:rPr>
                <w:sz w:val="24"/>
                <w:szCs w:val="24"/>
                <w:color w:val="auto"/>
              </w:rPr>
            </w:pPr>
          </w:p>
        </w:tc>
        <w:tc>
          <w:tcPr>
            <w:tcW w:w="1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r>
      <w:tr>
        <w:trPr>
          <w:trHeight w:val="263"/>
        </w:trPr>
        <w:tc>
          <w:tcPr>
            <w:tcW w:w="5240" w:type="dxa"/>
            <w:vAlign w:val="bottom"/>
            <w:tcBorders>
              <w:bottom w:val="single" w:sz="8" w:color="E6E6E6"/>
            </w:tcBorders>
          </w:tcPr>
          <w:p>
            <w:pPr>
              <w:ind w:left="180"/>
              <w:spacing w:after="0"/>
              <w:rPr>
                <w:sz w:val="20"/>
                <w:szCs w:val="20"/>
                <w:color w:val="auto"/>
              </w:rPr>
            </w:pPr>
            <w:r>
              <w:rPr>
                <w:rFonts w:ascii="Arial" w:cs="Arial" w:eastAsia="Arial" w:hAnsi="Arial"/>
                <w:sz w:val="19"/>
                <w:szCs w:val="19"/>
                <w:color w:val="auto"/>
              </w:rPr>
              <w:t>Options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(1,735,603)</w:t>
            </w:r>
          </w:p>
        </w:tc>
        <w:tc>
          <w:tcPr>
            <w:tcW w:w="40" w:type="dxa"/>
            <w:vAlign w:val="bottom"/>
            <w:tcBorders>
              <w:bottom w:val="single" w:sz="8" w:color="E6E6E6"/>
            </w:tcBorders>
          </w:tcPr>
          <w:p>
            <w:pPr>
              <w:spacing w:after="0"/>
              <w:rPr>
                <w:sz w:val="22"/>
                <w:szCs w:val="22"/>
                <w:color w:val="auto"/>
              </w:rPr>
            </w:pPr>
          </w:p>
        </w:tc>
        <w:tc>
          <w:tcPr>
            <w:tcW w:w="220" w:type="dxa"/>
            <w:vAlign w:val="bottom"/>
            <w:tcBorders>
              <w:bottom w:val="single" w:sz="8" w:color="E6E6E6"/>
            </w:tcBorders>
          </w:tcPr>
          <w:p>
            <w:pPr>
              <w:spacing w:after="0"/>
              <w:rPr>
                <w:sz w:val="22"/>
                <w:szCs w:val="22"/>
                <w:color w:val="auto"/>
              </w:rPr>
            </w:pPr>
          </w:p>
        </w:tc>
        <w:tc>
          <w:tcPr>
            <w:tcW w:w="940" w:type="dxa"/>
            <w:vAlign w:val="bottom"/>
            <w:tcBorders>
              <w:bottom w:val="single" w:sz="8" w:color="E6E6E6"/>
            </w:tcBorders>
          </w:tcPr>
          <w:p>
            <w:pPr>
              <w:jc w:val="right"/>
              <w:spacing w:after="0"/>
              <w:rPr>
                <w:sz w:val="20"/>
                <w:szCs w:val="20"/>
                <w:color w:val="auto"/>
              </w:rPr>
            </w:pPr>
            <w:r>
              <w:rPr>
                <w:rFonts w:ascii="Arial" w:cs="Arial" w:eastAsia="Arial" w:hAnsi="Arial"/>
                <w:sz w:val="19"/>
                <w:szCs w:val="19"/>
                <w:color w:val="auto"/>
              </w:rPr>
              <w:t>7.01</w:t>
            </w:r>
          </w:p>
        </w:tc>
        <w:tc>
          <w:tcPr>
            <w:tcW w:w="60" w:type="dxa"/>
            <w:vAlign w:val="bottom"/>
            <w:tcBorders>
              <w:bottom w:val="single" w:sz="8" w:color="E6E6E6"/>
            </w:tcBorders>
          </w:tcPr>
          <w:p>
            <w:pPr>
              <w:spacing w:after="0"/>
              <w:rPr>
                <w:sz w:val="22"/>
                <w:szCs w:val="22"/>
                <w:color w:val="auto"/>
              </w:rPr>
            </w:pPr>
          </w:p>
        </w:tc>
        <w:tc>
          <w:tcPr>
            <w:tcW w:w="18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E6E6E6"/>
            </w:tcBorders>
          </w:tcPr>
          <w:p>
            <w:pPr>
              <w:spacing w:after="0"/>
              <w:rPr>
                <w:sz w:val="22"/>
                <w:szCs w:val="22"/>
                <w:color w:val="auto"/>
              </w:rPr>
            </w:pPr>
          </w:p>
        </w:tc>
        <w:tc>
          <w:tcPr>
            <w:tcW w:w="1320" w:type="dxa"/>
            <w:vAlign w:val="bottom"/>
            <w:tcBorders>
              <w:bottom w:val="single" w:sz="8" w:color="E6E6E6"/>
            </w:tcBorders>
          </w:tcPr>
          <w:p>
            <w:pPr>
              <w:spacing w:after="0"/>
              <w:rPr>
                <w:sz w:val="22"/>
                <w:szCs w:val="22"/>
                <w:color w:val="auto"/>
              </w:rPr>
            </w:pPr>
          </w:p>
        </w:tc>
      </w:tr>
      <w:tr>
        <w:trPr>
          <w:trHeight w:val="273"/>
        </w:trPr>
        <w:tc>
          <w:tcPr>
            <w:tcW w:w="52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Balance as of December 31, 2024</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26,894,103</w:t>
            </w:r>
          </w:p>
        </w:tc>
        <w:tc>
          <w:tcPr>
            <w:tcW w:w="2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1.84</w:t>
            </w:r>
          </w:p>
        </w:tc>
        <w:tc>
          <w:tcPr>
            <w:tcW w:w="18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4.4</w:t>
            </w:r>
          </w:p>
        </w:tc>
        <w:tc>
          <w:tcPr>
            <w:tcW w:w="28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48,886</w:t>
            </w:r>
          </w:p>
        </w:tc>
      </w:tr>
      <w:tr>
        <w:trPr>
          <w:trHeight w:val="216"/>
        </w:trPr>
        <w:tc>
          <w:tcPr>
            <w:tcW w:w="5240" w:type="dxa"/>
            <w:vAlign w:val="bottom"/>
          </w:tcPr>
          <w:p>
            <w:pPr>
              <w:ind w:left="60"/>
              <w:spacing w:after="0" w:line="216" w:lineRule="exact"/>
              <w:rPr>
                <w:sz w:val="20"/>
                <w:szCs w:val="20"/>
                <w:color w:val="auto"/>
              </w:rPr>
            </w:pPr>
            <w:r>
              <w:rPr>
                <w:rFonts w:ascii="Arial" w:cs="Arial" w:eastAsia="Arial" w:hAnsi="Arial"/>
                <w:sz w:val="19"/>
                <w:szCs w:val="19"/>
                <w:color w:val="auto"/>
              </w:rPr>
              <w:t>Options vested and exercisable as of December 31, 2024</w:t>
            </w:r>
          </w:p>
        </w:tc>
        <w:tc>
          <w:tcPr>
            <w:tcW w:w="1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24,696,617</w:t>
            </w:r>
          </w:p>
        </w:tc>
        <w:tc>
          <w:tcPr>
            <w:tcW w:w="2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1.37</w:t>
            </w:r>
          </w:p>
        </w:tc>
        <w:tc>
          <w:tcPr>
            <w:tcW w:w="18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4.2</w:t>
            </w:r>
          </w:p>
        </w:tc>
        <w:tc>
          <w:tcPr>
            <w:tcW w:w="28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1320" w:type="dxa"/>
            <w:vAlign w:val="bottom"/>
          </w:tcPr>
          <w:p>
            <w:pPr>
              <w:jc w:val="right"/>
              <w:spacing w:after="0" w:line="216" w:lineRule="exact"/>
              <w:rPr>
                <w:sz w:val="20"/>
                <w:szCs w:val="20"/>
                <w:color w:val="auto"/>
              </w:rPr>
            </w:pPr>
            <w:r>
              <w:rPr>
                <w:rFonts w:ascii="Arial" w:cs="Arial" w:eastAsia="Arial" w:hAnsi="Arial"/>
                <w:sz w:val="19"/>
                <w:szCs w:val="19"/>
                <w:color w:val="auto"/>
              </w:rPr>
              <w:t>48,883</w:t>
            </w:r>
          </w:p>
        </w:tc>
      </w:tr>
      <w:tr>
        <w:trPr>
          <w:trHeight w:val="20"/>
        </w:trPr>
        <w:tc>
          <w:tcPr>
            <w:tcW w:w="5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-1073150</wp:posOffset>
            </wp:positionV>
            <wp:extent cx="373126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86">
                      <a:extLst>
                        <a:ext uri="{28A0092B-C50C-407E-A947-70E740481C1C}"/>
                      </a:extLst>
                    </a:blip>
                    <a:srcRect/>
                    <a:stretch>
                      <a:fillRect/>
                    </a:stretch>
                  </pic:blipFill>
                  <pic:spPr bwMode="auto">
                    <a:xfrm>
                      <a:off x="0" y="0"/>
                      <a:ext cx="3731260" cy="2540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-377825</wp:posOffset>
            </wp:positionV>
            <wp:extent cx="75755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87">
                      <a:extLst>
                        <a:ext uri="{28A0092B-C50C-407E-A947-70E740481C1C}"/>
                      </a:extLst>
                    </a:blip>
                    <a:srcRect/>
                    <a:stretch>
                      <a:fillRect/>
                    </a:stretch>
                  </pic:blipFill>
                  <pic:spPr bwMode="auto">
                    <a:xfrm>
                      <a:off x="0" y="0"/>
                      <a:ext cx="757555" cy="2540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-216535</wp:posOffset>
            </wp:positionV>
            <wp:extent cx="757555" cy="495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88">
                      <a:extLst>
                        <a:ext uri="{28A0092B-C50C-407E-A947-70E740481C1C}"/>
                      </a:extLst>
                    </a:blip>
                    <a:srcRect/>
                    <a:stretch>
                      <a:fillRect/>
                    </a:stretch>
                  </pic:blipFill>
                  <pic:spPr bwMode="auto">
                    <a:xfrm>
                      <a:off x="0" y="0"/>
                      <a:ext cx="757555" cy="49530"/>
                    </a:xfrm>
                    <a:prstGeom prst="rect">
                      <a:avLst/>
                    </a:prstGeom>
                    <a:noFill/>
                  </pic:spPr>
                </pic:pic>
              </a:graphicData>
            </a:graphic>
          </wp:anchor>
        </w:drawing>
      </w:r>
    </w:p>
    <w:p>
      <w:pPr>
        <w:spacing w:after="0" w:line="217" w:lineRule="exact"/>
        <w:rPr>
          <w:sz w:val="20"/>
          <w:szCs w:val="20"/>
          <w:color w:val="auto"/>
        </w:rPr>
      </w:pPr>
    </w:p>
    <w:p>
      <w:pPr>
        <w:ind w:right="20"/>
        <w:spacing w:after="0" w:line="317" w:lineRule="auto"/>
        <w:rPr>
          <w:sz w:val="20"/>
          <w:szCs w:val="20"/>
          <w:color w:val="auto"/>
        </w:rPr>
      </w:pPr>
      <w:r>
        <w:rPr>
          <w:rFonts w:ascii="Arial" w:cs="Arial" w:eastAsia="Arial" w:hAnsi="Arial"/>
          <w:sz w:val="17"/>
          <w:szCs w:val="17"/>
          <w:color w:val="auto"/>
        </w:rPr>
        <w:t>The weighted-average grant-date fair value for options granted for the year ended December 31, 2024 was $1.80. Aggregate intrinsic value represents the difference between the exercise price of the options and the fair value of common shares. The aggregate intrinsic value of options exercised was $8.4 million, $50.1 million and $475.5 million for the years ended December 31, 2024, 2023 and 2022, respectively.</w:t>
      </w:r>
    </w:p>
    <w:p>
      <w:pPr>
        <w:spacing w:after="0" w:line="148"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The total fair value of stock options granted during the years ended December 31, 2024 and 2023 was $0.4 million and $17.4 million, respectively, which is recognized over the respective vesting periods. No stock options were granted during the year ended December 31, 2022. The total fair value of stock options vested during the years ended December 31, 2024, 2023 and 2022, was $4.9 million, $5.4 million and $5.5 million, respectively.</w:t>
      </w:r>
    </w:p>
    <w:p>
      <w:pPr>
        <w:spacing w:after="0" w:line="188"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weighted-average assumptions the Company utilized to record compensation expense for stock options granted during the years ended December 31, 2024 and 2023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Arial" w:cs="Arial" w:eastAsia="Arial" w:hAnsi="Arial"/>
                <w:sz w:val="15"/>
                <w:szCs w:val="15"/>
                <w:b w:val="1"/>
                <w:bCs w:val="1"/>
                <w:color w:val="auto"/>
              </w:rPr>
              <w:t>December 31,</w:t>
            </w:r>
          </w:p>
        </w:tc>
        <w:tc>
          <w:tcPr>
            <w:tcW w:w="6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5"/>
                <w:szCs w:val="15"/>
                <w:b w:val="1"/>
                <w:bCs w:val="1"/>
                <w:color w:val="auto"/>
              </w:rPr>
              <w:t>December 31,</w:t>
            </w:r>
          </w:p>
        </w:tc>
      </w:tr>
      <w:tr>
        <w:trPr>
          <w:trHeight w:val="205"/>
        </w:trPr>
        <w:tc>
          <w:tcPr>
            <w:tcW w:w="8620" w:type="dxa"/>
            <w:vAlign w:val="bottom"/>
            <w:tcBorders>
              <w:bottom w:val="single" w:sz="8" w:color="E6E6E6"/>
            </w:tcBorders>
          </w:tcPr>
          <w:p>
            <w:pPr>
              <w:spacing w:after="0"/>
              <w:rPr>
                <w:sz w:val="17"/>
                <w:szCs w:val="17"/>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r>
      <w:tr>
        <w:trPr>
          <w:trHeight w:val="264"/>
        </w:trPr>
        <w:tc>
          <w:tcPr>
            <w:tcW w:w="8620" w:type="dxa"/>
            <w:vAlign w:val="bottom"/>
            <w:shd w:val="clear" w:color="auto" w:fill="E6E6E6"/>
          </w:tcPr>
          <w:p>
            <w:pPr>
              <w:ind w:left="60"/>
              <w:spacing w:after="0"/>
              <w:rPr>
                <w:sz w:val="20"/>
                <w:szCs w:val="20"/>
                <w:color w:val="auto"/>
              </w:rPr>
            </w:pPr>
            <w:r>
              <w:rPr>
                <w:rFonts w:ascii="Arial" w:cs="Arial" w:eastAsia="Arial" w:hAnsi="Arial"/>
                <w:sz w:val="19"/>
                <w:szCs w:val="19"/>
                <w:color w:val="auto"/>
              </w:rPr>
              <w:t>Volatility</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85.0 %</w:t>
            </w:r>
          </w:p>
        </w:tc>
        <w:tc>
          <w:tcPr>
            <w:tcW w:w="1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83.9 %</w:t>
            </w:r>
          </w:p>
        </w:tc>
      </w:tr>
      <w:tr>
        <w:trPr>
          <w:trHeight w:val="268"/>
        </w:trPr>
        <w:tc>
          <w:tcPr>
            <w:tcW w:w="8620" w:type="dxa"/>
            <w:vAlign w:val="bottom"/>
          </w:tcPr>
          <w:p>
            <w:pPr>
              <w:ind w:left="60"/>
              <w:spacing w:after="0"/>
              <w:rPr>
                <w:sz w:val="20"/>
                <w:szCs w:val="20"/>
                <w:color w:val="auto"/>
              </w:rPr>
            </w:pPr>
            <w:r>
              <w:rPr>
                <w:rFonts w:ascii="Arial" w:cs="Arial" w:eastAsia="Arial" w:hAnsi="Arial"/>
                <w:sz w:val="19"/>
                <w:szCs w:val="19"/>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9"/>
                <w:szCs w:val="19"/>
                <w:color w:val="auto"/>
              </w:rPr>
              <w:t>5.2</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5.0</w:t>
            </w:r>
          </w:p>
        </w:tc>
      </w:tr>
      <w:tr>
        <w:trPr>
          <w:trHeight w:val="280"/>
        </w:trPr>
        <w:tc>
          <w:tcPr>
            <w:tcW w:w="86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Risk-free interest rate</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4.3 %</w:t>
            </w:r>
          </w:p>
        </w:tc>
        <w:tc>
          <w:tcPr>
            <w:tcW w:w="1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4.1 %</w:t>
            </w:r>
          </w:p>
        </w:tc>
      </w:tr>
      <w:tr>
        <w:trPr>
          <w:trHeight w:val="262"/>
        </w:trPr>
        <w:tc>
          <w:tcPr>
            <w:tcW w:w="8620" w:type="dxa"/>
            <w:vAlign w:val="bottom"/>
          </w:tcPr>
          <w:p>
            <w:pPr>
              <w:ind w:left="60"/>
              <w:spacing w:after="0"/>
              <w:rPr>
                <w:sz w:val="20"/>
                <w:szCs w:val="20"/>
                <w:color w:val="auto"/>
              </w:rPr>
            </w:pPr>
            <w:r>
              <w:rPr>
                <w:rFonts w:ascii="Arial" w:cs="Arial" w:eastAsia="Arial" w:hAnsi="Arial"/>
                <w:sz w:val="19"/>
                <w:szCs w:val="19"/>
                <w:color w:val="auto"/>
              </w:rPr>
              <w:t>Expected dividends</w:t>
            </w:r>
          </w:p>
        </w:tc>
        <w:tc>
          <w:tcPr>
            <w:tcW w:w="1200" w:type="dxa"/>
            <w:vAlign w:val="bottom"/>
          </w:tcPr>
          <w:p>
            <w:pPr>
              <w:jc w:val="right"/>
              <w:spacing w:after="0"/>
              <w:rPr>
                <w:sz w:val="20"/>
                <w:szCs w:val="20"/>
                <w:color w:val="auto"/>
              </w:rPr>
            </w:pPr>
            <w:r>
              <w:rPr>
                <w:rFonts w:ascii="Arial" w:cs="Arial" w:eastAsia="Arial" w:hAnsi="Arial"/>
                <w:sz w:val="19"/>
                <w:szCs w:val="19"/>
                <w:color w:val="auto"/>
              </w:rPr>
              <w:t>— %</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-699770</wp:posOffset>
            </wp:positionV>
            <wp:extent cx="15811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89">
                      <a:extLst>
                        <a:ext uri="{28A0092B-C50C-407E-A947-70E740481C1C}"/>
                      </a:extLst>
                    </a:blip>
                    <a:srcRect/>
                    <a:stretch>
                      <a:fillRect/>
                    </a:stretch>
                  </pic:blipFill>
                  <pic:spPr bwMode="auto">
                    <a:xfrm>
                      <a:off x="0" y="0"/>
                      <a:ext cx="1581150" cy="25400"/>
                    </a:xfrm>
                    <a:prstGeom prst="rect">
                      <a:avLst/>
                    </a:prstGeom>
                    <a:noFill/>
                  </pic:spPr>
                </pic:pic>
              </a:graphicData>
            </a:graphic>
          </wp:anchor>
        </w:drawing>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1080"/>
          </w:cols>
          <w:pgMar w:left="400" w:top="756" w:right="400" w:bottom="0" w:gutter="0" w:footer="0" w:header="0"/>
          <w:type w:val="continuous"/>
        </w:sectPr>
      </w:pPr>
    </w:p>
    <w:bookmarkStart w:id="247" w:name="page248"/>
    <w:bookmarkEnd w:id="247"/>
    <w:p>
      <w:pPr>
        <w:ind w:right="120"/>
        <w:spacing w:after="0" w:line="289" w:lineRule="auto"/>
        <w:rPr>
          <w:sz w:val="20"/>
          <w:szCs w:val="20"/>
          <w:color w:val="auto"/>
        </w:rPr>
      </w:pPr>
      <w:r>
        <w:rPr>
          <w:rFonts w:ascii="Arial" w:cs="Arial" w:eastAsia="Arial" w:hAnsi="Arial"/>
          <w:sz w:val="19"/>
          <w:szCs w:val="19"/>
          <w:color w:val="auto"/>
        </w:rPr>
        <w:t>As of December 31, 2024, unrecognized stock-based compensation cost related to outstanding unvested stock options that are expected to vest was $7.1 million and expected to be recognized over a weighted-average period of 2.5 years.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 (“RSUs”)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A summary of RSUs activity for the year ended December 31, 2024 was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5"/>
                <w:szCs w:val="15"/>
                <w:b w:val="1"/>
                <w:bCs w:val="1"/>
                <w:color w:val="auto"/>
              </w:rPr>
              <w:t>Restricted Stock Units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restart"/>
          </w:tcPr>
          <w:p>
            <w:pPr>
              <w:jc w:val="right"/>
              <w:ind w:right="149"/>
              <w:spacing w:after="0"/>
              <w:rPr>
                <w:sz w:val="20"/>
                <w:szCs w:val="20"/>
                <w:color w:val="auto"/>
              </w:rPr>
            </w:pPr>
            <w:r>
              <w:rPr>
                <w:rFonts w:ascii="Arial" w:cs="Arial" w:eastAsia="Arial" w:hAnsi="Arial"/>
                <w:sz w:val="15"/>
                <w:szCs w:val="15"/>
                <w:b w:val="1"/>
                <w:bCs w:val="1"/>
                <w:color w:val="auto"/>
              </w:rPr>
              <w:t>Time-Based</w:t>
            </w:r>
          </w:p>
        </w:tc>
        <w:tc>
          <w:tcPr>
            <w:tcW w:w="60" w:type="dxa"/>
            <w:vAlign w:val="bottom"/>
          </w:tcPr>
          <w:p>
            <w:pPr>
              <w:spacing w:after="0"/>
              <w:rPr>
                <w:sz w:val="13"/>
                <w:szCs w:val="13"/>
                <w:color w:val="auto"/>
              </w:rPr>
            </w:pPr>
          </w:p>
        </w:tc>
        <w:tc>
          <w:tcPr>
            <w:tcW w:w="1260" w:type="dxa"/>
            <w:vAlign w:val="bottom"/>
            <w:vMerge w:val="restart"/>
          </w:tcPr>
          <w:p>
            <w:pPr>
              <w:jc w:val="right"/>
              <w:ind w:right="95"/>
              <w:spacing w:after="0"/>
              <w:rPr>
                <w:sz w:val="20"/>
                <w:szCs w:val="20"/>
                <w:color w:val="auto"/>
              </w:rPr>
            </w:pPr>
            <w:r>
              <w:rPr>
                <w:rFonts w:ascii="Arial" w:cs="Arial" w:eastAsia="Arial" w:hAnsi="Arial"/>
                <w:sz w:val="15"/>
                <w:szCs w:val="15"/>
                <w:b w:val="1"/>
                <w:bCs w:val="1"/>
                <w:color w:val="auto"/>
              </w:rPr>
              <w:t>Performance-</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47"/>
              <w:spacing w:after="0" w:line="154" w:lineRule="exact"/>
              <w:rPr>
                <w:sz w:val="20"/>
                <w:szCs w:val="20"/>
                <w:color w:val="auto"/>
              </w:rPr>
            </w:pPr>
            <w:r>
              <w:rPr>
                <w:rFonts w:ascii="Arial" w:cs="Arial" w:eastAsia="Arial" w:hAnsi="Arial"/>
                <w:sz w:val="15"/>
                <w:szCs w:val="15"/>
                <w:b w:val="1"/>
                <w:bCs w:val="1"/>
                <w:color w:val="auto"/>
                <w:w w:val="93"/>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5"/>
                <w:szCs w:val="15"/>
                <w:b w:val="1"/>
                <w:bCs w:val="1"/>
                <w:color w:val="auto"/>
              </w:rPr>
              <w:t>Total Shares</w:t>
            </w:r>
          </w:p>
        </w:tc>
        <w:tc>
          <w:tcPr>
            <w:tcW w:w="60" w:type="dxa"/>
            <w:vAlign w:val="bottom"/>
          </w:tcPr>
          <w:p>
            <w:pPr>
              <w:spacing w:after="0"/>
              <w:rPr>
                <w:sz w:val="13"/>
                <w:szCs w:val="13"/>
                <w:color w:val="auto"/>
              </w:rPr>
            </w:pPr>
          </w:p>
        </w:tc>
        <w:tc>
          <w:tcPr>
            <w:tcW w:w="1280" w:type="dxa"/>
            <w:vAlign w:val="bottom"/>
            <w:gridSpan w:val="3"/>
          </w:tcPr>
          <w:p>
            <w:pPr>
              <w:jc w:val="center"/>
              <w:ind w:right="40"/>
              <w:spacing w:after="0" w:line="154" w:lineRule="exact"/>
              <w:rPr>
                <w:sz w:val="20"/>
                <w:szCs w:val="20"/>
                <w:color w:val="auto"/>
              </w:rPr>
            </w:pPr>
            <w:r>
              <w:rPr>
                <w:rFonts w:ascii="Arial" w:cs="Arial" w:eastAsia="Arial" w:hAnsi="Arial"/>
                <w:sz w:val="15"/>
                <w:szCs w:val="15"/>
                <w:b w:val="1"/>
                <w:bCs w:val="1"/>
                <w:color w:val="auto"/>
                <w:w w:val="95"/>
              </w:rPr>
              <w:t>Average Grant-</w:t>
            </w:r>
          </w:p>
        </w:tc>
        <w:tc>
          <w:tcPr>
            <w:tcW w:w="0" w:type="dxa"/>
            <w:vAlign w:val="bottom"/>
          </w:tcPr>
          <w:p>
            <w:pPr>
              <w:spacing w:after="0"/>
              <w:rPr>
                <w:sz w:val="1"/>
                <w:szCs w:val="1"/>
                <w:color w:val="auto"/>
              </w:rPr>
            </w:pPr>
          </w:p>
        </w:tc>
      </w:tr>
      <w:tr>
        <w:trPr>
          <w:trHeight w:val="205"/>
        </w:trPr>
        <w:tc>
          <w:tcPr>
            <w:tcW w:w="58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24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Shares</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Based Shares</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7"/>
              </w:rPr>
              <w:t>Date Fair Value</w:t>
            </w:r>
          </w:p>
        </w:tc>
        <w:tc>
          <w:tcPr>
            <w:tcW w:w="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Balance as of December 31, 2023</w:t>
            </w:r>
          </w:p>
        </w:tc>
        <w:tc>
          <w:tcPr>
            <w:tcW w:w="1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54,699,739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9,305,825</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64,005,564</w:t>
            </w:r>
          </w:p>
        </w:tc>
        <w:tc>
          <w:tcPr>
            <w:tcW w:w="28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10.90</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94,696,162</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14,188,690</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108,884,852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Vested</w:t>
            </w:r>
          </w:p>
        </w:tc>
        <w:tc>
          <w:tcPr>
            <w:tcW w:w="1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(46,298,088)</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(1,884,410)</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(48,182,498)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7.73</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Cancelled/Forfeited</w:t>
            </w: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(15,128,805)</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(5,613,644)</w:t>
            </w:r>
          </w:p>
        </w:tc>
        <w:tc>
          <w:tcPr>
            <w:tcW w:w="4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(20,742,449)</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E6E6E6"/>
            </w:tcBorders>
          </w:tcPr>
          <w:p>
            <w:pPr>
              <w:spacing w:after="0"/>
              <w:rPr>
                <w:sz w:val="22"/>
                <w:szCs w:val="22"/>
                <w:color w:val="auto"/>
              </w:rPr>
            </w:pPr>
          </w:p>
        </w:tc>
        <w:tc>
          <w:tcPr>
            <w:tcW w:w="1040" w:type="dxa"/>
            <w:vAlign w:val="bottom"/>
            <w:tcBorders>
              <w:bottom w:val="single" w:sz="8" w:color="E6E6E6"/>
            </w:tcBorders>
          </w:tcPr>
          <w:p>
            <w:pPr>
              <w:jc w:val="right"/>
              <w:spacing w:after="0"/>
              <w:rPr>
                <w:sz w:val="20"/>
                <w:szCs w:val="20"/>
                <w:color w:val="auto"/>
              </w:rPr>
            </w:pPr>
            <w:r>
              <w:rPr>
                <w:rFonts w:ascii="Arial" w:cs="Arial" w:eastAsia="Arial" w:hAnsi="Arial"/>
                <w:sz w:val="19"/>
                <w:szCs w:val="19"/>
                <w:color w:val="auto"/>
              </w:rPr>
              <w:t>6.48</w:t>
            </w:r>
          </w:p>
        </w:tc>
        <w:tc>
          <w:tcPr>
            <w:tcW w:w="2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Balance as of December 31, 2024</w:t>
            </w:r>
          </w:p>
        </w:tc>
        <w:tc>
          <w:tcPr>
            <w:tcW w:w="20" w:type="dxa"/>
            <w:vAlign w:val="bottom"/>
            <w:tcBorders>
              <w:bottom w:val="single" w:sz="8" w:color="auto"/>
            </w:tcBorders>
            <w:shd w:val="clear" w:color="auto" w:fill="E6E6E6"/>
          </w:tcPr>
          <w:p>
            <w:pPr>
              <w:spacing w:after="0"/>
              <w:rPr>
                <w:sz w:val="23"/>
                <w:szCs w:val="23"/>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87,969,008</w:t>
            </w:r>
          </w:p>
        </w:tc>
        <w:tc>
          <w:tcPr>
            <w:tcW w:w="60" w:type="dxa"/>
            <w:vAlign w:val="bottom"/>
            <w:tcBorders>
              <w:bottom w:val="single" w:sz="8" w:color="E6E6E6"/>
            </w:tcBorders>
            <w:shd w:val="clear" w:color="auto" w:fill="E6E6E6"/>
          </w:tcPr>
          <w:p>
            <w:pPr>
              <w:spacing w:after="0"/>
              <w:rPr>
                <w:sz w:val="23"/>
                <w:szCs w:val="23"/>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15,996,461</w:t>
            </w:r>
          </w:p>
        </w:tc>
        <w:tc>
          <w:tcPr>
            <w:tcW w:w="40" w:type="dxa"/>
            <w:vAlign w:val="bottom"/>
            <w:tcBorders>
              <w:bottom w:val="single" w:sz="8" w:color="E6E6E6"/>
            </w:tcBorders>
            <w:shd w:val="clear" w:color="auto" w:fill="E6E6E6"/>
          </w:tcPr>
          <w:p>
            <w:pPr>
              <w:spacing w:after="0"/>
              <w:rPr>
                <w:sz w:val="23"/>
                <w:szCs w:val="23"/>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103,965,469</w:t>
            </w:r>
          </w:p>
        </w:tc>
        <w:tc>
          <w:tcPr>
            <w:tcW w:w="280" w:type="dxa"/>
            <w:vAlign w:val="bottom"/>
            <w:tcBorders>
              <w:bottom w:val="single" w:sz="8" w:color="E6E6E6"/>
            </w:tcBorders>
            <w:gridSpan w:val="2"/>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4.83</w:t>
            </w:r>
          </w:p>
        </w:tc>
        <w:tc>
          <w:tcPr>
            <w:tcW w:w="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-899795</wp:posOffset>
            </wp:positionV>
            <wp:extent cx="331914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90">
                      <a:extLst>
                        <a:ext uri="{28A0092B-C50C-407E-A947-70E740481C1C}"/>
                      </a:extLst>
                    </a:blip>
                    <a:srcRect/>
                    <a:stretch>
                      <a:fillRect/>
                    </a:stretch>
                  </pic:blipFill>
                  <pic:spPr bwMode="auto">
                    <a:xfrm>
                      <a:off x="0" y="0"/>
                      <a:ext cx="3319145" cy="2540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-204470</wp:posOffset>
            </wp:positionV>
            <wp:extent cx="248666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91">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-42545</wp:posOffset>
            </wp:positionV>
            <wp:extent cx="2486660"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2">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Time-based RSUs granted prior to the closing of merger are subject to both performance-based and service-based vesting conditions. The performance condition was satisfied upon the closing of the merger, and the service condition will be met generally over four years. The Company granted 13,834,748 shares of the time-based RSUs to the former CEO that will vest in sixteen equal quarterly installments, beginning on December 5, 2021, and are subject to continuous employment. The service condition for 25% of the Company’s non-CEO RSUs granted prior to the closing of merger was satisfied 375 days after the closing. The remaining RSUs will be satisfied in equal quarterly installments thereafter, subject to continuous employment. The Company recognizes compensation expense for these time-based RSUs on a graded vesting schedule over the requisite vesting period. Fair value of these time-based RSUs was measured using the fair value of the Company’s common stock on the date of the grant, as based on the market price of Churchill’s stock adjusted for the expected exchange ratio at the time, and discounted for lack of marketability.</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Time-based RSUs granted subsequent to the closing of merger are only subject to service-based vesting conditions and the compensation expense is recognized on a straight-line basis over the requisite service period. The fair value of these time-based RSUs granted after the closing of the merger was measured using the fair value of the Company’s common stock on the date of the grant.</w:t>
      </w:r>
    </w:p>
    <w:p>
      <w:pPr>
        <w:spacing w:after="0" w:line="164"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auto"/>
        </w:rPr>
        <w:t>As of December 31, 2024, unrecognized stock-based compensation cost related to outstanding unvested time-based RSUs that are expected to vest was $331.1 million, which is expected to be recognized over a weighted-average period of 1.6 years. The total fair value of time-based RSUs vested during the years ended December 31, 2024, 2023, and 2022 was $140.8 million, $121.1 million, and $190.9 million, respectively.</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2021, the Company granted performance-based RSUs to the former CEO and they are subject to performance and market conditions. The performance condition was satisfied upon the closing of the merger. The market conditions will be satisfied and vest in five tranches based on the achievement of market capitalization goals applicable to each tranche over a six-month period subject to the former CEO’s continuous employment through the applicable vesting date. Any performance-based RSUs granted to our former CEO that have not vested within five years after the closing will be forfeited. The fair value of these performance-based RSUs was measured on the grant date, March 27, 2021, using a Monte Carlo simulation model, with the following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340" w:type="dxa"/>
            <w:vAlign w:val="bottom"/>
            <w:shd w:val="clear" w:color="auto" w:fill="E6E6E6"/>
          </w:tcPr>
          <w:p>
            <w:pPr>
              <w:ind w:left="60"/>
              <w:spacing w:after="0"/>
              <w:rPr>
                <w:sz w:val="20"/>
                <w:szCs w:val="20"/>
                <w:color w:val="auto"/>
              </w:rPr>
            </w:pPr>
            <w:r>
              <w:rPr>
                <w:rFonts w:ascii="Arial" w:cs="Arial" w:eastAsia="Arial" w:hAnsi="Arial"/>
                <w:sz w:val="19"/>
                <w:szCs w:val="19"/>
                <w:color w:val="auto"/>
              </w:rPr>
              <w:t>Weighted average volatility</w:t>
            </w:r>
          </w:p>
        </w:tc>
        <w:tc>
          <w:tcPr>
            <w:tcW w:w="45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60.0</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6340" w:type="dxa"/>
            <w:vAlign w:val="bottom"/>
          </w:tcPr>
          <w:p>
            <w:pPr>
              <w:ind w:left="60"/>
              <w:spacing w:after="0"/>
              <w:rPr>
                <w:sz w:val="20"/>
                <w:szCs w:val="20"/>
                <w:color w:val="auto"/>
              </w:rPr>
            </w:pPr>
            <w:r>
              <w:rPr>
                <w:rFonts w:ascii="Arial" w:cs="Arial" w:eastAsia="Arial" w:hAnsi="Arial"/>
                <w:sz w:val="19"/>
                <w:szCs w:val="19"/>
                <w:color w:val="auto"/>
              </w:rPr>
              <w:t>Expected term (in years)</w:t>
            </w:r>
          </w:p>
        </w:tc>
        <w:tc>
          <w:tcPr>
            <w:tcW w:w="4740" w:type="dxa"/>
            <w:vAlign w:val="bottom"/>
            <w:gridSpan w:val="2"/>
          </w:tcPr>
          <w:p>
            <w:pPr>
              <w:jc w:val="right"/>
              <w:spacing w:after="0"/>
              <w:rPr>
                <w:sz w:val="20"/>
                <w:szCs w:val="20"/>
                <w:color w:val="auto"/>
              </w:rPr>
            </w:pPr>
            <w:r>
              <w:rPr>
                <w:rFonts w:ascii="Arial" w:cs="Arial" w:eastAsia="Arial" w:hAnsi="Arial"/>
                <w:sz w:val="19"/>
                <w:szCs w:val="19"/>
                <w:color w:val="auto"/>
              </w:rPr>
              <w:t>5.0</w:t>
            </w:r>
          </w:p>
        </w:tc>
      </w:tr>
      <w:tr>
        <w:trPr>
          <w:trHeight w:val="280"/>
        </w:trPr>
        <w:tc>
          <w:tcPr>
            <w:tcW w:w="6340" w:type="dxa"/>
            <w:vAlign w:val="bottom"/>
            <w:shd w:val="clear" w:color="auto" w:fill="E6E6E6"/>
          </w:tcPr>
          <w:p>
            <w:pPr>
              <w:ind w:left="60"/>
              <w:spacing w:after="0"/>
              <w:rPr>
                <w:sz w:val="20"/>
                <w:szCs w:val="20"/>
                <w:color w:val="auto"/>
              </w:rPr>
            </w:pPr>
            <w:r>
              <w:rPr>
                <w:rFonts w:ascii="Arial" w:cs="Arial" w:eastAsia="Arial" w:hAnsi="Arial"/>
                <w:sz w:val="19"/>
                <w:szCs w:val="19"/>
                <w:color w:val="auto"/>
              </w:rPr>
              <w:t>Risk-free interest rate</w:t>
            </w:r>
          </w:p>
        </w:tc>
        <w:tc>
          <w:tcPr>
            <w:tcW w:w="45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0.9</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2"/>
        </w:trPr>
        <w:tc>
          <w:tcPr>
            <w:tcW w:w="6340" w:type="dxa"/>
            <w:vAlign w:val="bottom"/>
          </w:tcPr>
          <w:p>
            <w:pPr>
              <w:ind w:left="60"/>
              <w:spacing w:after="0"/>
              <w:rPr>
                <w:sz w:val="20"/>
                <w:szCs w:val="20"/>
                <w:color w:val="auto"/>
              </w:rPr>
            </w:pPr>
            <w:r>
              <w:rPr>
                <w:rFonts w:ascii="Arial" w:cs="Arial" w:eastAsia="Arial" w:hAnsi="Arial"/>
                <w:sz w:val="19"/>
                <w:szCs w:val="19"/>
                <w:color w:val="auto"/>
              </w:rPr>
              <w:t>Expected dividends</w:t>
            </w:r>
          </w:p>
        </w:tc>
        <w:tc>
          <w:tcPr>
            <w:tcW w:w="4740" w:type="dxa"/>
            <w:vAlign w:val="bottom"/>
            <w:gridSpan w:val="2"/>
          </w:tcPr>
          <w:p>
            <w:pPr>
              <w:jc w:val="right"/>
              <w:spacing w:after="0"/>
              <w:rPr>
                <w:sz w:val="20"/>
                <w:szCs w:val="20"/>
                <w:color w:val="auto"/>
              </w:rPr>
            </w:pPr>
            <w:r>
              <w:rPr>
                <w:rFonts w:ascii="Arial" w:cs="Arial" w:eastAsia="Arial" w:hAnsi="Arial"/>
                <w:sz w:val="19"/>
                <w:szCs w:val="19"/>
                <w:color w:val="auto"/>
              </w:rPr>
              <w:t>—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compensation expense using a graded vesting attribution method over the derived service period for the former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CEO’s performance-based awards. Stock-based compensation expense is recognized when the relevant performance condition is considered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probable of achievement for the performance-based award. During the year ended December 31, 2022, the market condition was met for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performance-based awards of the former CEO for four of the five tranches and certified by the Board of Directors, representing an aggregate of</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13,934,271 performance RSUs. The Company recorded stock-based compensation expense of $85.4 million during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The unamortized expense of $8.2 million as of December 31, 2022 for the fifth tranche, representing 2,090,140 RSUs,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fully recognized during the year ended December 31, 2023. There were no performance-based RSUs vested for our former CEO for the years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2024 and 2023. The total fair value of the former CEO’s performance-based RSUs vested was $315.3 million during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2022. For the years ended December 31, 2024, 2023 and 2022, the Company withheld approximately 1.9 million, 1.9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and 9.4 million shares, respectively, of common stock by net settlement to meet the related tax withholding requirements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former CEO’s time-based and performance-based RSUs.</w:t>
      </w:r>
    </w:p>
    <w:p>
      <w:pPr>
        <w:sectPr>
          <w:pgSz w:w="11880" w:h="15480" w:orient="portrait"/>
          <w:cols w:equalWidth="0" w:num="1">
            <w:col w:w="11080"/>
          </w:cols>
          <w:pgMar w:left="400" w:top="763" w:right="400" w:bottom="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1080"/>
          </w:cols>
          <w:pgMar w:left="400" w:top="763" w:right="400" w:bottom="0" w:gutter="0" w:footer="0" w:header="0"/>
          <w:type w:val="continuous"/>
        </w:sectPr>
      </w:pPr>
    </w:p>
    <w:bookmarkStart w:id="248" w:name="page249"/>
    <w:bookmarkEnd w:id="248"/>
    <w:p>
      <w:pPr>
        <w:spacing w:after="0" w:line="273" w:lineRule="auto"/>
        <w:rPr>
          <w:sz w:val="20"/>
          <w:szCs w:val="20"/>
          <w:color w:val="auto"/>
        </w:rPr>
      </w:pPr>
      <w:r>
        <w:rPr>
          <w:rFonts w:ascii="Arial" w:cs="Arial" w:eastAsia="Arial" w:hAnsi="Arial"/>
          <w:sz w:val="18"/>
          <w:szCs w:val="18"/>
          <w:color w:val="auto"/>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During the years ended December 31, 2024, 2023 and 2022, the Company recorded stock-based compensation expenses of $26.1 million, $7.9 million, and nil, respectively, related to these performance-based RSUs. The total fair value of these performance-based RSUs vested during the year ended December 31, 2024 was $5.3 million, and nil for the years ended December 31, 2023 and 2022. As of December 31, 2024, the unamortized expense for the performance-based RSUs was $30.1 million, which will be recognized over a weighted-average period of 1.1 years primarily contingent upon realization of the corporate performance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Stock Purchase Plan (“ESPP”)</w:t>
      </w:r>
    </w:p>
    <w:p>
      <w:pPr>
        <w:spacing w:after="0" w:line="250"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w:t>
      </w:r>
    </w:p>
    <w:p>
      <w:pPr>
        <w:spacing w:after="0" w:line="188"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If the market value of our common stock on the purchase date is lower than the market value at the beginning of the offering period, the ongoing offering terminates immediately following the purchase of ESPP shares on the purchase date and participants in the terminated offering are automatically enrolled in the new offering resulting in a reset of the offering price and a modification charge to be recognized over the new offering period. During the years ended December 31, 2024, 2023, and 2022, there were two ESPP resets that resulted in modification charges of $17.8 million, $23.2 million, and $19.9 million, respectively, which are being recognized until the new offering period ending in November 2026.</w:t>
      </w:r>
    </w:p>
    <w:p>
      <w:pPr>
        <w:spacing w:after="0" w:line="19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Company issued 8,976,458, 4,748,875, and 2,106,158 shares at a weighted-average price of $2.14, $5.02, and $11.66 for the years ended December 31, 2024, 2023, and 2022, respectively. As of December 31, 2024, unrecognized stock-based compensation cost related to the ESPP was $31.4 million, which is expected to be recognized over a weighted-average period of 1.9 years.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 Expense</w:t>
      </w:r>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Total employee and nonemployee stock-based compensation expense for the years ended December 31, 2024, 2023 and 2022, was classified in the consolidated statements of operations and comprehensive loss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Cost of revenue</w:t>
            </w:r>
          </w:p>
        </w:tc>
        <w:tc>
          <w:tcPr>
            <w:tcW w:w="300" w:type="dxa"/>
            <w:vAlign w:val="bottom"/>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4,335</w:t>
            </w:r>
          </w:p>
        </w:tc>
        <w:tc>
          <w:tcPr>
            <w:tcW w:w="360" w:type="dxa"/>
            <w:vAlign w:val="bottom"/>
            <w:gridSpan w:val="2"/>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3,590</w:t>
            </w:r>
          </w:p>
        </w:tc>
        <w:tc>
          <w:tcPr>
            <w:tcW w:w="380" w:type="dxa"/>
            <w:vAlign w:val="bottom"/>
            <w:gridSpan w:val="2"/>
            <w:shd w:val="clear" w:color="auto" w:fill="E6E6E6"/>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41,753</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Research and development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172,190</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137,703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151,549</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Selling, general and administrative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110,827</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117,433</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230,198</w:t>
            </w:r>
          </w:p>
        </w:tc>
      </w:tr>
      <w:tr>
        <w:trPr>
          <w:trHeight w:val="263"/>
        </w:trPr>
        <w:tc>
          <w:tcPr>
            <w:tcW w:w="72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Restructuring charges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(1,480)</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(1,443)</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73"/>
        </w:trPr>
        <w:tc>
          <w:tcPr>
            <w:tcW w:w="7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w:t>
            </w:r>
          </w:p>
        </w:tc>
        <w:tc>
          <w:tcPr>
            <w:tcW w:w="30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285,872</w:t>
            </w:r>
          </w:p>
        </w:tc>
        <w:tc>
          <w:tcPr>
            <w:tcW w:w="4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257,283</w:t>
            </w:r>
          </w:p>
        </w:tc>
        <w:tc>
          <w:tcPr>
            <w:tcW w:w="6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423,500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-899795</wp:posOffset>
            </wp:positionV>
            <wp:extent cx="248666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93">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-204470</wp:posOffset>
            </wp:positionV>
            <wp:extent cx="248666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4">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95">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pacing w:after="0" w:line="217" w:lineRule="exact"/>
        <w:rPr>
          <w:sz w:val="20"/>
          <w:szCs w:val="20"/>
          <w:color w:val="auto"/>
        </w:rPr>
      </w:pPr>
    </w:p>
    <w:p>
      <w:pPr>
        <w:ind w:right="200"/>
        <w:spacing w:after="0" w:line="289" w:lineRule="auto"/>
        <w:rPr>
          <w:sz w:val="20"/>
          <w:szCs w:val="20"/>
          <w:color w:val="auto"/>
        </w:rPr>
      </w:pPr>
      <w:r>
        <w:rPr>
          <w:rFonts w:ascii="Arial" w:cs="Arial" w:eastAsia="Arial" w:hAnsi="Arial"/>
          <w:sz w:val="19"/>
          <w:szCs w:val="19"/>
          <w:color w:val="auto"/>
        </w:rPr>
        <w:t>The Company capitalized stock-based compensation expenses of $45.7 million and $43.3 million for the years ended December 31, 2024 and 2023, respectively, primarily as part of the cost of inventory.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LEASES</w:t>
      </w:r>
    </w:p>
    <w:p>
      <w:pPr>
        <w:spacing w:after="0" w:line="249"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lease commencement, which is the date when the underlying asset is made available for use by the lessor.</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Lease expense for operating lease payments is recognized on a straight-line basis over the lease term. Our assessed lease terms may include options to extend or terminate the lease when it is reasonably certain that the Company will exercise that option. Certain operating leases provide for annual increases to lease payments based on an index or rate. The Company estimates the annual increase in lease payments based on the index or rate at the lease commencement date.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ectPr>
          <w:pgSz w:w="11880" w:h="15480" w:orient="portrait"/>
          <w:cols w:equalWidth="0" w:num="1">
            <w:col w:w="11080"/>
          </w:cols>
          <w:pgMar w:left="400" w:top="763" w:right="400" w:bottom="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1080"/>
          </w:cols>
          <w:pgMar w:left="400" w:top="763" w:right="400" w:bottom="0" w:gutter="0" w:footer="0" w:header="0"/>
          <w:type w:val="continuous"/>
        </w:sectPr>
      </w:pPr>
    </w:p>
    <w:bookmarkStart w:id="249" w:name="page250"/>
    <w:bookmarkEnd w:id="249"/>
    <w:p>
      <w:pPr>
        <w:ind w:right="60"/>
        <w:spacing w:after="0" w:line="305" w:lineRule="auto"/>
        <w:rPr>
          <w:sz w:val="20"/>
          <w:szCs w:val="20"/>
          <w:color w:val="auto"/>
        </w:rPr>
      </w:pPr>
      <w:r>
        <w:rPr>
          <w:rFonts w:ascii="Arial" w:cs="Arial" w:eastAsia="Arial" w:hAnsi="Arial"/>
          <w:sz w:val="17"/>
          <w:szCs w:val="17"/>
          <w:color w:val="auto"/>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December 31, 2024 and 2023, assets associated with the finance lease were $79.3 million. As of December 31, 2024 and 2023, liabilities associated with the finance lease were $80.0 million and $80.6 million, respectively.</w:t>
      </w:r>
    </w:p>
    <w:p>
      <w:pPr>
        <w:spacing w:after="0" w:line="159"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consolidated balance sheets as of December 31, 2024 and 2023.</w:t>
      </w:r>
    </w:p>
    <w:p>
      <w:pPr>
        <w:spacing w:after="0" w:line="1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balances for the operating and finance leases where the Company is the lessee were presented as follows within the Company’s consolidated balance sheets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87"/>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Arial" w:cs="Arial" w:eastAsia="Arial" w:hAnsi="Arial"/>
                <w:sz w:val="15"/>
                <w:szCs w:val="15"/>
                <w:b w:val="1"/>
                <w:bCs w:val="1"/>
                <w:color w:val="auto"/>
                <w:w w:val="92"/>
              </w:rPr>
              <w:t>December 31,</w:t>
            </w:r>
          </w:p>
        </w:tc>
      </w:tr>
      <w:tr>
        <w:trPr>
          <w:trHeight w:val="205"/>
        </w:trPr>
        <w:tc>
          <w:tcPr>
            <w:tcW w:w="850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Operating leases:</w:t>
            </w: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r>
      <w:tr>
        <w:trPr>
          <w:trHeight w:val="268"/>
        </w:trPr>
        <w:tc>
          <w:tcPr>
            <w:tcW w:w="8500" w:type="dxa"/>
            <w:vAlign w:val="bottom"/>
          </w:tcPr>
          <w:p>
            <w:pPr>
              <w:ind w:left="280"/>
              <w:spacing w:after="0"/>
              <w:rPr>
                <w:sz w:val="20"/>
                <w:szCs w:val="20"/>
                <w:color w:val="auto"/>
              </w:rPr>
            </w:pPr>
            <w:r>
              <w:rPr>
                <w:rFonts w:ascii="Arial" w:cs="Arial" w:eastAsia="Arial" w:hAnsi="Arial"/>
                <w:sz w:val="19"/>
                <w:szCs w:val="19"/>
                <w:color w:val="auto"/>
              </w:rPr>
              <w:t>Right-of-use assets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211,886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221,508</w:t>
            </w:r>
          </w:p>
        </w:tc>
      </w:tr>
      <w:tr>
        <w:trPr>
          <w:trHeight w:val="294"/>
        </w:trPr>
        <w:tc>
          <w:tcPr>
            <w:tcW w:w="85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r>
      <w:tr>
        <w:trPr>
          <w:trHeight w:val="268"/>
        </w:trPr>
        <w:tc>
          <w:tcPr>
            <w:tcW w:w="8500" w:type="dxa"/>
            <w:vAlign w:val="bottom"/>
          </w:tcPr>
          <w:p>
            <w:pPr>
              <w:ind w:left="280"/>
              <w:spacing w:after="0"/>
              <w:rPr>
                <w:sz w:val="20"/>
                <w:szCs w:val="20"/>
                <w:color w:val="auto"/>
              </w:rPr>
            </w:pPr>
            <w:r>
              <w:rPr>
                <w:rFonts w:ascii="Arial" w:cs="Arial" w:eastAsia="Arial" w:hAnsi="Arial"/>
                <w:sz w:val="19"/>
                <w:szCs w:val="19"/>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35,596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28,431</w:t>
            </w:r>
          </w:p>
        </w:tc>
      </w:tr>
      <w:tr>
        <w:trPr>
          <w:trHeight w:val="289"/>
        </w:trPr>
        <w:tc>
          <w:tcPr>
            <w:tcW w:w="85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Other long-term liabilities</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229,835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244,122</w:t>
            </w:r>
          </w:p>
        </w:tc>
      </w:tr>
      <w:tr>
        <w:trPr>
          <w:trHeight w:val="253"/>
        </w:trPr>
        <w:tc>
          <w:tcPr>
            <w:tcW w:w="8500" w:type="dxa"/>
            <w:vAlign w:val="bottom"/>
          </w:tcPr>
          <w:p>
            <w:pPr>
              <w:ind w:left="580"/>
              <w:spacing w:after="0" w:line="216" w:lineRule="exact"/>
              <w:rPr>
                <w:sz w:val="20"/>
                <w:szCs w:val="20"/>
                <w:color w:val="auto"/>
              </w:rPr>
            </w:pPr>
            <w:r>
              <w:rPr>
                <w:rFonts w:ascii="Arial" w:cs="Arial" w:eastAsia="Arial" w:hAnsi="Arial"/>
                <w:sz w:val="19"/>
                <w:szCs w:val="19"/>
                <w:color w:val="auto"/>
              </w:rPr>
              <w:t>Total operating lease liabilities</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265,431</w:t>
            </w:r>
          </w:p>
        </w:tc>
        <w:tc>
          <w:tcPr>
            <w:tcW w:w="22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272,553</w:t>
            </w:r>
          </w:p>
        </w:tc>
      </w:tr>
      <w:tr>
        <w:trPr>
          <w:trHeight w:val="274"/>
        </w:trPr>
        <w:tc>
          <w:tcPr>
            <w:tcW w:w="850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spacing w:after="0"/>
              <w:rPr>
                <w:sz w:val="23"/>
                <w:szCs w:val="23"/>
                <w:color w:val="auto"/>
              </w:rPr>
            </w:pP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b w:val="1"/>
                <w:bCs w:val="1"/>
                <w:color w:val="auto"/>
              </w:rPr>
              <w:t>Finance leases: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9"/>
        </w:trPr>
        <w:tc>
          <w:tcPr>
            <w:tcW w:w="85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Property, plant and equipment, net</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82,823</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85,055</w:t>
            </w:r>
          </w:p>
        </w:tc>
      </w:tr>
      <w:tr>
        <w:trPr>
          <w:trHeight w:val="253"/>
        </w:trPr>
        <w:tc>
          <w:tcPr>
            <w:tcW w:w="8500" w:type="dxa"/>
            <w:vAlign w:val="bottom"/>
          </w:tcPr>
          <w:p>
            <w:pPr>
              <w:ind w:left="580"/>
              <w:spacing w:after="0" w:line="216" w:lineRule="exact"/>
              <w:rPr>
                <w:sz w:val="20"/>
                <w:szCs w:val="20"/>
                <w:color w:val="auto"/>
              </w:rPr>
            </w:pPr>
            <w:r>
              <w:rPr>
                <w:rFonts w:ascii="Arial" w:cs="Arial" w:eastAsia="Arial" w:hAnsi="Arial"/>
                <w:sz w:val="19"/>
                <w:szCs w:val="19"/>
                <w:color w:val="auto"/>
              </w:rPr>
              <w:t>Total finance lease assets</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82,823</w:t>
            </w:r>
          </w:p>
        </w:tc>
        <w:tc>
          <w:tcPr>
            <w:tcW w:w="22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85,055</w:t>
            </w:r>
          </w:p>
        </w:tc>
      </w:tr>
      <w:tr>
        <w:trPr>
          <w:trHeight w:val="274"/>
        </w:trPr>
        <w:tc>
          <w:tcPr>
            <w:tcW w:w="850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spacing w:after="0"/>
              <w:rPr>
                <w:sz w:val="23"/>
                <w:szCs w:val="23"/>
                <w:color w:val="auto"/>
              </w:rPr>
            </w:pPr>
          </w:p>
        </w:tc>
      </w:tr>
      <w:tr>
        <w:trPr>
          <w:trHeight w:val="268"/>
        </w:trPr>
        <w:tc>
          <w:tcPr>
            <w:tcW w:w="8500" w:type="dxa"/>
            <w:vAlign w:val="bottom"/>
          </w:tcPr>
          <w:p>
            <w:pPr>
              <w:ind w:left="280"/>
              <w:spacing w:after="0"/>
              <w:rPr>
                <w:sz w:val="20"/>
                <w:szCs w:val="20"/>
                <w:color w:val="auto"/>
              </w:rPr>
            </w:pPr>
            <w:r>
              <w:rPr>
                <w:rFonts w:ascii="Arial" w:cs="Arial" w:eastAsia="Arial" w:hAnsi="Arial"/>
                <w:sz w:val="19"/>
                <w:szCs w:val="19"/>
                <w:color w:val="auto"/>
              </w:rPr>
              <w:t>Finance lease liabilities, current portion</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6,788</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8,202</w:t>
            </w:r>
          </w:p>
        </w:tc>
      </w:tr>
      <w:tr>
        <w:trPr>
          <w:trHeight w:val="289"/>
        </w:trPr>
        <w:tc>
          <w:tcPr>
            <w:tcW w:w="85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Finance lease liabilities, net of current portion</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76,096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77,653</w:t>
            </w:r>
          </w:p>
        </w:tc>
      </w:tr>
      <w:tr>
        <w:trPr>
          <w:trHeight w:val="253"/>
        </w:trPr>
        <w:tc>
          <w:tcPr>
            <w:tcW w:w="8500" w:type="dxa"/>
            <w:vAlign w:val="bottom"/>
          </w:tcPr>
          <w:p>
            <w:pPr>
              <w:ind w:left="580"/>
              <w:spacing w:after="0" w:line="216" w:lineRule="exact"/>
              <w:rPr>
                <w:sz w:val="20"/>
                <w:szCs w:val="20"/>
                <w:color w:val="auto"/>
              </w:rPr>
            </w:pPr>
            <w:r>
              <w:rPr>
                <w:rFonts w:ascii="Arial" w:cs="Arial" w:eastAsia="Arial" w:hAnsi="Arial"/>
                <w:sz w:val="19"/>
                <w:szCs w:val="19"/>
                <w:color w:val="auto"/>
              </w:rPr>
              <w:t>Total finance lease liabilities</w:t>
            </w:r>
          </w:p>
        </w:tc>
        <w:tc>
          <w:tcPr>
            <w:tcW w:w="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82,884</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85,855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-2510155</wp:posOffset>
            </wp:positionV>
            <wp:extent cx="165417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96">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-1631315</wp:posOffset>
            </wp:positionV>
            <wp:extent cx="165417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97">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-1470025</wp:posOffset>
            </wp:positionV>
            <wp:extent cx="1654175" cy="495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98">
                      <a:extLst>
                        <a:ext uri="{28A0092B-C50C-407E-A947-70E740481C1C}"/>
                      </a:extLst>
                    </a:blip>
                    <a:srcRect/>
                    <a:stretch>
                      <a:fillRect/>
                    </a:stretch>
                  </pic:blipFill>
                  <pic:spPr bwMode="auto">
                    <a:xfrm>
                      <a:off x="0" y="0"/>
                      <a:ext cx="1654175" cy="4953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-917575</wp:posOffset>
            </wp:positionV>
            <wp:extent cx="165417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99">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-756285</wp:posOffset>
            </wp:positionV>
            <wp:extent cx="1654175" cy="49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0">
                      <a:extLst>
                        <a:ext uri="{28A0092B-C50C-407E-A947-70E740481C1C}"/>
                      </a:extLst>
                    </a:blip>
                    <a:srcRect/>
                    <a:stretch>
                      <a:fillRect/>
                    </a:stretch>
                  </pic:blipFill>
                  <pic:spPr bwMode="auto">
                    <a:xfrm>
                      <a:off x="0" y="0"/>
                      <a:ext cx="1654175" cy="4953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1">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2">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7"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color w:val="auto"/>
        </w:rPr>
        <w:t>The components of lease expense were as follows within the Company’s consolidated statements of operations and comprehensive loss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44"/>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2022</w:t>
            </w:r>
          </w:p>
        </w:tc>
      </w:tr>
      <w:tr>
        <w:trPr>
          <w:trHeight w:val="264"/>
        </w:trPr>
        <w:tc>
          <w:tcPr>
            <w:tcW w:w="722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Operating lease expense:</w:t>
            </w:r>
          </w:p>
        </w:tc>
        <w:tc>
          <w:tcPr>
            <w:tcW w:w="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74"/>
        </w:trPr>
        <w:tc>
          <w:tcPr>
            <w:tcW w:w="7240" w:type="dxa"/>
            <w:vAlign w:val="bottom"/>
            <w:gridSpan w:val="3"/>
          </w:tcPr>
          <w:p>
            <w:pPr>
              <w:ind w:left="280"/>
              <w:spacing w:after="0" w:line="274" w:lineRule="exact"/>
              <w:rPr>
                <w:sz w:val="20"/>
                <w:szCs w:val="20"/>
                <w:color w:val="auto"/>
              </w:rPr>
            </w:pPr>
            <w:r>
              <w:rPr>
                <w:rFonts w:ascii="Arial" w:cs="Arial" w:eastAsia="Arial" w:hAnsi="Arial"/>
                <w:sz w:val="19"/>
                <w:szCs w:val="19"/>
                <w:color w:val="auto"/>
              </w:rPr>
              <w:t xml:space="preserve">Operating lease expense </w:t>
            </w:r>
            <w:r>
              <w:rPr>
                <w:rFonts w:ascii="Arial" w:cs="Arial" w:eastAsia="Arial" w:hAnsi="Arial"/>
                <w:sz w:val="24"/>
                <w:szCs w:val="24"/>
                <w:color w:val="auto"/>
                <w:vertAlign w:val="superscript"/>
              </w:rPr>
              <w:t>(1)</w:t>
            </w:r>
          </w:p>
        </w:tc>
        <w:tc>
          <w:tcPr>
            <w:tcW w:w="260" w:type="dxa"/>
            <w:vAlign w:val="bottom"/>
          </w:tcPr>
          <w:p>
            <w:pPr>
              <w:jc w:val="right"/>
              <w:ind w:right="64"/>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62,119</w:t>
            </w:r>
          </w:p>
        </w:tc>
        <w:tc>
          <w:tcPr>
            <w:tcW w:w="360" w:type="dxa"/>
            <w:vAlign w:val="bottom"/>
            <w:gridSpan w:val="2"/>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55,307</w:t>
            </w:r>
          </w:p>
        </w:tc>
        <w:tc>
          <w:tcPr>
            <w:tcW w:w="380" w:type="dxa"/>
            <w:vAlign w:val="bottom"/>
            <w:gridSpan w:val="3"/>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44,617</w:t>
            </w:r>
          </w:p>
        </w:tc>
      </w:tr>
      <w:tr>
        <w:trPr>
          <w:trHeight w:val="274"/>
        </w:trPr>
        <w:tc>
          <w:tcPr>
            <w:tcW w:w="7240" w:type="dxa"/>
            <w:vAlign w:val="bottom"/>
            <w:gridSpan w:val="3"/>
            <w:shd w:val="clear" w:color="auto" w:fill="E6E6E6"/>
          </w:tcPr>
          <w:p>
            <w:pPr>
              <w:ind w:left="280"/>
              <w:spacing w:after="0"/>
              <w:rPr>
                <w:sz w:val="20"/>
                <w:szCs w:val="20"/>
                <w:color w:val="auto"/>
              </w:rPr>
            </w:pPr>
            <w:r>
              <w:rPr>
                <w:rFonts w:ascii="Arial" w:cs="Arial" w:eastAsia="Arial" w:hAnsi="Arial"/>
                <w:sz w:val="19"/>
                <w:szCs w:val="19"/>
                <w:color w:val="auto"/>
              </w:rPr>
              <w:t>Variable lease expense</w:t>
            </w:r>
          </w:p>
        </w:tc>
        <w:tc>
          <w:tcPr>
            <w:tcW w:w="260" w:type="dxa"/>
            <w:vAlign w:val="bottom"/>
            <w:shd w:val="clear" w:color="auto" w:fill="E6E6E6"/>
          </w:tcPr>
          <w:p>
            <w:pPr>
              <w:spacing w:after="0"/>
              <w:rPr>
                <w:sz w:val="23"/>
                <w:szCs w:val="23"/>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1,948</w:t>
            </w:r>
          </w:p>
        </w:tc>
        <w:tc>
          <w:tcPr>
            <w:tcW w:w="4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1,770</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1,712</w:t>
            </w:r>
          </w:p>
        </w:tc>
      </w:tr>
      <w:tr>
        <w:trPr>
          <w:trHeight w:val="274"/>
        </w:trPr>
        <w:tc>
          <w:tcPr>
            <w:tcW w:w="7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4"/>
        </w:trPr>
        <w:tc>
          <w:tcPr>
            <w:tcW w:w="7240" w:type="dxa"/>
            <w:vAlign w:val="bottom"/>
            <w:gridSpan w:val="3"/>
            <w:shd w:val="clear" w:color="auto" w:fill="E6E6E6"/>
          </w:tcPr>
          <w:p>
            <w:pPr>
              <w:ind w:left="60"/>
              <w:spacing w:after="0"/>
              <w:rPr>
                <w:sz w:val="20"/>
                <w:szCs w:val="20"/>
                <w:color w:val="auto"/>
              </w:rPr>
            </w:pPr>
            <w:r>
              <w:rPr>
                <w:rFonts w:ascii="Arial" w:cs="Arial" w:eastAsia="Arial" w:hAnsi="Arial"/>
                <w:sz w:val="19"/>
                <w:szCs w:val="19"/>
                <w:b w:val="1"/>
                <w:bCs w:val="1"/>
                <w:color w:val="auto"/>
              </w:rPr>
              <w:t>Finance lease expense:</w:t>
            </w:r>
          </w:p>
        </w:tc>
        <w:tc>
          <w:tcPr>
            <w:tcW w:w="26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r>
      <w:tr>
        <w:trPr>
          <w:trHeight w:val="268"/>
        </w:trPr>
        <w:tc>
          <w:tcPr>
            <w:tcW w:w="7240" w:type="dxa"/>
            <w:vAlign w:val="bottom"/>
            <w:gridSpan w:val="3"/>
          </w:tcPr>
          <w:p>
            <w:pPr>
              <w:ind w:left="280"/>
              <w:spacing w:after="0"/>
              <w:rPr>
                <w:sz w:val="20"/>
                <w:szCs w:val="20"/>
                <w:color w:val="auto"/>
              </w:rPr>
            </w:pPr>
            <w:r>
              <w:rPr>
                <w:rFonts w:ascii="Arial" w:cs="Arial" w:eastAsia="Arial" w:hAnsi="Arial"/>
                <w:sz w:val="19"/>
                <w:szCs w:val="19"/>
                <w:color w:val="auto"/>
              </w:rPr>
              <w:t>Amortization of leased assets</w:t>
            </w:r>
          </w:p>
        </w:tc>
        <w:tc>
          <w:tcPr>
            <w:tcW w:w="260" w:type="dxa"/>
            <w:vAlign w:val="bottom"/>
          </w:tcPr>
          <w:p>
            <w:pPr>
              <w:jc w:val="right"/>
              <w:ind w:right="64"/>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3,009</w:t>
            </w:r>
          </w:p>
        </w:tc>
        <w:tc>
          <w:tcPr>
            <w:tcW w:w="360" w:type="dxa"/>
            <w:vAlign w:val="bottom"/>
            <w:gridSpan w:val="2"/>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5,252</w:t>
            </w:r>
          </w:p>
        </w:tc>
        <w:tc>
          <w:tcPr>
            <w:tcW w:w="380" w:type="dxa"/>
            <w:vAlign w:val="bottom"/>
            <w:gridSpan w:val="3"/>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4,812</w:t>
            </w:r>
          </w:p>
        </w:tc>
      </w:tr>
      <w:tr>
        <w:trPr>
          <w:trHeight w:val="269"/>
        </w:trPr>
        <w:tc>
          <w:tcPr>
            <w:tcW w:w="72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Interest on lease liabilities</w:t>
            </w:r>
          </w:p>
        </w:tc>
        <w:tc>
          <w:tcPr>
            <w:tcW w:w="40" w:type="dxa"/>
            <w:vAlign w:val="bottom"/>
            <w:tcBorders>
              <w:bottom w:val="single" w:sz="8" w:color="auto"/>
            </w:tcBorders>
            <w:gridSpan w:val="2"/>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4,665</w:t>
            </w:r>
          </w:p>
        </w:tc>
        <w:tc>
          <w:tcPr>
            <w:tcW w:w="4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4,867</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2,453</w:t>
            </w:r>
          </w:p>
        </w:tc>
      </w:tr>
      <w:tr>
        <w:trPr>
          <w:trHeight w:val="254"/>
        </w:trPr>
        <w:tc>
          <w:tcPr>
            <w:tcW w:w="7220" w:type="dxa"/>
            <w:vAlign w:val="bottom"/>
            <w:tcBorders>
              <w:bottom w:val="single" w:sz="8" w:color="E6E6E6"/>
            </w:tcBorders>
            <w:gridSpan w:val="2"/>
          </w:tcPr>
          <w:p>
            <w:pPr>
              <w:ind w:left="280"/>
              <w:spacing w:after="0"/>
              <w:rPr>
                <w:sz w:val="20"/>
                <w:szCs w:val="20"/>
                <w:color w:val="auto"/>
              </w:rPr>
            </w:pPr>
            <w:r>
              <w:rPr>
                <w:rFonts w:ascii="Arial" w:cs="Arial" w:eastAsia="Arial" w:hAnsi="Arial"/>
                <w:sz w:val="19"/>
                <w:szCs w:val="19"/>
                <w:color w:val="auto"/>
              </w:rPr>
              <w:t>Total finance lease expense</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7,674</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10,119</w:t>
            </w:r>
          </w:p>
        </w:tc>
        <w:tc>
          <w:tcPr>
            <w:tcW w:w="80" w:type="dxa"/>
            <w:vAlign w:val="bottom"/>
            <w:tcBorders>
              <w:bottom w:val="single" w:sz="8" w:color="E6E6E6"/>
            </w:tcBorders>
            <w:gridSpan w:val="2"/>
          </w:tcPr>
          <w:p>
            <w:pPr>
              <w:spacing w:after="0"/>
              <w:rPr>
                <w:sz w:val="22"/>
                <w:szCs w:val="22"/>
                <w:color w:val="auto"/>
              </w:rPr>
            </w:pPr>
          </w:p>
        </w:tc>
        <w:tc>
          <w:tcPr>
            <w:tcW w:w="30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w w:val="9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7,265</w:t>
            </w:r>
          </w:p>
        </w:tc>
      </w:tr>
      <w:tr>
        <w:trPr>
          <w:trHeight w:val="273"/>
        </w:trPr>
        <w:tc>
          <w:tcPr>
            <w:tcW w:w="7200" w:type="dxa"/>
            <w:vAlign w:val="bottom"/>
            <w:tcBorders>
              <w:bottom w:val="single" w:sz="8" w:color="E6E6E6"/>
            </w:tcBorders>
            <w:shd w:val="clear" w:color="auto" w:fill="E6E6E6"/>
          </w:tcPr>
          <w:p>
            <w:pPr>
              <w:ind w:left="740"/>
              <w:spacing w:after="0"/>
              <w:rPr>
                <w:sz w:val="20"/>
                <w:szCs w:val="20"/>
                <w:color w:val="auto"/>
              </w:rPr>
            </w:pPr>
            <w:r>
              <w:rPr>
                <w:rFonts w:ascii="Arial" w:cs="Arial" w:eastAsia="Arial" w:hAnsi="Arial"/>
                <w:sz w:val="19"/>
                <w:szCs w:val="19"/>
                <w:color w:val="auto"/>
              </w:rPr>
              <w:t>Total lease expense</w:t>
            </w:r>
          </w:p>
        </w:tc>
        <w:tc>
          <w:tcPr>
            <w:tcW w:w="40" w:type="dxa"/>
            <w:vAlign w:val="bottom"/>
            <w:tcBorders>
              <w:bottom w:val="single" w:sz="8" w:color="auto"/>
            </w:tcBorders>
            <w:gridSpan w:val="2"/>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71,741</w:t>
            </w:r>
          </w:p>
        </w:tc>
        <w:tc>
          <w:tcPr>
            <w:tcW w:w="4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67,196</w:t>
            </w:r>
          </w:p>
        </w:tc>
        <w:tc>
          <w:tcPr>
            <w:tcW w:w="80" w:type="dxa"/>
            <w:vAlign w:val="bottom"/>
            <w:tcBorders>
              <w:bottom w:val="single" w:sz="8" w:color="E6E6E6"/>
            </w:tcBorders>
            <w:gridSpan w:val="2"/>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color w:val="auto"/>
                <w:w w:val="94"/>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53,594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-1595120</wp:posOffset>
            </wp:positionV>
            <wp:extent cx="248666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3">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-377825</wp:posOffset>
            </wp:positionV>
            <wp:extent cx="248666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4">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-204470</wp:posOffset>
            </wp:positionV>
            <wp:extent cx="248666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05">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6">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pacing w:after="0" w:line="223" w:lineRule="exact"/>
        <w:rPr>
          <w:sz w:val="20"/>
          <w:szCs w:val="20"/>
          <w:color w:val="auto"/>
        </w:rPr>
      </w:pPr>
    </w:p>
    <w:p>
      <w:pPr>
        <w:ind w:left="160" w:hanging="153"/>
        <w:spacing w:after="0"/>
        <w:tabs>
          <w:tab w:leader="none" w:pos="160" w:val="left"/>
        </w:tabs>
        <w:numPr>
          <w:ilvl w:val="0"/>
          <w:numId w:val="171"/>
        </w:numPr>
        <w:rPr>
          <w:rFonts w:ascii="Arial" w:cs="Arial" w:eastAsia="Arial" w:hAnsi="Arial"/>
          <w:sz w:val="18"/>
          <w:szCs w:val="18"/>
          <w:color w:val="auto"/>
          <w:vertAlign w:val="superscript"/>
        </w:rPr>
      </w:pPr>
      <w:r>
        <w:rPr>
          <w:rFonts w:ascii="Arial" w:cs="Arial" w:eastAsia="Arial" w:hAnsi="Arial"/>
          <w:sz w:val="14"/>
          <w:szCs w:val="14"/>
          <w:color w:val="auto"/>
        </w:rPr>
        <w:t>Excluded short-term leases, which were not material.</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1080"/>
          </w:cols>
          <w:pgMar w:left="400" w:top="763" w:right="400" w:bottom="0" w:gutter="0" w:footer="0" w:header="0"/>
          <w:type w:val="continuous"/>
        </w:sectPr>
      </w:pPr>
    </w:p>
    <w:bookmarkStart w:id="250" w:name="page251"/>
    <w:bookmarkEnd w:id="250"/>
    <w:p>
      <w:pPr>
        <w:spacing w:after="0"/>
        <w:rPr>
          <w:sz w:val="20"/>
          <w:szCs w:val="20"/>
          <w:color w:val="auto"/>
        </w:rPr>
      </w:pPr>
      <w:r>
        <w:rPr>
          <w:rFonts w:ascii="Arial" w:cs="Arial" w:eastAsia="Arial" w:hAnsi="Arial"/>
          <w:sz w:val="19"/>
          <w:szCs w:val="19"/>
          <w:color w:val="auto"/>
        </w:rPr>
        <w:t>Other information related to leases where the Company is the lessee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spacing w:after="0"/>
              <w:rPr>
                <w:sz w:val="14"/>
                <w:szCs w:val="14"/>
                <w:color w:val="auto"/>
              </w:rPr>
            </w:pPr>
          </w:p>
        </w:tc>
        <w:tc>
          <w:tcPr>
            <w:tcW w:w="1260" w:type="dxa"/>
            <w:vAlign w:val="bottom"/>
          </w:tcPr>
          <w:p>
            <w:pPr>
              <w:jc w:val="right"/>
              <w:ind w:right="90"/>
              <w:spacing w:after="0"/>
              <w:rPr>
                <w:sz w:val="20"/>
                <w:szCs w:val="20"/>
                <w:color w:val="auto"/>
              </w:rPr>
            </w:pPr>
            <w:r>
              <w:rPr>
                <w:rFonts w:ascii="Arial" w:cs="Arial" w:eastAsia="Arial" w:hAnsi="Arial"/>
                <w:sz w:val="15"/>
                <w:szCs w:val="15"/>
                <w:b w:val="1"/>
                <w:bCs w:val="1"/>
                <w:color w:val="auto"/>
              </w:rPr>
              <w:t>December 31,</w:t>
            </w:r>
          </w:p>
        </w:tc>
        <w:tc>
          <w:tcPr>
            <w:tcW w:w="60" w:type="dxa"/>
            <w:vAlign w:val="bottom"/>
          </w:tcPr>
          <w:p>
            <w:pPr>
              <w:spacing w:after="0"/>
              <w:rPr>
                <w:sz w:val="14"/>
                <w:szCs w:val="14"/>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b w:val="1"/>
                <w:bCs w:val="1"/>
                <w:color w:val="auto"/>
              </w:rPr>
              <w:t>December 31,</w:t>
            </w:r>
          </w:p>
        </w:tc>
      </w:tr>
      <w:tr>
        <w:trPr>
          <w:trHeight w:val="205"/>
        </w:trPr>
        <w:tc>
          <w:tcPr>
            <w:tcW w:w="8500" w:type="dxa"/>
            <w:vAlign w:val="bottom"/>
          </w:tcPr>
          <w:p>
            <w:pPr>
              <w:spacing w:after="0"/>
              <w:rPr>
                <w:sz w:val="17"/>
                <w:szCs w:val="17"/>
                <w:color w:val="auto"/>
              </w:rPr>
            </w:pPr>
          </w:p>
        </w:tc>
        <w:tc>
          <w:tcPr>
            <w:tcW w:w="1260" w:type="dxa"/>
            <w:vAlign w:val="bottom"/>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1320" w:type="dxa"/>
            <w:vAlign w:val="bottom"/>
            <w:gridSpan w:val="2"/>
          </w:tcPr>
          <w:p>
            <w:pPr>
              <w:jc w:val="right"/>
              <w:ind w:right="403"/>
              <w:spacing w:after="0"/>
              <w:rPr>
                <w:sz w:val="20"/>
                <w:szCs w:val="20"/>
                <w:color w:val="auto"/>
              </w:rPr>
            </w:pPr>
            <w:r>
              <w:rPr>
                <w:rFonts w:ascii="Arial" w:cs="Arial" w:eastAsia="Arial" w:hAnsi="Arial"/>
                <w:sz w:val="15"/>
                <w:szCs w:val="15"/>
                <w:b w:val="1"/>
                <w:bCs w:val="1"/>
                <w:color w:val="auto"/>
              </w:rPr>
              <w:t>2023</w:t>
            </w:r>
          </w:p>
        </w:tc>
      </w:tr>
      <w:tr>
        <w:trPr>
          <w:trHeight w:val="264"/>
        </w:trPr>
        <w:tc>
          <w:tcPr>
            <w:tcW w:w="850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Weighted-average remaining lease term (in years):</w:t>
            </w:r>
          </w:p>
        </w:tc>
        <w:tc>
          <w:tcPr>
            <w:tcW w:w="126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260" w:type="dxa"/>
            <w:vAlign w:val="bottom"/>
            <w:tcBorders>
              <w:top w:val="single" w:sz="8" w:color="auto"/>
            </w:tcBorders>
            <w:shd w:val="clear" w:color="auto" w:fill="E6E6E6"/>
          </w:tcPr>
          <w:p>
            <w:pPr>
              <w:spacing w:after="0"/>
              <w:rPr>
                <w:sz w:val="22"/>
                <w:szCs w:val="22"/>
                <w:color w:val="auto"/>
              </w:rPr>
            </w:pPr>
          </w:p>
        </w:tc>
      </w:tr>
      <w:tr>
        <w:trPr>
          <w:trHeight w:val="268"/>
        </w:trPr>
        <w:tc>
          <w:tcPr>
            <w:tcW w:w="8500" w:type="dxa"/>
            <w:vAlign w:val="bottom"/>
          </w:tcPr>
          <w:p>
            <w:pPr>
              <w:ind w:left="280"/>
              <w:spacing w:after="0"/>
              <w:rPr>
                <w:sz w:val="20"/>
                <w:szCs w:val="20"/>
                <w:color w:val="auto"/>
              </w:rPr>
            </w:pPr>
            <w:r>
              <w:rPr>
                <w:rFonts w:ascii="Arial" w:cs="Arial" w:eastAsia="Arial" w:hAnsi="Arial"/>
                <w:sz w:val="19"/>
                <w:szCs w:val="19"/>
                <w:color w:val="auto"/>
              </w:rPr>
              <w:t>Operating leases</w:t>
            </w:r>
          </w:p>
        </w:tc>
        <w:tc>
          <w:tcPr>
            <w:tcW w:w="1260" w:type="dxa"/>
            <w:vAlign w:val="bottom"/>
          </w:tcPr>
          <w:p>
            <w:pPr>
              <w:jc w:val="right"/>
              <w:spacing w:after="0"/>
              <w:rPr>
                <w:sz w:val="20"/>
                <w:szCs w:val="20"/>
                <w:color w:val="auto"/>
              </w:rPr>
            </w:pPr>
            <w:r>
              <w:rPr>
                <w:rFonts w:ascii="Arial" w:cs="Arial" w:eastAsia="Arial" w:hAnsi="Arial"/>
                <w:sz w:val="19"/>
                <w:szCs w:val="19"/>
                <w:color w:val="auto"/>
              </w:rPr>
              <w:t>6.2</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6.8</w:t>
            </w:r>
          </w:p>
        </w:tc>
      </w:tr>
      <w:tr>
        <w:trPr>
          <w:trHeight w:val="277"/>
        </w:trPr>
        <w:tc>
          <w:tcPr>
            <w:tcW w:w="8500" w:type="dxa"/>
            <w:vAlign w:val="bottom"/>
            <w:shd w:val="clear" w:color="auto" w:fill="E6E6E6"/>
          </w:tcPr>
          <w:p>
            <w:pPr>
              <w:ind w:left="280"/>
              <w:spacing w:after="0"/>
              <w:rPr>
                <w:sz w:val="20"/>
                <w:szCs w:val="20"/>
                <w:color w:val="auto"/>
              </w:rPr>
            </w:pPr>
            <w:r>
              <w:rPr>
                <w:rFonts w:ascii="Arial" w:cs="Arial" w:eastAsia="Arial" w:hAnsi="Arial"/>
                <w:sz w:val="19"/>
                <w:szCs w:val="19"/>
                <w:color w:val="auto"/>
              </w:rPr>
              <w:t>Finance leases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2.6</w:t>
            </w:r>
          </w:p>
        </w:tc>
      </w:tr>
      <w:tr>
        <w:trPr>
          <w:trHeight w:val="248"/>
        </w:trPr>
        <w:tc>
          <w:tcPr>
            <w:tcW w:w="8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Weighted-average discount rate:</w:t>
            </w:r>
          </w:p>
        </w:tc>
        <w:tc>
          <w:tcPr>
            <w:tcW w:w="12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60" w:type="dxa"/>
            <w:vAlign w:val="bottom"/>
            <w:shd w:val="clear" w:color="auto" w:fill="E6E6E6"/>
          </w:tcPr>
          <w:p>
            <w:pPr>
              <w:spacing w:after="0"/>
              <w:rPr>
                <w:sz w:val="23"/>
                <w:szCs w:val="23"/>
                <w:color w:val="auto"/>
              </w:rPr>
            </w:pPr>
          </w:p>
        </w:tc>
      </w:tr>
      <w:tr>
        <w:trPr>
          <w:trHeight w:val="268"/>
        </w:trPr>
        <w:tc>
          <w:tcPr>
            <w:tcW w:w="8500" w:type="dxa"/>
            <w:vAlign w:val="bottom"/>
          </w:tcPr>
          <w:p>
            <w:pPr>
              <w:ind w:left="280"/>
              <w:spacing w:after="0"/>
              <w:rPr>
                <w:sz w:val="20"/>
                <w:szCs w:val="20"/>
                <w:color w:val="auto"/>
              </w:rPr>
            </w:pPr>
            <w:r>
              <w:rPr>
                <w:rFonts w:ascii="Arial" w:cs="Arial" w:eastAsia="Arial" w:hAnsi="Arial"/>
                <w:sz w:val="19"/>
                <w:szCs w:val="19"/>
                <w:color w:val="auto"/>
              </w:rPr>
              <w:t>Operating leases</w:t>
            </w:r>
          </w:p>
        </w:tc>
        <w:tc>
          <w:tcPr>
            <w:tcW w:w="1260" w:type="dxa"/>
            <w:vAlign w:val="bottom"/>
          </w:tcPr>
          <w:p>
            <w:pPr>
              <w:jc w:val="right"/>
              <w:spacing w:after="0"/>
              <w:rPr>
                <w:sz w:val="20"/>
                <w:szCs w:val="20"/>
                <w:color w:val="auto"/>
              </w:rPr>
            </w:pPr>
            <w:r>
              <w:rPr>
                <w:rFonts w:ascii="Arial" w:cs="Arial" w:eastAsia="Arial" w:hAnsi="Arial"/>
                <w:sz w:val="19"/>
                <w:szCs w:val="19"/>
                <w:color w:val="auto"/>
              </w:rPr>
              <w:t>11.87 %</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11.01 %</w:t>
            </w:r>
          </w:p>
        </w:tc>
      </w:tr>
      <w:tr>
        <w:trPr>
          <w:trHeight w:val="280"/>
        </w:trPr>
        <w:tc>
          <w:tcPr>
            <w:tcW w:w="8500" w:type="dxa"/>
            <w:vAlign w:val="bottom"/>
            <w:shd w:val="clear" w:color="auto" w:fill="E6E6E6"/>
          </w:tcPr>
          <w:p>
            <w:pPr>
              <w:ind w:left="280"/>
              <w:spacing w:after="0"/>
              <w:rPr>
                <w:sz w:val="20"/>
                <w:szCs w:val="20"/>
                <w:color w:val="auto"/>
              </w:rPr>
            </w:pPr>
            <w:r>
              <w:rPr>
                <w:rFonts w:ascii="Arial" w:cs="Arial" w:eastAsia="Arial" w:hAnsi="Arial"/>
                <w:sz w:val="19"/>
                <w:szCs w:val="19"/>
                <w:color w:val="auto"/>
              </w:rPr>
              <w:t>Finance leases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5.73 %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-1210945</wp:posOffset>
            </wp:positionV>
            <wp:extent cx="165417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07">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Supplemental cash flow information related to leases where the Company is the lessee was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Cash paid for amounts included in the measurement of lease liabilities:</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68"/>
        </w:trPr>
        <w:tc>
          <w:tcPr>
            <w:tcW w:w="7200" w:type="dxa"/>
            <w:vAlign w:val="bottom"/>
          </w:tcPr>
          <w:p>
            <w:pPr>
              <w:ind w:left="180"/>
              <w:spacing w:after="0"/>
              <w:rPr>
                <w:sz w:val="20"/>
                <w:szCs w:val="20"/>
                <w:color w:val="auto"/>
              </w:rPr>
            </w:pPr>
            <w:r>
              <w:rPr>
                <w:rFonts w:ascii="Arial" w:cs="Arial" w:eastAsia="Arial" w:hAnsi="Arial"/>
                <w:sz w:val="19"/>
                <w:szCs w:val="19"/>
                <w:color w:val="auto"/>
              </w:rPr>
              <w:t>Operating cash flows from operating leases</w:t>
            </w:r>
          </w:p>
        </w:tc>
        <w:tc>
          <w:tcPr>
            <w:tcW w:w="3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59,131</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44,965</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15,482</w:t>
            </w:r>
          </w:p>
        </w:tc>
      </w:tr>
      <w:tr>
        <w:trPr>
          <w:trHeight w:val="280"/>
        </w:trPr>
        <w:tc>
          <w:tcPr>
            <w:tcW w:w="72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Operating cash flows from finance leases (interest payments)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5,261</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5,430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509</w:t>
            </w:r>
          </w:p>
        </w:tc>
      </w:tr>
      <w:tr>
        <w:trPr>
          <w:trHeight w:val="268"/>
        </w:trPr>
        <w:tc>
          <w:tcPr>
            <w:tcW w:w="7200" w:type="dxa"/>
            <w:vAlign w:val="bottom"/>
          </w:tcPr>
          <w:p>
            <w:pPr>
              <w:ind w:left="180"/>
              <w:spacing w:after="0"/>
              <w:rPr>
                <w:sz w:val="20"/>
                <w:szCs w:val="20"/>
                <w:color w:val="auto"/>
              </w:rPr>
            </w:pPr>
            <w:r>
              <w:rPr>
                <w:rFonts w:ascii="Arial" w:cs="Arial" w:eastAsia="Arial" w:hAnsi="Arial"/>
                <w:sz w:val="19"/>
                <w:szCs w:val="19"/>
                <w:color w:val="auto"/>
              </w:rPr>
              <w:t>Financing cash flows from finance leases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3,166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5,425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4,977</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Leased assets obtained in exchange for new operating lease liabilities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23,111</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32,558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73,502</w:t>
            </w:r>
          </w:p>
        </w:tc>
      </w:tr>
      <w:tr>
        <w:trPr>
          <w:trHeight w:val="274"/>
        </w:trPr>
        <w:tc>
          <w:tcPr>
            <w:tcW w:w="7200" w:type="dxa"/>
            <w:vAlign w:val="bottom"/>
          </w:tcPr>
          <w:p>
            <w:pPr>
              <w:ind w:left="60"/>
              <w:spacing w:after="0"/>
              <w:rPr>
                <w:sz w:val="20"/>
                <w:szCs w:val="20"/>
                <w:color w:val="auto"/>
              </w:rPr>
            </w:pPr>
            <w:r>
              <w:rPr>
                <w:rFonts w:ascii="Arial" w:cs="Arial" w:eastAsia="Arial" w:hAnsi="Arial"/>
                <w:sz w:val="19"/>
                <w:szCs w:val="19"/>
                <w:color w:val="auto"/>
              </w:rPr>
              <w:t>Leased assets obtained in exchange for new finance lease liabilities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1,062</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84,392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-1055370</wp:posOffset>
            </wp:positionV>
            <wp:extent cx="248666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8">
                      <a:extLst>
                        <a:ext uri="{28A0092B-C50C-407E-A947-70E740481C1C}"/>
                      </a:extLst>
                    </a:blip>
                    <a:srcRect/>
                    <a:stretch>
                      <a:fillRect/>
                    </a:stretch>
                  </pic:blipFill>
                  <pic:spPr bwMode="auto">
                    <a:xfrm>
                      <a:off x="0" y="0"/>
                      <a:ext cx="2486660" cy="25400"/>
                    </a:xfrm>
                    <a:prstGeom prst="rect">
                      <a:avLst/>
                    </a:prstGeom>
                    <a:noFill/>
                  </pic:spPr>
                </pic:pic>
              </a:graphicData>
            </a:graphic>
          </wp:anchor>
        </w:drawing>
      </w:r>
    </w:p>
    <w:p>
      <w:pPr>
        <w:spacing w:after="0" w:line="24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As of December 31, 2024, the maturities of the Company’s operating and finance lease liabilities (excluding short-term leases)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3"/>
              </w:rPr>
              <w:t>Operating Leases</w:t>
            </w:r>
          </w:p>
        </w:tc>
        <w:tc>
          <w:tcPr>
            <w:tcW w:w="6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b w:val="1"/>
                <w:bCs w:val="1"/>
                <w:color w:val="auto"/>
                <w:w w:val="98"/>
              </w:rPr>
              <w:t>Finance Leases</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2025</w:t>
            </w:r>
          </w:p>
        </w:tc>
        <w:tc>
          <w:tcPr>
            <w:tcW w:w="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64,308</w:t>
            </w:r>
          </w:p>
        </w:tc>
        <w:tc>
          <w:tcPr>
            <w:tcW w:w="460" w:type="dxa"/>
            <w:vAlign w:val="bottom"/>
            <w:gridSpan w:val="2"/>
            <w:shd w:val="clear" w:color="auto" w:fill="E6E6E6"/>
          </w:tcPr>
          <w:p>
            <w:pPr>
              <w:jc w:val="right"/>
              <w:ind w:right="174"/>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6,953</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2026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66,035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82,822</w:t>
            </w: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2027</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57,530</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371</w:t>
            </w:r>
          </w:p>
        </w:tc>
      </w:tr>
      <w:tr>
        <w:trPr>
          <w:trHeight w:val="268"/>
        </w:trPr>
        <w:tc>
          <w:tcPr>
            <w:tcW w:w="8500" w:type="dxa"/>
            <w:vAlign w:val="bottom"/>
          </w:tcPr>
          <w:p>
            <w:pPr>
              <w:ind w:left="60"/>
              <w:spacing w:after="0"/>
              <w:rPr>
                <w:sz w:val="20"/>
                <w:szCs w:val="20"/>
                <w:color w:val="auto"/>
              </w:rPr>
            </w:pPr>
            <w:r>
              <w:rPr>
                <w:rFonts w:ascii="Arial" w:cs="Arial" w:eastAsia="Arial" w:hAnsi="Arial"/>
                <w:sz w:val="19"/>
                <w:szCs w:val="19"/>
                <w:color w:val="auto"/>
              </w:rPr>
              <w:t>2028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53,923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80"/>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2029</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47,570</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w:t>
            </w:r>
          </w:p>
        </w:tc>
      </w:tr>
      <w:tr>
        <w:trPr>
          <w:trHeight w:val="263"/>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Thereafter</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93,101</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Total minimum lease payments</w:t>
            </w: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382,467</w:t>
            </w:r>
          </w:p>
        </w:tc>
        <w:tc>
          <w:tcPr>
            <w:tcW w:w="6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90,193</w:t>
            </w:r>
          </w:p>
        </w:tc>
      </w:tr>
      <w:tr>
        <w:trPr>
          <w:trHeight w:val="263"/>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Less: Interest</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(117,036)</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(7,309)</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Present value of lease obligations</w:t>
            </w: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265,431</w:t>
            </w:r>
          </w:p>
        </w:tc>
        <w:tc>
          <w:tcPr>
            <w:tcW w:w="6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82,884</w:t>
            </w:r>
          </w:p>
        </w:tc>
      </w:tr>
      <w:tr>
        <w:trPr>
          <w:trHeight w:val="263"/>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Less: Current portion</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(35,596)</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(6,788)</w:t>
            </w:r>
          </w:p>
        </w:tc>
      </w:tr>
      <w:tr>
        <w:trPr>
          <w:trHeight w:val="273"/>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Long-term portion of lease obligations</w:t>
            </w:r>
          </w:p>
        </w:tc>
        <w:tc>
          <w:tcPr>
            <w:tcW w:w="32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229,835</w:t>
            </w: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jc w:val="right"/>
              <w:ind w:right="174"/>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76,096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-1942465</wp:posOffset>
            </wp:positionV>
            <wp:extent cx="165417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09">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-899795</wp:posOffset>
            </wp:positionV>
            <wp:extent cx="165417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0">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-551815</wp:posOffset>
            </wp:positionV>
            <wp:extent cx="165417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1">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2">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-42545</wp:posOffset>
            </wp:positionV>
            <wp:extent cx="1654175" cy="495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13">
                      <a:extLst>
                        <a:ext uri="{28A0092B-C50C-407E-A947-70E740481C1C}"/>
                      </a:extLst>
                    </a:blip>
                    <a:srcRect/>
                    <a:stretch>
                      <a:fillRect/>
                    </a:stretch>
                  </pic:blipFill>
                  <pic:spPr bwMode="auto">
                    <a:xfrm>
                      <a:off x="0" y="0"/>
                      <a:ext cx="1654175" cy="49530"/>
                    </a:xfrm>
                    <a:prstGeom prst="rect">
                      <a:avLst/>
                    </a:prstGeom>
                    <a:noFill/>
                  </pic:spPr>
                </pic:pic>
              </a:graphicData>
            </a:graphic>
          </wp:anchor>
        </w:drawing>
      </w:r>
    </w:p>
    <w:p>
      <w:pPr>
        <w:spacing w:after="0" w:line="217" w:lineRule="exact"/>
        <w:rPr>
          <w:sz w:val="20"/>
          <w:szCs w:val="20"/>
          <w:color w:val="auto"/>
        </w:rPr>
      </w:pPr>
    </w:p>
    <w:p>
      <w:pPr>
        <w:ind w:right="840"/>
        <w:spacing w:after="0" w:line="318" w:lineRule="auto"/>
        <w:rPr>
          <w:sz w:val="20"/>
          <w:szCs w:val="20"/>
          <w:color w:val="auto"/>
        </w:rPr>
      </w:pPr>
      <w:r>
        <w:rPr>
          <w:rFonts w:ascii="Arial" w:cs="Arial" w:eastAsia="Arial" w:hAnsi="Arial"/>
          <w:sz w:val="18"/>
          <w:szCs w:val="18"/>
          <w:color w:val="auto"/>
        </w:rPr>
        <w:t>As of December 31, 2024, the Company entered into additional leases for facilities and equipment that have not yet commenced with undiscounted future lease payments of $41.1 million. The leases are expected to commence in 2025 and 2026.</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w:t>
      </w:r>
    </w:p>
    <w:p>
      <w:pPr>
        <w:spacing w:after="0" w:line="249" w:lineRule="exact"/>
        <w:rPr>
          <w:sz w:val="20"/>
          <w:szCs w:val="20"/>
          <w:color w:val="auto"/>
        </w:rPr>
      </w:pPr>
    </w:p>
    <w:p>
      <w:pPr>
        <w:ind w:right="420"/>
        <w:spacing w:after="0" w:line="271" w:lineRule="auto"/>
        <w:rPr>
          <w:sz w:val="20"/>
          <w:szCs w:val="20"/>
          <w:color w:val="auto"/>
        </w:rPr>
      </w:pPr>
      <w:r>
        <w:rPr>
          <w:rFonts w:ascii="Arial" w:cs="Arial" w:eastAsia="Arial" w:hAnsi="Arial"/>
          <w:sz w:val="19"/>
          <w:szCs w:val="19"/>
          <w:color w:val="auto"/>
        </w:rPr>
        <w:t>As of December 31, 2024 and 2023, the Company had $1,037.1 million and $270.2 million in commitments related to AMP-1 and AMP-2 plant and equipment, respectively. These commitments represent future expected payments on open purchase orders entered into as of December 31, 2024 and 2023.</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1080"/>
          </w:cols>
          <w:pgMar w:left="400" w:top="763" w:right="400" w:bottom="0" w:gutter="0" w:footer="0" w:header="0"/>
          <w:type w:val="continuous"/>
        </w:sectPr>
      </w:pPr>
    </w:p>
    <w:bookmarkStart w:id="251" w:name="page252"/>
    <w:bookmarkEnd w:id="251"/>
    <w:p>
      <w:pPr>
        <w:ind w:right="120"/>
        <w:spacing w:after="0" w:line="256" w:lineRule="auto"/>
        <w:rPr>
          <w:sz w:val="20"/>
          <w:szCs w:val="20"/>
          <w:color w:val="auto"/>
        </w:rPr>
      </w:pPr>
      <w:r>
        <w:rPr>
          <w:rFonts w:ascii="Arial" w:cs="Arial" w:eastAsia="Arial" w:hAnsi="Arial"/>
          <w:sz w:val="21"/>
          <w:szCs w:val="21"/>
          <w:color w:val="auto"/>
        </w:rPr>
        <w:t>T</w:t>
      </w:r>
      <w:r>
        <w:rPr>
          <w:rFonts w:ascii="Arial" w:cs="Arial" w:eastAsia="Arial" w:hAnsi="Arial"/>
          <w:sz w:val="19"/>
          <w:szCs w:val="19"/>
          <w:color w:val="auto"/>
        </w:rPr>
        <w:t>he Company’s non-cancellable long-term commitments primarily related to certain inventory component purchases. On October 1, 2024, the</w:t>
      </w:r>
      <w:r>
        <w:rPr>
          <w:rFonts w:ascii="Arial" w:cs="Arial" w:eastAsia="Arial" w:hAnsi="Arial"/>
          <w:sz w:val="21"/>
          <w:szCs w:val="21"/>
          <w:color w:val="auto"/>
        </w:rPr>
        <w:t xml:space="preserve"> </w:t>
      </w:r>
      <w:r>
        <w:rPr>
          <w:rFonts w:ascii="Arial" w:cs="Arial" w:eastAsia="Arial" w:hAnsi="Arial"/>
          <w:sz w:val="19"/>
          <w:szCs w:val="19"/>
          <w:color w:val="auto"/>
        </w:rPr>
        <w:t>Company entered into amendments (the “Amendments”) to certain battery-supply agreements with Panasonic Energy Co., Ltd. and certain of its affiliates. As of December 31, 2024, pursuant to the terms of the Amendments, the Company had remaining minimum purchase commitments of an aggregate of approximately $2.7 billion, calculated using the current base prices, which could vary period-to-period primarily as a result of changes in raw material indexes. The estimated future payments having a remaining term in excess of one year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0"/>
              <w:spacing w:after="0"/>
              <w:rPr>
                <w:sz w:val="20"/>
                <w:szCs w:val="20"/>
                <w:color w:val="auto"/>
              </w:rPr>
            </w:pPr>
            <w:r>
              <w:rPr>
                <w:rFonts w:ascii="Arial" w:cs="Arial" w:eastAsia="Arial" w:hAnsi="Arial"/>
                <w:sz w:val="15"/>
                <w:szCs w:val="15"/>
                <w:b w:val="1"/>
                <w:bCs w:val="1"/>
                <w:color w:val="auto"/>
              </w:rPr>
              <w:t>Minimum</w:t>
            </w:r>
          </w:p>
        </w:tc>
        <w:tc>
          <w:tcPr>
            <w:tcW w:w="0" w:type="dxa"/>
            <w:vAlign w:val="bottom"/>
          </w:tcPr>
          <w:p>
            <w:pPr>
              <w:spacing w:after="0"/>
              <w:rPr>
                <w:sz w:val="1"/>
                <w:szCs w:val="1"/>
                <w:color w:val="auto"/>
              </w:rPr>
            </w:pPr>
          </w:p>
        </w:tc>
      </w:tr>
      <w:tr>
        <w:trPr>
          <w:trHeight w:val="154"/>
        </w:trPr>
        <w:tc>
          <w:tcPr>
            <w:tcW w:w="9820" w:type="dxa"/>
            <w:vAlign w:val="bottom"/>
            <w:vMerge w:val="restart"/>
          </w:tcPr>
          <w:p>
            <w:pPr>
              <w:ind w:left="60"/>
              <w:spacing w:after="0"/>
              <w:rPr>
                <w:sz w:val="20"/>
                <w:szCs w:val="20"/>
                <w:color w:val="auto"/>
              </w:rPr>
            </w:pPr>
            <w:r>
              <w:rPr>
                <w:rFonts w:ascii="Arial" w:cs="Arial" w:eastAsia="Arial" w:hAnsi="Arial"/>
                <w:sz w:val="19"/>
                <w:szCs w:val="19"/>
                <w:color w:val="auto"/>
              </w:rPr>
              <w:t>Years ended December 31,</w:t>
            </w:r>
          </w:p>
        </w:tc>
        <w:tc>
          <w:tcPr>
            <w:tcW w:w="160" w:type="dxa"/>
            <w:vAlign w:val="bottom"/>
          </w:tcPr>
          <w:p>
            <w:pPr>
              <w:spacing w:after="0"/>
              <w:rPr>
                <w:sz w:val="13"/>
                <w:szCs w:val="13"/>
                <w:color w:val="auto"/>
              </w:rPr>
            </w:pPr>
          </w:p>
        </w:tc>
        <w:tc>
          <w:tcPr>
            <w:tcW w:w="1100" w:type="dxa"/>
            <w:vAlign w:val="bottom"/>
          </w:tcPr>
          <w:p>
            <w:pPr>
              <w:jc w:val="center"/>
              <w:ind w:right="90"/>
              <w:spacing w:after="0" w:line="154" w:lineRule="exact"/>
              <w:rPr>
                <w:sz w:val="20"/>
                <w:szCs w:val="20"/>
                <w:color w:val="auto"/>
              </w:rPr>
            </w:pPr>
            <w:r>
              <w:rPr>
                <w:rFonts w:ascii="Arial" w:cs="Arial" w:eastAsia="Arial" w:hAnsi="Arial"/>
                <w:sz w:val="15"/>
                <w:szCs w:val="15"/>
                <w:b w:val="1"/>
                <w:bCs w:val="1"/>
                <w:color w:val="auto"/>
                <w:w w:val="88"/>
              </w:rPr>
              <w:t>Purchase</w:t>
            </w:r>
          </w:p>
        </w:tc>
        <w:tc>
          <w:tcPr>
            <w:tcW w:w="0" w:type="dxa"/>
            <w:vAlign w:val="bottom"/>
          </w:tcPr>
          <w:p>
            <w:pPr>
              <w:spacing w:after="0"/>
              <w:rPr>
                <w:sz w:val="1"/>
                <w:szCs w:val="1"/>
                <w:color w:val="auto"/>
              </w:rPr>
            </w:pPr>
          </w:p>
        </w:tc>
      </w:tr>
      <w:tr>
        <w:trPr>
          <w:trHeight w:val="205"/>
        </w:trPr>
        <w:tc>
          <w:tcPr>
            <w:tcW w:w="9820" w:type="dxa"/>
            <w:vAlign w:val="bottom"/>
            <w:tcBorders>
              <w:bottom w:val="single" w:sz="8" w:color="E6E6E6"/>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5"/>
                <w:szCs w:val="15"/>
                <w:b w:val="1"/>
                <w:bCs w:val="1"/>
                <w:color w:val="auto"/>
                <w:w w:val="93"/>
              </w:rPr>
              <w:t>Commitment</w:t>
            </w:r>
          </w:p>
        </w:tc>
        <w:tc>
          <w:tcPr>
            <w:tcW w:w="0" w:type="dxa"/>
            <w:vAlign w:val="bottom"/>
          </w:tcPr>
          <w:p>
            <w:pPr>
              <w:spacing w:after="0"/>
              <w:rPr>
                <w:sz w:val="1"/>
                <w:szCs w:val="1"/>
                <w:color w:val="auto"/>
              </w:rPr>
            </w:pPr>
          </w:p>
        </w:tc>
      </w:tr>
      <w:tr>
        <w:trPr>
          <w:trHeight w:val="264"/>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2025</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220,781</w:t>
            </w:r>
          </w:p>
        </w:tc>
        <w:tc>
          <w:tcPr>
            <w:tcW w:w="0" w:type="dxa"/>
            <w:vAlign w:val="bottom"/>
          </w:tcPr>
          <w:p>
            <w:pPr>
              <w:spacing w:after="0"/>
              <w:rPr>
                <w:sz w:val="1"/>
                <w:szCs w:val="1"/>
                <w:color w:val="auto"/>
              </w:rPr>
            </w:pPr>
          </w:p>
        </w:tc>
      </w:tr>
      <w:tr>
        <w:trPr>
          <w:trHeight w:val="268"/>
        </w:trPr>
        <w:tc>
          <w:tcPr>
            <w:tcW w:w="9820" w:type="dxa"/>
            <w:vAlign w:val="bottom"/>
          </w:tcPr>
          <w:p>
            <w:pPr>
              <w:ind w:left="60"/>
              <w:spacing w:after="0"/>
              <w:rPr>
                <w:sz w:val="20"/>
                <w:szCs w:val="20"/>
                <w:color w:val="auto"/>
              </w:rPr>
            </w:pPr>
            <w:r>
              <w:rPr>
                <w:rFonts w:ascii="Arial" w:cs="Arial" w:eastAsia="Arial" w:hAnsi="Arial"/>
                <w:sz w:val="19"/>
                <w:szCs w:val="19"/>
                <w:color w:val="auto"/>
              </w:rPr>
              <w:t>2026</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277,988</w:t>
            </w:r>
          </w:p>
        </w:tc>
        <w:tc>
          <w:tcPr>
            <w:tcW w:w="0" w:type="dxa"/>
            <w:vAlign w:val="bottom"/>
          </w:tcPr>
          <w:p>
            <w:pPr>
              <w:spacing w:after="0"/>
              <w:rPr>
                <w:sz w:val="1"/>
                <w:szCs w:val="1"/>
                <w:color w:val="auto"/>
              </w:rPr>
            </w:pPr>
          </w:p>
        </w:tc>
      </w:tr>
      <w:tr>
        <w:trPr>
          <w:trHeight w:val="280"/>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2027</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379,113</w:t>
            </w:r>
          </w:p>
        </w:tc>
        <w:tc>
          <w:tcPr>
            <w:tcW w:w="0" w:type="dxa"/>
            <w:vAlign w:val="bottom"/>
          </w:tcPr>
          <w:p>
            <w:pPr>
              <w:spacing w:after="0"/>
              <w:rPr>
                <w:sz w:val="1"/>
                <w:szCs w:val="1"/>
                <w:color w:val="auto"/>
              </w:rPr>
            </w:pPr>
          </w:p>
        </w:tc>
      </w:tr>
      <w:tr>
        <w:trPr>
          <w:trHeight w:val="268"/>
        </w:trPr>
        <w:tc>
          <w:tcPr>
            <w:tcW w:w="9820" w:type="dxa"/>
            <w:vAlign w:val="bottom"/>
          </w:tcPr>
          <w:p>
            <w:pPr>
              <w:ind w:left="60"/>
              <w:spacing w:after="0"/>
              <w:rPr>
                <w:sz w:val="20"/>
                <w:szCs w:val="20"/>
                <w:color w:val="auto"/>
              </w:rPr>
            </w:pPr>
            <w:r>
              <w:rPr>
                <w:rFonts w:ascii="Arial" w:cs="Arial" w:eastAsia="Arial" w:hAnsi="Arial"/>
                <w:sz w:val="19"/>
                <w:szCs w:val="19"/>
                <w:color w:val="auto"/>
              </w:rPr>
              <w:t>2028</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465,102</w:t>
            </w:r>
          </w:p>
        </w:tc>
        <w:tc>
          <w:tcPr>
            <w:tcW w:w="0" w:type="dxa"/>
            <w:vAlign w:val="bottom"/>
          </w:tcPr>
          <w:p>
            <w:pPr>
              <w:spacing w:after="0"/>
              <w:rPr>
                <w:sz w:val="1"/>
                <w:szCs w:val="1"/>
                <w:color w:val="auto"/>
              </w:rPr>
            </w:pPr>
          </w:p>
        </w:tc>
      </w:tr>
      <w:tr>
        <w:trPr>
          <w:trHeight w:val="280"/>
        </w:trPr>
        <w:tc>
          <w:tcPr>
            <w:tcW w:w="9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2029</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458,595</w:t>
            </w:r>
          </w:p>
        </w:tc>
        <w:tc>
          <w:tcPr>
            <w:tcW w:w="0" w:type="dxa"/>
            <w:vAlign w:val="bottom"/>
          </w:tcPr>
          <w:p>
            <w:pPr>
              <w:spacing w:after="0"/>
              <w:rPr>
                <w:sz w:val="1"/>
                <w:szCs w:val="1"/>
                <w:color w:val="auto"/>
              </w:rPr>
            </w:pPr>
          </w:p>
        </w:tc>
      </w:tr>
      <w:tr>
        <w:trPr>
          <w:trHeight w:val="263"/>
        </w:trPr>
        <w:tc>
          <w:tcPr>
            <w:tcW w:w="982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Thereafter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938,032</w:t>
            </w:r>
          </w:p>
        </w:tc>
        <w:tc>
          <w:tcPr>
            <w:tcW w:w="0" w:type="dxa"/>
            <w:vAlign w:val="bottom"/>
          </w:tcPr>
          <w:p>
            <w:pPr>
              <w:spacing w:after="0"/>
              <w:rPr>
                <w:sz w:val="1"/>
                <w:szCs w:val="1"/>
                <w:color w:val="auto"/>
              </w:rPr>
            </w:pPr>
          </w:p>
        </w:tc>
      </w:tr>
      <w:tr>
        <w:trPr>
          <w:trHeight w:val="273"/>
        </w:trPr>
        <w:tc>
          <w:tcPr>
            <w:tcW w:w="98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2,739,611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-1247140</wp:posOffset>
            </wp:positionV>
            <wp:extent cx="82169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4">
                      <a:extLst>
                        <a:ext uri="{28A0092B-C50C-407E-A947-70E740481C1C}"/>
                      </a:extLst>
                    </a:blip>
                    <a:srcRect/>
                    <a:stretch>
                      <a:fillRect/>
                    </a:stretch>
                  </pic:blipFill>
                  <pic:spPr bwMode="auto">
                    <a:xfrm>
                      <a:off x="0" y="0"/>
                      <a:ext cx="821690"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-204470</wp:posOffset>
            </wp:positionV>
            <wp:extent cx="82169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15">
                      <a:extLst>
                        <a:ext uri="{28A0092B-C50C-407E-A947-70E740481C1C}"/>
                      </a:extLst>
                    </a:blip>
                    <a:srcRect/>
                    <a:stretch>
                      <a:fillRect/>
                    </a:stretch>
                  </pic:blipFill>
                  <pic:spPr bwMode="auto">
                    <a:xfrm>
                      <a:off x="0" y="0"/>
                      <a:ext cx="821690"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-42545</wp:posOffset>
            </wp:positionV>
            <wp:extent cx="821690" cy="49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16">
                      <a:extLst>
                        <a:ext uri="{28A0092B-C50C-407E-A947-70E740481C1C}"/>
                      </a:extLst>
                    </a:blip>
                    <a:srcRect/>
                    <a:stretch>
                      <a:fillRect/>
                    </a:stretch>
                  </pic:blipFill>
                  <pic:spPr bwMode="auto">
                    <a:xfrm>
                      <a:off x="0" y="0"/>
                      <a:ext cx="821690" cy="4953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Matters</w:t>
      </w:r>
    </w:p>
    <w:p>
      <w:pPr>
        <w:spacing w:after="0" w:line="249"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 xml:space="preserve">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w:t>
      </w:r>
      <w:r>
        <w:rPr>
          <w:rFonts w:ascii="Arial" w:cs="Arial" w:eastAsia="Arial" w:hAnsi="Arial"/>
          <w:sz w:val="17"/>
          <w:szCs w:val="17"/>
          <w:b w:val="1"/>
          <w:bCs w:val="1"/>
          <w:i w:val="1"/>
          <w:iCs w:val="1"/>
          <w:color w:val="auto"/>
        </w:rPr>
        <w:t>In re CCIV / Lucid Motors Securities Litigation</w:t>
      </w:r>
      <w:r>
        <w:rPr>
          <w:rFonts w:ascii="Arial" w:cs="Arial" w:eastAsia="Arial" w:hAnsi="Arial"/>
          <w:sz w:val="17"/>
          <w:szCs w:val="17"/>
          <w:color w:val="auto"/>
        </w:rPr>
        <w:t xml:space="preserve">,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former chief executive officer, and generally alleges that, prior to the public announcement of the Merger, defendants purportedly made false or misleading statements regarding the expected start of production for the Lucid Air and related matters.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On August 8, 2024, the Ninth Circuit affirmed the district court judgment dismissing the case. On September 17, 2024, the Ninth Circuit denied Plaintiffs’ petition for a rehearing or rehearing </w:t>
      </w:r>
      <w:r>
        <w:rPr>
          <w:rFonts w:ascii="Arial" w:cs="Arial" w:eastAsia="Arial" w:hAnsi="Arial"/>
          <w:sz w:val="17"/>
          <w:szCs w:val="17"/>
          <w:b w:val="1"/>
          <w:bCs w:val="1"/>
          <w:i w:val="1"/>
          <w:iCs w:val="1"/>
          <w:color w:val="auto"/>
        </w:rPr>
        <w:t>en banc</w:t>
      </w:r>
      <w:r>
        <w:rPr>
          <w:rFonts w:ascii="Arial" w:cs="Arial" w:eastAsia="Arial" w:hAnsi="Arial"/>
          <w:sz w:val="17"/>
          <w:szCs w:val="17"/>
          <w:color w:val="auto"/>
        </w:rPr>
        <w:t>. On September 25, 2024, the Ninth Circuit issued its mandate affirming the district court judgment. Plaintiffs did not appeal the case to the U.S. Supreme Court, and the case is therefore now final and closed.</w:t>
      </w:r>
    </w:p>
    <w:p>
      <w:pPr>
        <w:spacing w:after="0" w:line="17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 xml:space="preserve">In addition, two separate purported shareholders of the Company filed shareholder derivative actions, purportedly on behalf of the Company, against certain of the Company’s officers and directors in California federal court, captioned </w:t>
      </w:r>
      <w:r>
        <w:rPr>
          <w:rFonts w:ascii="Arial" w:cs="Arial" w:eastAsia="Arial" w:hAnsi="Arial"/>
          <w:sz w:val="17"/>
          <w:szCs w:val="17"/>
          <w:b w:val="1"/>
          <w:bCs w:val="1"/>
          <w:i w:val="1"/>
          <w:iCs w:val="1"/>
          <w:color w:val="auto"/>
        </w:rPr>
        <w:t>Sahr Lebbie v. Peter Rawlinson, et al.,</w:t>
      </w:r>
      <w:r>
        <w:rPr>
          <w:rFonts w:ascii="Arial" w:cs="Arial" w:eastAsia="Arial" w:hAnsi="Arial"/>
          <w:sz w:val="17"/>
          <w:szCs w:val="17"/>
          <w:color w:val="auto"/>
        </w:rPr>
        <w:t xml:space="preserve"> Case No. 4:22-cv-00531-YGR (N.D. Cal.) (filed on January 26, 2022) and </w:t>
      </w:r>
      <w:r>
        <w:rPr>
          <w:rFonts w:ascii="Arial" w:cs="Arial" w:eastAsia="Arial" w:hAnsi="Arial"/>
          <w:sz w:val="17"/>
          <w:szCs w:val="17"/>
          <w:b w:val="1"/>
          <w:bCs w:val="1"/>
          <w:i w:val="1"/>
          <w:iCs w:val="1"/>
          <w:color w:val="auto"/>
        </w:rPr>
        <w:t>Zsata Williams-Spinks v. Peter Rawlinson, et al.</w:t>
      </w:r>
      <w:r>
        <w:rPr>
          <w:rFonts w:ascii="Arial" w:cs="Arial" w:eastAsia="Arial" w:hAnsi="Arial"/>
          <w:sz w:val="17"/>
          <w:szCs w:val="17"/>
          <w:color w:val="auto"/>
        </w:rPr>
        <w:t xml:space="preserve">,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On April 29, 2022, the District Court consolidated the two actions into </w:t>
      </w:r>
      <w:r>
        <w:rPr>
          <w:rFonts w:ascii="Arial" w:cs="Arial" w:eastAsia="Arial" w:hAnsi="Arial"/>
          <w:sz w:val="17"/>
          <w:szCs w:val="17"/>
          <w:b w:val="1"/>
          <w:bCs w:val="1"/>
          <w:i w:val="1"/>
          <w:iCs w:val="1"/>
          <w:color w:val="auto"/>
        </w:rPr>
        <w:t>In re Lucid Group, Inc. (f/k/a Churchill Capital Corp IV) Derivative Litigation</w:t>
      </w:r>
      <w:r>
        <w:rPr>
          <w:rFonts w:ascii="Arial" w:cs="Arial" w:eastAsia="Arial" w:hAnsi="Arial"/>
          <w:sz w:val="17"/>
          <w:szCs w:val="17"/>
          <w:color w:val="auto"/>
        </w:rPr>
        <w:t>,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 On January 9, 2025, the parties filed a joint stipulation of dismissal without prejudice with the District Court, and the case is now closed.</w:t>
      </w:r>
    </w:p>
    <w:p>
      <w:pPr>
        <w:sectPr>
          <w:pgSz w:w="11880" w:h="15480" w:orient="portrait"/>
          <w:cols w:equalWidth="0" w:num="1">
            <w:col w:w="11080"/>
          </w:cols>
          <w:pgMar w:left="400" w:top="757"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1080"/>
          </w:cols>
          <w:pgMar w:left="400" w:top="757" w:right="400" w:bottom="0" w:gutter="0" w:footer="0" w:header="0"/>
          <w:type w:val="continuous"/>
        </w:sectPr>
      </w:pPr>
    </w:p>
    <w:bookmarkStart w:id="252" w:name="page253"/>
    <w:bookmarkEnd w:id="252"/>
    <w:p>
      <w:pPr>
        <w:ind w:right="20"/>
        <w:spacing w:after="0" w:line="271" w:lineRule="auto"/>
        <w:rPr>
          <w:sz w:val="20"/>
          <w:szCs w:val="20"/>
          <w:color w:val="auto"/>
        </w:rPr>
      </w:pPr>
      <w:r>
        <w:rPr>
          <w:rFonts w:ascii="Arial" w:cs="Arial" w:eastAsia="Arial" w:hAnsi="Arial"/>
          <w:sz w:val="18"/>
          <w:szCs w:val="18"/>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8"/>
          <w:szCs w:val="18"/>
          <w:b w:val="1"/>
          <w:bCs w:val="1"/>
          <w:i w:val="1"/>
          <w:iCs w:val="1"/>
          <w:color w:val="auto"/>
        </w:rPr>
        <w:t>Victor W. Mangino v. Lucid 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 et al.</w:t>
      </w:r>
      <w:r>
        <w:rPr>
          <w:rFonts w:ascii="Arial" w:cs="Arial" w:eastAsia="Arial" w:hAnsi="Arial"/>
          <w:sz w:val="18"/>
          <w:szCs w:val="18"/>
          <w:color w:val="auto"/>
        </w:rPr>
        <w:t>, Case No. 3:22-cv-02094-JD, and</w:t>
      </w:r>
      <w:r>
        <w:rPr>
          <w:rFonts w:ascii="Arial" w:cs="Arial" w:eastAsia="Arial" w:hAnsi="Arial"/>
          <w:sz w:val="18"/>
          <w:szCs w:val="18"/>
          <w:b w:val="1"/>
          <w:bCs w:val="1"/>
          <w:i w:val="1"/>
          <w:iCs w:val="1"/>
          <w:color w:val="auto"/>
        </w:rPr>
        <w:t xml:space="preserve"> Anant Goel v. Lucid Group, Inc., et al.</w:t>
      </w:r>
      <w:r>
        <w:rPr>
          <w:rFonts w:ascii="Arial" w:cs="Arial" w:eastAsia="Arial" w:hAnsi="Arial"/>
          <w:sz w:val="18"/>
          <w:szCs w:val="18"/>
          <w:color w:val="auto"/>
        </w:rPr>
        <w:t>, Case No. 3:22-cv-03176-JD. The two matters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consolidated into one action, entitled </w:t>
      </w:r>
      <w:r>
        <w:rPr>
          <w:rFonts w:ascii="Arial" w:cs="Arial" w:eastAsia="Arial" w:hAnsi="Arial"/>
          <w:sz w:val="18"/>
          <w:szCs w:val="18"/>
          <w:b w:val="1"/>
          <w:bCs w:val="1"/>
          <w:i w:val="1"/>
          <w:iCs w:val="1"/>
          <w:color w:val="auto"/>
        </w:rPr>
        <w:t>In re Lucid Group, Inc. Securities Litigation</w:t>
      </w:r>
      <w:r>
        <w:rPr>
          <w:rFonts w:ascii="Arial" w:cs="Arial" w:eastAsia="Arial" w:hAnsi="Arial"/>
          <w:sz w:val="18"/>
          <w:szCs w:val="18"/>
          <w:color w:val="auto"/>
        </w:rPr>
        <w:t>, Case No. 22-cv-02094-JD. The consolidated complaint named as defendants Lucid Group, Inc. and the Company’s former chief executive officer and former chief financial officer, and generally alleged that defendants purportedly made false or misleading statements regarding delivery and revenue projections and related matters between November 15, 2021 and August 3, 2022. The consolidated complaint sought certification of the action as a class action, as well as compensatory damages, interest thereon, and attorneys’ fees and expenses. Defendants filed a Motion to Dismiss on February 23, 2023. On August 8, 2024, the Court granted in part and denied in part Defendants’ Motion to Dismiss, and gave Plaintiffs leave to replead their complaint. On September 20, 2024, Plaintiffs filed an Amended Consolidated Complaint, which no longer names the Company’s former chief financial officer as an individual defendant. Defendants filed a motion to dismiss the Amended Consolidated Complaint, in part, on December 6, 2024. A hearing on the Motion to Dismiss currently is scheduled for May 1, 2025. Defendants believe that the plaintiffs’ claims are without merit and intend to defend themselves vigorously, but they cannot ensure that their efforts to dismiss partially the consolidated complaint will be successful or that they will ultimately avoid liability in this matter.</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9"/>
          <w:szCs w:val="19"/>
          <w:b w:val="1"/>
          <w:bCs w:val="1"/>
          <w:i w:val="1"/>
          <w:iCs w:val="1"/>
          <w:color w:val="auto"/>
        </w:rPr>
        <w:t>Floyd Taylor v. Glenn August, et al.</w:t>
      </w:r>
      <w:r>
        <w:rPr>
          <w:rFonts w:ascii="Arial" w:cs="Arial" w:eastAsia="Arial" w:hAnsi="Arial"/>
          <w:sz w:val="19"/>
          <w:szCs w:val="19"/>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9"/>
          <w:szCs w:val="19"/>
          <w:b w:val="1"/>
          <w:bCs w:val="1"/>
          <w:i w:val="1"/>
          <w:iCs w:val="1"/>
          <w:color w:val="auto"/>
        </w:rPr>
        <w:t>In re Lucid Group, Inc. Securities Litigation</w:t>
      </w:r>
      <w:r>
        <w:rPr>
          <w:rFonts w:ascii="Arial" w:cs="Arial" w:eastAsia="Arial" w:hAnsi="Arial"/>
          <w:sz w:val="19"/>
          <w:szCs w:val="19"/>
          <w:color w:val="auto"/>
        </w:rPr>
        <w:t xml:space="preserve"> action, the </w:t>
      </w:r>
      <w:r>
        <w:rPr>
          <w:rFonts w:ascii="Arial" w:cs="Arial" w:eastAsia="Arial" w:hAnsi="Arial"/>
          <w:sz w:val="19"/>
          <w:szCs w:val="19"/>
          <w:b w:val="1"/>
          <w:bCs w:val="1"/>
          <w:i w:val="1"/>
          <w:iCs w:val="1"/>
          <w:color w:val="auto"/>
        </w:rPr>
        <w:t>Taylor</w:t>
      </w:r>
      <w:r>
        <w:rPr>
          <w:rFonts w:ascii="Arial" w:cs="Arial" w:eastAsia="Arial" w:hAnsi="Arial"/>
          <w:sz w:val="19"/>
          <w:szCs w:val="19"/>
          <w:color w:val="auto"/>
        </w:rPr>
        <w:t xml:space="preserve"> complaint asserts claims for breach of fiduciary duty, unjust enrichment, waste of corporate assets and aiding and abetting breach of fiduciary duty. The complaint seeks compensatory damages, punitive damages, an accounting, interest, and attorneys’ fees and expenses. The case is currently stayed per stipulation of the parties.</w:t>
      </w:r>
    </w:p>
    <w:p>
      <w:pPr>
        <w:spacing w:after="0" w:line="194" w:lineRule="exact"/>
        <w:rPr>
          <w:sz w:val="20"/>
          <w:szCs w:val="20"/>
          <w:color w:val="auto"/>
        </w:rPr>
      </w:pPr>
    </w:p>
    <w:p>
      <w:pPr>
        <w:jc w:val="both"/>
        <w:ind w:right="80"/>
        <w:spacing w:after="0" w:line="280" w:lineRule="auto"/>
        <w:rPr>
          <w:sz w:val="20"/>
          <w:szCs w:val="20"/>
          <w:color w:val="auto"/>
        </w:rPr>
      </w:pPr>
      <w:r>
        <w:rPr>
          <w:rFonts w:ascii="Arial" w:cs="Arial" w:eastAsia="Arial" w:hAnsi="Arial"/>
          <w:sz w:val="18"/>
          <w:szCs w:val="18"/>
          <w:color w:val="auto"/>
        </w:rPr>
        <w:t xml:space="preserve">In addition, on September 5, 2024, a purported shareholder of the Company filed a shareholder derivative lawsuit purportedly on behalf of the Company against certain of the Company’s current and former directors in Delaware state court, captioned </w:t>
      </w:r>
      <w:r>
        <w:rPr>
          <w:rFonts w:ascii="Arial" w:cs="Arial" w:eastAsia="Arial" w:hAnsi="Arial"/>
          <w:sz w:val="18"/>
          <w:szCs w:val="18"/>
          <w:b w:val="1"/>
          <w:bCs w:val="1"/>
          <w:i w:val="1"/>
          <w:iCs w:val="1"/>
          <w:color w:val="auto"/>
        </w:rPr>
        <w:t>Tricia Rodney v. Rawlinson, et al.</w:t>
      </w:r>
      <w:r>
        <w:rPr>
          <w:rFonts w:ascii="Arial" w:cs="Arial" w:eastAsia="Arial" w:hAnsi="Arial"/>
          <w:sz w:val="18"/>
          <w:szCs w:val="18"/>
          <w:color w:val="auto"/>
        </w:rPr>
        <w:t>, Delaware Court of Chancery, Case No. 2024-0927. The complaint also names the Company as a nominal defendant. The complaint alleges: (i) a breach of fiduciary duty claim against the Company’s former CEO; (ii) a breach of fiduciary duty claim against other then-current members of the Board in 2022; and (iii) an unjust enrichment claim against the Company’s former CEO.</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 xml:space="preserve">On November 8, 2024, another purported shareholder of the Company filed a shareholder derivative lawsuit purportedly on behalf of the Company against certain of the Company’s current and former directors in Delaware state court, captioned </w:t>
      </w:r>
      <w:r>
        <w:rPr>
          <w:rFonts w:ascii="Arial" w:cs="Arial" w:eastAsia="Arial" w:hAnsi="Arial"/>
          <w:sz w:val="19"/>
          <w:szCs w:val="19"/>
          <w:b w:val="1"/>
          <w:bCs w:val="1"/>
          <w:i w:val="1"/>
          <w:iCs w:val="1"/>
          <w:color w:val="auto"/>
        </w:rPr>
        <w:t>Ed Lomont v. Rawlinson, et al.</w:t>
      </w:r>
      <w:r>
        <w:rPr>
          <w:rFonts w:ascii="Arial" w:cs="Arial" w:eastAsia="Arial" w:hAnsi="Arial"/>
          <w:sz w:val="19"/>
          <w:szCs w:val="19"/>
          <w:color w:val="auto"/>
        </w:rPr>
        <w:t xml:space="preserve">, Delaware Court of Chancery, Case No. 2024-1149. The complaint also names the Company as a nominal defendant. The complaint alleges claims similar to the </w:t>
      </w:r>
      <w:r>
        <w:rPr>
          <w:rFonts w:ascii="Arial" w:cs="Arial" w:eastAsia="Arial" w:hAnsi="Arial"/>
          <w:sz w:val="19"/>
          <w:szCs w:val="19"/>
          <w:b w:val="1"/>
          <w:bCs w:val="1"/>
          <w:i w:val="1"/>
          <w:iCs w:val="1"/>
          <w:color w:val="auto"/>
        </w:rPr>
        <w:t>Rodney</w:t>
      </w:r>
      <w:r>
        <w:rPr>
          <w:rFonts w:ascii="Arial" w:cs="Arial" w:eastAsia="Arial" w:hAnsi="Arial"/>
          <w:sz w:val="19"/>
          <w:szCs w:val="19"/>
          <w:color w:val="auto"/>
        </w:rPr>
        <w:t xml:space="preserve"> shareholder derivative action and is premised on the same underlying allegations as those in the </w:t>
      </w:r>
      <w:r>
        <w:rPr>
          <w:rFonts w:ascii="Arial" w:cs="Arial" w:eastAsia="Arial" w:hAnsi="Arial"/>
          <w:sz w:val="19"/>
          <w:szCs w:val="19"/>
          <w:b w:val="1"/>
          <w:bCs w:val="1"/>
          <w:i w:val="1"/>
          <w:iCs w:val="1"/>
          <w:color w:val="auto"/>
        </w:rPr>
        <w:t>In re Lucid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Group, Inc. Securities Litigation </w:t>
      </w:r>
      <w:r>
        <w:rPr>
          <w:rFonts w:ascii="Arial" w:cs="Arial" w:eastAsia="Arial" w:hAnsi="Arial"/>
          <w:sz w:val="19"/>
          <w:szCs w:val="19"/>
          <w:color w:val="auto"/>
        </w:rPr>
        <w:t>action. On January 28, 2025, the Court consolidated the</w:t>
      </w:r>
      <w:r>
        <w:rPr>
          <w:rFonts w:ascii="Arial" w:cs="Arial" w:eastAsia="Arial" w:hAnsi="Arial"/>
          <w:sz w:val="19"/>
          <w:szCs w:val="19"/>
          <w:b w:val="1"/>
          <w:bCs w:val="1"/>
          <w:i w:val="1"/>
          <w:iCs w:val="1"/>
          <w:color w:val="auto"/>
        </w:rPr>
        <w:t xml:space="preserve"> Rodney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Lomont </w:t>
      </w:r>
      <w:r>
        <w:rPr>
          <w:rFonts w:ascii="Arial" w:cs="Arial" w:eastAsia="Arial" w:hAnsi="Arial"/>
          <w:sz w:val="19"/>
          <w:szCs w:val="19"/>
          <w:color w:val="auto"/>
        </w:rPr>
        <w:t>actions into</w:t>
      </w:r>
      <w:r>
        <w:rPr>
          <w:rFonts w:ascii="Arial" w:cs="Arial" w:eastAsia="Arial" w:hAnsi="Arial"/>
          <w:sz w:val="19"/>
          <w:szCs w:val="19"/>
          <w:b w:val="1"/>
          <w:bCs w:val="1"/>
          <w:i w:val="1"/>
          <w:iCs w:val="1"/>
          <w:color w:val="auto"/>
        </w:rPr>
        <w:t xml:space="preserve"> In re Lucid Group, Inc. Stockholder Derivative Litigation</w:t>
      </w:r>
      <w:r>
        <w:rPr>
          <w:rFonts w:ascii="Arial" w:cs="Arial" w:eastAsia="Arial" w:hAnsi="Arial"/>
          <w:sz w:val="19"/>
          <w:szCs w:val="19"/>
          <w:color w:val="auto"/>
        </w:rPr>
        <w:t>, Delaware Court of Chancery, Consolidated Case No. 2024-0927. The consolidated action is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stayed per stipulation of the parties.</w:t>
      </w:r>
    </w:p>
    <w:p>
      <w:pPr>
        <w:spacing w:after="0" w:line="194"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 xml:space="preserve">On December 3, 2024, another purported shareholder of the Company filed a shareholder derivative lawsuit purportedly on behalf of the Company against certain of the Company’s current and former directors in Delaware state court, captioned </w:t>
      </w:r>
      <w:r>
        <w:rPr>
          <w:rFonts w:ascii="Arial" w:cs="Arial" w:eastAsia="Arial" w:hAnsi="Arial"/>
          <w:sz w:val="17"/>
          <w:szCs w:val="17"/>
          <w:b w:val="1"/>
          <w:bCs w:val="1"/>
          <w:i w:val="1"/>
          <w:iCs w:val="1"/>
          <w:color w:val="auto"/>
        </w:rPr>
        <w:t>May Vang and Mohammed Khalid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 Rawlinson, et al.</w:t>
      </w:r>
      <w:r>
        <w:rPr>
          <w:rFonts w:ascii="Arial" w:cs="Arial" w:eastAsia="Arial" w:hAnsi="Arial"/>
          <w:sz w:val="17"/>
          <w:szCs w:val="17"/>
          <w:color w:val="auto"/>
        </w:rPr>
        <w:t>, Delaware Court of Chancery, Case No. 2024-1243. The complaint also names the Company as a nominal defendant.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complaint asserts claims similar to the </w:t>
      </w:r>
      <w:r>
        <w:rPr>
          <w:rFonts w:ascii="Arial" w:cs="Arial" w:eastAsia="Arial" w:hAnsi="Arial"/>
          <w:sz w:val="17"/>
          <w:szCs w:val="17"/>
          <w:b w:val="1"/>
          <w:bCs w:val="1"/>
          <w:i w:val="1"/>
          <w:iCs w:val="1"/>
          <w:color w:val="auto"/>
        </w:rPr>
        <w:t>Taylor</w:t>
      </w:r>
      <w:r>
        <w:rPr>
          <w:rFonts w:ascii="Arial" w:cs="Arial" w:eastAsia="Arial" w:hAnsi="Arial"/>
          <w:sz w:val="17"/>
          <w:szCs w:val="17"/>
          <w:color w:val="auto"/>
        </w:rPr>
        <w:t xml:space="preserve"> shareholder derivative action and is premised on the same underlying allegations as those in the </w:t>
      </w:r>
      <w:r>
        <w:rPr>
          <w:rFonts w:ascii="Arial" w:cs="Arial" w:eastAsia="Arial" w:hAnsi="Arial"/>
          <w:sz w:val="17"/>
          <w:szCs w:val="17"/>
          <w:b w:val="1"/>
          <w:bCs w:val="1"/>
          <w:i w:val="1"/>
          <w:iCs w:val="1"/>
          <w:color w:val="auto"/>
        </w:rPr>
        <w:t xml:space="preserve">In re Lucid Group, Inc. Securities Litigation </w:t>
      </w:r>
      <w:r>
        <w:rPr>
          <w:rFonts w:ascii="Arial" w:cs="Arial" w:eastAsia="Arial" w:hAnsi="Arial"/>
          <w:sz w:val="17"/>
          <w:szCs w:val="17"/>
          <w:color w:val="auto"/>
        </w:rPr>
        <w:t>action. The case is currently stayed per stipulation of the parties.</w:t>
      </w:r>
    </w:p>
    <w:p>
      <w:pPr>
        <w:spacing w:after="0" w:line="162"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 xml:space="preserve">On January 29, 2025, another purported shareholder of the Company filed a shareholder derivative lawsuit purportedly on behalf of the Company against certain of the Company’s current and former directors in California federal court, captioned </w:t>
      </w:r>
      <w:r>
        <w:rPr>
          <w:rFonts w:ascii="Arial" w:cs="Arial" w:eastAsia="Arial" w:hAnsi="Arial"/>
          <w:sz w:val="17"/>
          <w:szCs w:val="17"/>
          <w:b w:val="1"/>
          <w:bCs w:val="1"/>
          <w:i w:val="1"/>
          <w:iCs w:val="1"/>
          <w:color w:val="auto"/>
        </w:rPr>
        <w:t>Zalmon Uvaydov v. Rawlinson,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et al.</w:t>
      </w:r>
      <w:r>
        <w:rPr>
          <w:rFonts w:ascii="Arial" w:cs="Arial" w:eastAsia="Arial" w:hAnsi="Arial"/>
          <w:sz w:val="17"/>
          <w:szCs w:val="17"/>
          <w:color w:val="auto"/>
        </w:rPr>
        <w:t>, U.S. District Court for the Northern District of California, Case No.: 3:25-cv-943. The complaint asserts claims similar to the</w:t>
      </w:r>
      <w:r>
        <w:rPr>
          <w:rFonts w:ascii="Arial" w:cs="Arial" w:eastAsia="Arial" w:hAnsi="Arial"/>
          <w:sz w:val="17"/>
          <w:szCs w:val="17"/>
          <w:b w:val="1"/>
          <w:bCs w:val="1"/>
          <w:i w:val="1"/>
          <w:iCs w:val="1"/>
          <w:color w:val="auto"/>
        </w:rPr>
        <w:t xml:space="preserve"> Taylor </w:t>
      </w:r>
      <w:r>
        <w:rPr>
          <w:rFonts w:ascii="Arial" w:cs="Arial" w:eastAsia="Arial" w:hAnsi="Arial"/>
          <w:sz w:val="17"/>
          <w:szCs w:val="17"/>
          <w:color w:val="auto"/>
        </w:rPr>
        <w:t xml:space="preserve">shareholder derivative action, as well as a contribution claim under Section 21(D) of the Securities Exchange Act against the Company’s former CEO, and is premised on the same underlying allegations as those in the </w:t>
      </w:r>
      <w:r>
        <w:rPr>
          <w:rFonts w:ascii="Arial" w:cs="Arial" w:eastAsia="Arial" w:hAnsi="Arial"/>
          <w:sz w:val="17"/>
          <w:szCs w:val="17"/>
          <w:b w:val="1"/>
          <w:bCs w:val="1"/>
          <w:i w:val="1"/>
          <w:iCs w:val="1"/>
          <w:color w:val="auto"/>
        </w:rPr>
        <w:t>In re Lucid Group, Inc. Securities Litigation</w:t>
      </w:r>
      <w:r>
        <w:rPr>
          <w:rFonts w:ascii="Arial" w:cs="Arial" w:eastAsia="Arial" w:hAnsi="Arial"/>
          <w:sz w:val="17"/>
          <w:szCs w:val="17"/>
          <w:color w:val="auto"/>
        </w:rPr>
        <w:t xml:space="preserve"> action.</w:t>
      </w:r>
    </w:p>
    <w:p>
      <w:pPr>
        <w:spacing w:after="0" w:line="162" w:lineRule="exact"/>
        <w:rPr>
          <w:sz w:val="20"/>
          <w:szCs w:val="20"/>
          <w:color w:val="auto"/>
        </w:rPr>
      </w:pPr>
    </w:p>
    <w:p>
      <w:pPr>
        <w:ind w:right="240"/>
        <w:spacing w:after="0" w:line="262" w:lineRule="auto"/>
        <w:rPr>
          <w:sz w:val="20"/>
          <w:szCs w:val="20"/>
          <w:color w:val="auto"/>
        </w:rPr>
      </w:pPr>
      <w:r>
        <w:rPr>
          <w:rFonts w:ascii="Arial" w:cs="Arial" w:eastAsia="Arial" w:hAnsi="Arial"/>
          <w:sz w:val="19"/>
          <w:szCs w:val="19"/>
          <w:color w:val="auto"/>
        </w:rPr>
        <w:t xml:space="preserve">On February 7, 2025, another purported shareholder of the Company filed a shareholder derivative lawsuit purportedly on behalf of the Company against certain of the Company’s current and former directors in California federal court, captioned </w:t>
      </w:r>
      <w:r>
        <w:rPr>
          <w:rFonts w:ascii="Arial" w:cs="Arial" w:eastAsia="Arial" w:hAnsi="Arial"/>
          <w:sz w:val="19"/>
          <w:szCs w:val="19"/>
          <w:b w:val="1"/>
          <w:bCs w:val="1"/>
          <w:i w:val="1"/>
          <w:iCs w:val="1"/>
          <w:color w:val="auto"/>
        </w:rPr>
        <w:t>Neil Cook v. Rawlinson, et al.</w:t>
      </w:r>
      <w:r>
        <w:rPr>
          <w:rFonts w:ascii="Arial" w:cs="Arial" w:eastAsia="Arial" w:hAnsi="Arial"/>
          <w:sz w:val="19"/>
          <w:szCs w:val="19"/>
          <w:color w:val="auto"/>
        </w:rPr>
        <w:t xml:space="preserve">, U.S. District Court for the Northern District of California, Case No.: 3:25-cv-01346. The complaint asserts claims similar to the </w:t>
      </w:r>
      <w:r>
        <w:rPr>
          <w:rFonts w:ascii="Arial" w:cs="Arial" w:eastAsia="Arial" w:hAnsi="Arial"/>
          <w:sz w:val="19"/>
          <w:szCs w:val="19"/>
          <w:b w:val="1"/>
          <w:bCs w:val="1"/>
          <w:i w:val="1"/>
          <w:iCs w:val="1"/>
          <w:color w:val="auto"/>
        </w:rPr>
        <w:t>Taylor</w:t>
      </w:r>
      <w:r>
        <w:rPr>
          <w:rFonts w:ascii="Arial" w:cs="Arial" w:eastAsia="Arial" w:hAnsi="Arial"/>
          <w:sz w:val="19"/>
          <w:szCs w:val="19"/>
          <w:color w:val="auto"/>
        </w:rPr>
        <w:t xml:space="preserve"> shareholder derivative action, as well as a Section 14(a) claim, and is premised on the same underlying allegations as those in the </w:t>
      </w:r>
      <w:r>
        <w:rPr>
          <w:rFonts w:ascii="Arial" w:cs="Arial" w:eastAsia="Arial" w:hAnsi="Arial"/>
          <w:sz w:val="19"/>
          <w:szCs w:val="19"/>
          <w:b w:val="1"/>
          <w:bCs w:val="1"/>
          <w:i w:val="1"/>
          <w:iCs w:val="1"/>
          <w:color w:val="auto"/>
        </w:rPr>
        <w:t>In re Lucid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Group, Inc. Securities Litigation </w:t>
      </w:r>
      <w:r>
        <w:rPr>
          <w:rFonts w:ascii="Arial" w:cs="Arial" w:eastAsia="Arial" w:hAnsi="Arial"/>
          <w:sz w:val="19"/>
          <w:szCs w:val="19"/>
          <w:color w:val="auto"/>
        </w:rPr>
        <w:t>action.</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1060"/>
          </w:cols>
          <w:pgMar w:left="400" w:top="763" w:right="420" w:bottom="0" w:gutter="0" w:footer="0" w:header="0"/>
          <w:type w:val="continuous"/>
        </w:sectPr>
      </w:pPr>
    </w:p>
    <w:bookmarkStart w:id="253" w:name="page254"/>
    <w:bookmarkEnd w:id="253"/>
    <w:p>
      <w:pPr>
        <w:ind w:right="80"/>
        <w:spacing w:after="0" w:line="257" w:lineRule="auto"/>
        <w:rPr>
          <w:sz w:val="20"/>
          <w:szCs w:val="20"/>
          <w:color w:val="auto"/>
        </w:rPr>
      </w:pPr>
      <w:r>
        <w:rPr>
          <w:rFonts w:ascii="Arial" w:cs="Arial" w:eastAsia="Arial" w:hAnsi="Arial"/>
          <w:sz w:val="19"/>
          <w:szCs w:val="19"/>
          <w:color w:val="auto"/>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filed a petition for further review of the case by the Illinois Supreme Court and the Illinois Supreme Court denied review.</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are unable to submit specimens of use by the applicable deadline to perfect such trademark rights. For instance, in June 2024, we reached an agreement with Gravity, Inc. to settle a claim before the United States Patent and Trademark Office (“USPTO”) that opposed and requested cancellation of our trademark application and registration for the use of “Gravity.”</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w:t>
      </w:r>
    </w:p>
    <w:p>
      <w:pPr>
        <w:spacing w:after="0" w:line="249"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$72.6 million and $56.3 million as of December 31, 2024 and 2023, respectively, for which no liabilities are recorded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INCOME TAXES</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components of loss before provision for income taxes for the years ended December 31, 2024, 2023 and 2022,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Loss subject to domestic income taxes</w:t>
            </w:r>
          </w:p>
        </w:tc>
        <w:tc>
          <w:tcPr>
            <w:tcW w:w="240" w:type="dxa"/>
            <w:vAlign w:val="bottom"/>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(2,699,739)</w:t>
            </w:r>
          </w:p>
        </w:tc>
        <w:tc>
          <w:tcPr>
            <w:tcW w:w="300" w:type="dxa"/>
            <w:vAlign w:val="bottom"/>
            <w:gridSpan w:val="2"/>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(2,825,820)</w:t>
            </w:r>
          </w:p>
        </w:tc>
        <w:tc>
          <w:tcPr>
            <w:tcW w:w="320" w:type="dxa"/>
            <w:vAlign w:val="bottom"/>
            <w:gridSpan w:val="2"/>
            <w:shd w:val="clear" w:color="auto" w:fill="E6E6E6"/>
          </w:tcPr>
          <w:p>
            <w:pPr>
              <w:jc w:val="right"/>
              <w:ind w:right="24"/>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(1,306,245)</w:t>
            </w:r>
          </w:p>
        </w:tc>
      </w:tr>
      <w:tr>
        <w:trPr>
          <w:trHeight w:val="263"/>
        </w:trPr>
        <w:tc>
          <w:tcPr>
            <w:tcW w:w="72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Loss subject to foreign income taxes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(13,004)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(1,574)</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2,164</w:t>
            </w:r>
          </w:p>
        </w:tc>
      </w:tr>
      <w:tr>
        <w:trPr>
          <w:trHeight w:val="273"/>
        </w:trPr>
        <w:tc>
          <w:tcPr>
            <w:tcW w:w="7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Loss before provision for income taxes</w:t>
            </w:r>
          </w:p>
        </w:tc>
        <w:tc>
          <w:tcPr>
            <w:tcW w:w="24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(2,712,743)</w:t>
            </w:r>
          </w:p>
        </w:tc>
        <w:tc>
          <w:tcPr>
            <w:tcW w:w="4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(2,827,394)</w:t>
            </w:r>
          </w:p>
        </w:tc>
        <w:tc>
          <w:tcPr>
            <w:tcW w:w="6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jc w:val="right"/>
              <w:ind w:right="24"/>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(1,304,081)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-551815</wp:posOffset>
            </wp:positionV>
            <wp:extent cx="248666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17">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-204470</wp:posOffset>
            </wp:positionV>
            <wp:extent cx="248666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18">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19">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1080"/>
          </w:cols>
          <w:pgMar w:left="400" w:top="763" w:right="400" w:bottom="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color w:val="auto"/>
        </w:rPr>
        <w:t>The Company recorded provision for income taxes in connection with its domestic, state, and foreign subsidiaries for the years ended</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December 31, 2024, 2023 and 2022, respectively, as follows (in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54"/>
        </w:trPr>
        <w:tc>
          <w:tcPr>
            <w:tcW w:w="7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2022</w:t>
            </w:r>
          </w:p>
        </w:tc>
      </w:tr>
      <w:tr>
        <w:trPr>
          <w:trHeight w:val="279"/>
        </w:trPr>
        <w:tc>
          <w:tcPr>
            <w:tcW w:w="722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Current</w:t>
            </w: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68"/>
        </w:trPr>
        <w:tc>
          <w:tcPr>
            <w:tcW w:w="7220" w:type="dxa"/>
            <w:vAlign w:val="bottom"/>
            <w:gridSpan w:val="2"/>
          </w:tcPr>
          <w:p>
            <w:pPr>
              <w:ind w:left="60"/>
              <w:spacing w:after="0"/>
              <w:rPr>
                <w:sz w:val="20"/>
                <w:szCs w:val="20"/>
                <w:color w:val="auto"/>
              </w:rPr>
            </w:pPr>
            <w:r>
              <w:rPr>
                <w:rFonts w:ascii="Arial" w:cs="Arial" w:eastAsia="Arial" w:hAnsi="Arial"/>
                <w:sz w:val="19"/>
                <w:szCs w:val="19"/>
                <w:color w:val="auto"/>
              </w:rPr>
              <w:t>Federal</w:t>
            </w:r>
          </w:p>
        </w:tc>
        <w:tc>
          <w:tcPr>
            <w:tcW w:w="280" w:type="dxa"/>
            <w:vAlign w:val="bottom"/>
          </w:tcPr>
          <w:p>
            <w:pPr>
              <w:jc w:val="right"/>
              <w:ind w:right="64"/>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gridSpan w:val="2"/>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80"/>
        </w:trPr>
        <w:tc>
          <w:tcPr>
            <w:tcW w:w="72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State</w:t>
            </w: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w:t>
            </w:r>
          </w:p>
        </w:tc>
      </w:tr>
      <w:tr>
        <w:trPr>
          <w:trHeight w:val="263"/>
        </w:trPr>
        <w:tc>
          <w:tcPr>
            <w:tcW w:w="7220" w:type="dxa"/>
            <w:vAlign w:val="bottom"/>
            <w:tcBorders>
              <w:bottom w:val="single" w:sz="8" w:color="E6E6E6"/>
            </w:tcBorders>
            <w:gridSpan w:val="2"/>
          </w:tcPr>
          <w:p>
            <w:pPr>
              <w:ind w:left="60"/>
              <w:spacing w:after="0"/>
              <w:rPr>
                <w:sz w:val="20"/>
                <w:szCs w:val="20"/>
                <w:color w:val="auto"/>
              </w:rPr>
            </w:pPr>
            <w:r>
              <w:rPr>
                <w:rFonts w:ascii="Arial" w:cs="Arial" w:eastAsia="Arial" w:hAnsi="Arial"/>
                <w:sz w:val="19"/>
                <w:szCs w:val="19"/>
                <w:color w:val="auto"/>
              </w:rPr>
              <w:t>Foreign</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1,339</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1,002</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365</w:t>
            </w:r>
          </w:p>
        </w:tc>
      </w:tr>
      <w:tr>
        <w:trPr>
          <w:trHeight w:val="288"/>
        </w:trPr>
        <w:tc>
          <w:tcPr>
            <w:tcW w:w="72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Total current tax expense</w:t>
            </w:r>
          </w:p>
        </w:tc>
        <w:tc>
          <w:tcPr>
            <w:tcW w:w="280" w:type="dxa"/>
            <w:vAlign w:val="bottom"/>
            <w:shd w:val="clear" w:color="auto" w:fill="E6E6E6"/>
          </w:tcPr>
          <w:p>
            <w:pPr>
              <w:jc w:val="right"/>
              <w:ind w:right="64"/>
              <w:spacing w:after="0"/>
              <w:rPr>
                <w:sz w:val="20"/>
                <w:szCs w:val="20"/>
                <w:color w:val="auto"/>
              </w:rPr>
            </w:pPr>
            <w:r>
              <w:rPr>
                <w:rFonts w:ascii="Arial" w:cs="Arial" w:eastAsia="Arial" w:hAnsi="Arial"/>
                <w:sz w:val="19"/>
                <w:szCs w:val="19"/>
                <w:color w:val="auto"/>
                <w:w w:val="94"/>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1,339</w:t>
            </w:r>
          </w:p>
        </w:tc>
        <w:tc>
          <w:tcPr>
            <w:tcW w:w="360" w:type="dxa"/>
            <w:vAlign w:val="bottom"/>
            <w:gridSpan w:val="2"/>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1,026</w:t>
            </w:r>
          </w:p>
        </w:tc>
        <w:tc>
          <w:tcPr>
            <w:tcW w:w="380" w:type="dxa"/>
            <w:vAlign w:val="bottom"/>
            <w:gridSpan w:val="2"/>
            <w:shd w:val="clear" w:color="auto" w:fill="E6E6E6"/>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379</w:t>
            </w:r>
          </w:p>
        </w:tc>
      </w:tr>
      <w:tr>
        <w:trPr>
          <w:trHeight w:val="253"/>
        </w:trPr>
        <w:tc>
          <w:tcPr>
            <w:tcW w:w="7220" w:type="dxa"/>
            <w:vAlign w:val="bottom"/>
            <w:tcBorders>
              <w:top w:val="single" w:sz="8" w:color="E6E6E6"/>
            </w:tcBorders>
            <w:gridSpan w:val="2"/>
          </w:tcPr>
          <w:p>
            <w:pPr>
              <w:ind w:left="60"/>
              <w:spacing w:after="0"/>
              <w:rPr>
                <w:sz w:val="20"/>
                <w:szCs w:val="20"/>
                <w:color w:val="auto"/>
              </w:rPr>
            </w:pPr>
            <w:r>
              <w:rPr>
                <w:rFonts w:ascii="Arial" w:cs="Arial" w:eastAsia="Arial" w:hAnsi="Arial"/>
                <w:sz w:val="19"/>
                <w:szCs w:val="19"/>
                <w:b w:val="1"/>
                <w:bCs w:val="1"/>
                <w:color w:val="auto"/>
              </w:rPr>
              <w:t>Deferred</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80"/>
        </w:trPr>
        <w:tc>
          <w:tcPr>
            <w:tcW w:w="72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Federal</w:t>
            </w:r>
          </w:p>
        </w:tc>
        <w:tc>
          <w:tcPr>
            <w:tcW w:w="280" w:type="dxa"/>
            <w:vAlign w:val="bottom"/>
            <w:shd w:val="clear" w:color="auto" w:fill="E6E6E6"/>
          </w:tcPr>
          <w:p>
            <w:pPr>
              <w:jc w:val="right"/>
              <w:ind w:right="64"/>
              <w:spacing w:after="0"/>
              <w:rPr>
                <w:sz w:val="20"/>
                <w:szCs w:val="20"/>
                <w:color w:val="auto"/>
              </w:rPr>
            </w:pPr>
            <w:r>
              <w:rPr>
                <w:rFonts w:ascii="Arial" w:cs="Arial" w:eastAsia="Arial" w:hAnsi="Arial"/>
                <w:sz w:val="19"/>
                <w:szCs w:val="19"/>
                <w:color w:val="auto"/>
                <w:w w:val="94"/>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60" w:type="dxa"/>
            <w:vAlign w:val="bottom"/>
            <w:gridSpan w:val="2"/>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shd w:val="clear" w:color="auto" w:fill="E6E6E6"/>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220" w:type="dxa"/>
            <w:vAlign w:val="bottom"/>
            <w:gridSpan w:val="2"/>
          </w:tcPr>
          <w:p>
            <w:pPr>
              <w:ind w:left="60"/>
              <w:spacing w:after="0"/>
              <w:rPr>
                <w:sz w:val="20"/>
                <w:szCs w:val="20"/>
                <w:color w:val="auto"/>
              </w:rPr>
            </w:pPr>
            <w:r>
              <w:rPr>
                <w:rFonts w:ascii="Arial" w:cs="Arial" w:eastAsia="Arial" w:hAnsi="Arial"/>
                <w:sz w:val="19"/>
                <w:szCs w:val="19"/>
                <w:color w:val="auto"/>
              </w:rPr>
              <w:t>State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69"/>
        </w:trPr>
        <w:tc>
          <w:tcPr>
            <w:tcW w:w="722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Foreign</w:t>
            </w:r>
          </w:p>
        </w:tc>
        <w:tc>
          <w:tcPr>
            <w:tcW w:w="28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(140)</w:t>
            </w:r>
          </w:p>
        </w:tc>
        <w:tc>
          <w:tcPr>
            <w:tcW w:w="4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2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Total deferred tax expense</w:t>
            </w: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w:t>
            </w:r>
          </w:p>
        </w:tc>
        <w:tc>
          <w:tcPr>
            <w:tcW w:w="4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provision for income taxes</w:t>
            </w: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1,199</w:t>
            </w:r>
          </w:p>
        </w:tc>
        <w:tc>
          <w:tcPr>
            <w:tcW w:w="4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1,026</w:t>
            </w:r>
          </w:p>
        </w:tc>
        <w:tc>
          <w:tcPr>
            <w:tcW w:w="6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-1976120</wp:posOffset>
            </wp:positionV>
            <wp:extent cx="248666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20">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-1271905</wp:posOffset>
            </wp:positionV>
            <wp:extent cx="248666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21">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-1088390</wp:posOffset>
            </wp:positionV>
            <wp:extent cx="248666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22">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-384175</wp:posOffset>
            </wp:positionV>
            <wp:extent cx="248666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23">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-201295</wp:posOffset>
            </wp:positionV>
            <wp:extent cx="248666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24">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-18415</wp:posOffset>
            </wp:positionV>
            <wp:extent cx="248666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5">
                      <a:extLst>
                        <a:ext uri="{28A0092B-C50C-407E-A947-70E740481C1C}"/>
                      </a:extLst>
                    </a:blip>
                    <a:srcRect/>
                    <a:stretch>
                      <a:fillRect/>
                    </a:stretch>
                  </pic:blipFill>
                  <pic:spPr bwMode="auto">
                    <a:xfrm>
                      <a:off x="0" y="0"/>
                      <a:ext cx="2486660" cy="25400"/>
                    </a:xfrm>
                    <a:prstGeom prst="rect">
                      <a:avLst/>
                    </a:prstGeom>
                    <a:noFill/>
                  </pic:spPr>
                </pic:pic>
              </a:graphicData>
            </a:graphic>
          </wp:anchor>
        </w:drawing>
      </w: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reconciliation of taxes at the federal statutory rate to our provision for income taxes for the years ended December 31, 2024, 2023 and 2022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940" w:type="dxa"/>
            <w:vAlign w:val="bottom"/>
            <w:tcBorders>
              <w:bottom w:val="single" w:sz="8" w:color="auto"/>
            </w:tcBorders>
            <w:gridSpan w:val="5"/>
          </w:tcPr>
          <w:p>
            <w:pPr>
              <w:ind w:left="1080"/>
              <w:spacing w:after="0"/>
              <w:rPr>
                <w:sz w:val="20"/>
                <w:szCs w:val="20"/>
                <w:color w:val="auto"/>
              </w:rPr>
            </w:pPr>
            <w:r>
              <w:rPr>
                <w:rFonts w:ascii="Arial" w:cs="Arial" w:eastAsia="Arial" w:hAnsi="Arial"/>
                <w:sz w:val="15"/>
                <w:szCs w:val="15"/>
                <w:b w:val="1"/>
                <w:bCs w:val="1"/>
                <w:color w:val="auto"/>
                <w:w w:val="99"/>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Statutory federal income tax rate</w:t>
            </w:r>
          </w:p>
        </w:tc>
        <w:tc>
          <w:tcPr>
            <w:tcW w:w="1260" w:type="dxa"/>
            <w:vAlign w:val="bottom"/>
            <w:shd w:val="clear" w:color="auto" w:fill="E6E6E6"/>
          </w:tcPr>
          <w:p>
            <w:pPr>
              <w:jc w:val="right"/>
              <w:ind w:right="48"/>
              <w:spacing w:after="0"/>
              <w:rPr>
                <w:sz w:val="20"/>
                <w:szCs w:val="20"/>
                <w:color w:val="auto"/>
              </w:rPr>
            </w:pPr>
            <w:r>
              <w:rPr>
                <w:rFonts w:ascii="Arial" w:cs="Arial" w:eastAsia="Arial" w:hAnsi="Arial"/>
                <w:sz w:val="19"/>
                <w:szCs w:val="19"/>
                <w:color w:val="auto"/>
              </w:rPr>
              <w:t>21.0%</w:t>
            </w:r>
          </w:p>
        </w:tc>
        <w:tc>
          <w:tcPr>
            <w:tcW w:w="1300" w:type="dxa"/>
            <w:vAlign w:val="bottom"/>
            <w:gridSpan w:val="2"/>
            <w:shd w:val="clear" w:color="auto" w:fill="E6E6E6"/>
          </w:tcPr>
          <w:p>
            <w:pPr>
              <w:jc w:val="right"/>
              <w:ind w:right="29"/>
              <w:spacing w:after="0"/>
              <w:rPr>
                <w:sz w:val="20"/>
                <w:szCs w:val="20"/>
                <w:color w:val="auto"/>
              </w:rPr>
            </w:pPr>
            <w:r>
              <w:rPr>
                <w:rFonts w:ascii="Arial" w:cs="Arial" w:eastAsia="Arial" w:hAnsi="Arial"/>
                <w:sz w:val="19"/>
                <w:szCs w:val="19"/>
                <w:color w:val="auto"/>
              </w:rPr>
              <w:t>21.0%</w:t>
            </w:r>
          </w:p>
        </w:tc>
        <w:tc>
          <w:tcPr>
            <w:tcW w:w="6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46"/>
              <w:spacing w:after="0"/>
              <w:rPr>
                <w:sz w:val="20"/>
                <w:szCs w:val="20"/>
                <w:color w:val="auto"/>
              </w:rPr>
            </w:pPr>
            <w:r>
              <w:rPr>
                <w:rFonts w:ascii="Arial" w:cs="Arial" w:eastAsia="Arial" w:hAnsi="Arial"/>
                <w:sz w:val="19"/>
                <w:szCs w:val="19"/>
                <w:color w:val="auto"/>
              </w:rPr>
              <w:t>21.0%</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Stock-based compensation</w:t>
            </w:r>
          </w:p>
        </w:tc>
        <w:tc>
          <w:tcPr>
            <w:tcW w:w="1260" w:type="dxa"/>
            <w:vAlign w:val="bottom"/>
          </w:tcPr>
          <w:p>
            <w:pPr>
              <w:jc w:val="right"/>
              <w:ind w:right="48"/>
              <w:spacing w:after="0"/>
              <w:rPr>
                <w:sz w:val="20"/>
                <w:szCs w:val="20"/>
                <w:color w:val="auto"/>
              </w:rPr>
            </w:pPr>
            <w:r>
              <w:rPr>
                <w:rFonts w:ascii="Arial" w:cs="Arial" w:eastAsia="Arial" w:hAnsi="Arial"/>
                <w:sz w:val="19"/>
                <w:szCs w:val="19"/>
                <w:color w:val="auto"/>
              </w:rPr>
              <w:t>(1.6)</w:t>
            </w:r>
          </w:p>
        </w:tc>
        <w:tc>
          <w:tcPr>
            <w:tcW w:w="1300" w:type="dxa"/>
            <w:vAlign w:val="bottom"/>
            <w:gridSpan w:val="2"/>
          </w:tcPr>
          <w:p>
            <w:pPr>
              <w:jc w:val="right"/>
              <w:ind w:right="29"/>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6"/>
              <w:spacing w:after="0"/>
              <w:rPr>
                <w:sz w:val="20"/>
                <w:szCs w:val="20"/>
                <w:color w:val="auto"/>
              </w:rPr>
            </w:pPr>
            <w:r>
              <w:rPr>
                <w:rFonts w:ascii="Arial" w:cs="Arial" w:eastAsia="Arial" w:hAnsi="Arial"/>
                <w:sz w:val="19"/>
                <w:szCs w:val="19"/>
                <w:color w:val="auto"/>
              </w:rPr>
              <w:t>(0.6)</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Change in fair value of warrant liability</w:t>
            </w:r>
          </w:p>
        </w:tc>
        <w:tc>
          <w:tcPr>
            <w:tcW w:w="1260" w:type="dxa"/>
            <w:vAlign w:val="bottom"/>
            <w:shd w:val="clear" w:color="auto" w:fill="E6E6E6"/>
          </w:tcPr>
          <w:p>
            <w:pPr>
              <w:jc w:val="right"/>
              <w:ind w:right="48"/>
              <w:spacing w:after="0"/>
              <w:rPr>
                <w:sz w:val="20"/>
                <w:szCs w:val="20"/>
                <w:color w:val="auto"/>
              </w:rPr>
            </w:pPr>
            <w:r>
              <w:rPr>
                <w:rFonts w:ascii="Arial" w:cs="Arial" w:eastAsia="Arial" w:hAnsi="Arial"/>
                <w:sz w:val="19"/>
                <w:szCs w:val="19"/>
                <w:color w:val="auto"/>
              </w:rPr>
              <w:t>1.5</w:t>
            </w:r>
          </w:p>
        </w:tc>
        <w:tc>
          <w:tcPr>
            <w:tcW w:w="1300" w:type="dxa"/>
            <w:vAlign w:val="bottom"/>
            <w:gridSpan w:val="2"/>
            <w:shd w:val="clear" w:color="auto" w:fill="E6E6E6"/>
          </w:tcPr>
          <w:p>
            <w:pPr>
              <w:jc w:val="right"/>
              <w:ind w:right="29"/>
              <w:spacing w:after="0"/>
              <w:rPr>
                <w:sz w:val="20"/>
                <w:szCs w:val="20"/>
                <w:color w:val="auto"/>
              </w:rPr>
            </w:pPr>
            <w:r>
              <w:rPr>
                <w:rFonts w:ascii="Arial" w:cs="Arial" w:eastAsia="Arial" w:hAnsi="Arial"/>
                <w:sz w:val="19"/>
                <w:szCs w:val="19"/>
                <w:color w:val="auto"/>
              </w:rPr>
              <w:t>0.6</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46"/>
              <w:spacing w:after="0"/>
              <w:rPr>
                <w:sz w:val="20"/>
                <w:szCs w:val="20"/>
                <w:color w:val="auto"/>
              </w:rPr>
            </w:pPr>
            <w:r>
              <w:rPr>
                <w:rFonts w:ascii="Arial" w:cs="Arial" w:eastAsia="Arial" w:hAnsi="Arial"/>
                <w:sz w:val="19"/>
                <w:szCs w:val="19"/>
                <w:color w:val="auto"/>
              </w:rPr>
              <w:t>20.2</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Tax-exempt interest</w:t>
            </w:r>
          </w:p>
        </w:tc>
        <w:tc>
          <w:tcPr>
            <w:tcW w:w="126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6"/>
              <w:spacing w:after="0"/>
              <w:rPr>
                <w:sz w:val="20"/>
                <w:szCs w:val="20"/>
                <w:color w:val="auto"/>
              </w:rPr>
            </w:pPr>
            <w:r>
              <w:rPr>
                <w:rFonts w:ascii="Arial" w:cs="Arial" w:eastAsia="Arial" w:hAnsi="Arial"/>
                <w:sz w:val="19"/>
                <w:szCs w:val="19"/>
                <w:color w:val="auto"/>
              </w:rPr>
              <w:t>0.4</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Nondeductible expenses</w:t>
            </w:r>
          </w:p>
        </w:tc>
        <w:tc>
          <w:tcPr>
            <w:tcW w:w="1260" w:type="dxa"/>
            <w:vAlign w:val="bottom"/>
            <w:shd w:val="clear" w:color="auto" w:fill="E6E6E6"/>
          </w:tcPr>
          <w:p>
            <w:pPr>
              <w:jc w:val="right"/>
              <w:ind w:right="48"/>
              <w:spacing w:after="0"/>
              <w:rPr>
                <w:sz w:val="20"/>
                <w:szCs w:val="20"/>
                <w:color w:val="auto"/>
              </w:rPr>
            </w:pPr>
            <w:r>
              <w:rPr>
                <w:rFonts w:ascii="Arial" w:cs="Arial" w:eastAsia="Arial" w:hAnsi="Arial"/>
                <w:sz w:val="19"/>
                <w:szCs w:val="19"/>
                <w:color w:val="auto"/>
              </w:rPr>
              <w:t>0.6</w:t>
            </w:r>
          </w:p>
        </w:tc>
        <w:tc>
          <w:tcPr>
            <w:tcW w:w="1300" w:type="dxa"/>
            <w:vAlign w:val="bottom"/>
            <w:gridSpan w:val="2"/>
            <w:shd w:val="clear" w:color="auto" w:fill="E6E6E6"/>
          </w:tcPr>
          <w:p>
            <w:pPr>
              <w:jc w:val="right"/>
              <w:ind w:right="29"/>
              <w:spacing w:after="0"/>
              <w:rPr>
                <w:sz w:val="20"/>
                <w:szCs w:val="20"/>
                <w:color w:val="auto"/>
              </w:rPr>
            </w:pPr>
            <w:r>
              <w:rPr>
                <w:rFonts w:ascii="Arial" w:cs="Arial" w:eastAsia="Arial" w:hAnsi="Arial"/>
                <w:sz w:val="19"/>
                <w:szCs w:val="19"/>
                <w:color w:val="auto"/>
              </w:rPr>
              <w:t>(1.5)</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46"/>
              <w:spacing w:after="0"/>
              <w:rPr>
                <w:sz w:val="20"/>
                <w:szCs w:val="20"/>
                <w:color w:val="auto"/>
              </w:rPr>
            </w:pPr>
            <w:r>
              <w:rPr>
                <w:rFonts w:ascii="Arial" w:cs="Arial" w:eastAsia="Arial" w:hAnsi="Arial"/>
                <w:sz w:val="19"/>
                <w:szCs w:val="19"/>
                <w:color w:val="auto"/>
              </w:rPr>
              <w:t>0.4</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Tax credits</w:t>
            </w:r>
          </w:p>
        </w:tc>
        <w:tc>
          <w:tcPr>
            <w:tcW w:w="1260" w:type="dxa"/>
            <w:vAlign w:val="bottom"/>
          </w:tcPr>
          <w:p>
            <w:pPr>
              <w:jc w:val="right"/>
              <w:ind w:right="48"/>
              <w:spacing w:after="0"/>
              <w:rPr>
                <w:sz w:val="20"/>
                <w:szCs w:val="20"/>
                <w:color w:val="auto"/>
              </w:rPr>
            </w:pPr>
            <w:r>
              <w:rPr>
                <w:rFonts w:ascii="Arial" w:cs="Arial" w:eastAsia="Arial" w:hAnsi="Arial"/>
                <w:sz w:val="19"/>
                <w:szCs w:val="19"/>
                <w:color w:val="auto"/>
              </w:rPr>
              <w:t>1.2</w:t>
            </w:r>
          </w:p>
        </w:tc>
        <w:tc>
          <w:tcPr>
            <w:tcW w:w="1300" w:type="dxa"/>
            <w:vAlign w:val="bottom"/>
            <w:gridSpan w:val="2"/>
          </w:tcPr>
          <w:p>
            <w:pPr>
              <w:jc w:val="right"/>
              <w:ind w:right="29"/>
              <w:spacing w:after="0"/>
              <w:rPr>
                <w:sz w:val="20"/>
                <w:szCs w:val="20"/>
                <w:color w:val="auto"/>
              </w:rPr>
            </w:pPr>
            <w:r>
              <w:rPr>
                <w:rFonts w:ascii="Arial" w:cs="Arial" w:eastAsia="Arial" w:hAnsi="Arial"/>
                <w:sz w:val="19"/>
                <w:szCs w:val="19"/>
                <w:color w:val="auto"/>
              </w:rPr>
              <w:t>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6"/>
              <w:spacing w:after="0"/>
              <w:rPr>
                <w:sz w:val="20"/>
                <w:szCs w:val="20"/>
                <w:color w:val="auto"/>
              </w:rPr>
            </w:pPr>
            <w:r>
              <w:rPr>
                <w:rFonts w:ascii="Arial" w:cs="Arial" w:eastAsia="Arial" w:hAnsi="Arial"/>
                <w:sz w:val="19"/>
                <w:szCs w:val="19"/>
                <w:color w:val="auto"/>
              </w:rPr>
              <w:t>1.4</w:t>
            </w:r>
          </w:p>
        </w:tc>
      </w:tr>
      <w:tr>
        <w:trPr>
          <w:trHeight w:val="289"/>
        </w:trPr>
        <w:tc>
          <w:tcPr>
            <w:tcW w:w="7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Change in valuation allowance</w:t>
            </w:r>
          </w:p>
        </w:tc>
        <w:tc>
          <w:tcPr>
            <w:tcW w:w="1260" w:type="dxa"/>
            <w:vAlign w:val="bottom"/>
            <w:tcBorders>
              <w:bottom w:val="single" w:sz="8" w:color="auto"/>
            </w:tcBorders>
            <w:shd w:val="clear" w:color="auto" w:fill="E6E6E6"/>
          </w:tcPr>
          <w:p>
            <w:pPr>
              <w:jc w:val="right"/>
              <w:ind w:right="48"/>
              <w:spacing w:after="0"/>
              <w:rPr>
                <w:sz w:val="20"/>
                <w:szCs w:val="20"/>
                <w:color w:val="auto"/>
              </w:rPr>
            </w:pPr>
            <w:r>
              <w:rPr>
                <w:rFonts w:ascii="Arial" w:cs="Arial" w:eastAsia="Arial" w:hAnsi="Arial"/>
                <w:sz w:val="19"/>
                <w:szCs w:val="19"/>
                <w:color w:val="auto"/>
              </w:rPr>
              <w:t>(22.7)</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9"/>
                <w:szCs w:val="19"/>
                <w:color w:val="auto"/>
              </w:rPr>
              <w:t>(19.3)</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ind w:right="46"/>
              <w:spacing w:after="0"/>
              <w:rPr>
                <w:sz w:val="20"/>
                <w:szCs w:val="20"/>
                <w:color w:val="auto"/>
              </w:rPr>
            </w:pPr>
            <w:r>
              <w:rPr>
                <w:rFonts w:ascii="Arial" w:cs="Arial" w:eastAsia="Arial" w:hAnsi="Arial"/>
                <w:sz w:val="19"/>
                <w:szCs w:val="19"/>
                <w:color w:val="auto"/>
              </w:rPr>
              <w:t>(42.8)</w:t>
            </w:r>
          </w:p>
        </w:tc>
      </w:tr>
      <w:tr>
        <w:trPr>
          <w:trHeight w:val="253"/>
        </w:trPr>
        <w:tc>
          <w:tcPr>
            <w:tcW w:w="7200" w:type="dxa"/>
            <w:vAlign w:val="bottom"/>
          </w:tcPr>
          <w:p>
            <w:pPr>
              <w:ind w:left="60"/>
              <w:spacing w:after="0" w:line="216" w:lineRule="exact"/>
              <w:rPr>
                <w:sz w:val="20"/>
                <w:szCs w:val="20"/>
                <w:color w:val="auto"/>
              </w:rPr>
            </w:pPr>
            <w:r>
              <w:rPr>
                <w:rFonts w:ascii="Arial" w:cs="Arial" w:eastAsia="Arial" w:hAnsi="Arial"/>
                <w:sz w:val="19"/>
                <w:szCs w:val="19"/>
                <w:color w:val="auto"/>
              </w:rPr>
              <w:t>Provision for income taxes</w:t>
            </w:r>
          </w:p>
        </w:tc>
        <w:tc>
          <w:tcPr>
            <w:tcW w:w="1260" w:type="dxa"/>
            <w:vAlign w:val="bottom"/>
            <w:tcBorders>
              <w:bottom w:val="single" w:sz="8" w:color="auto"/>
            </w:tcBorders>
          </w:tcPr>
          <w:p>
            <w:pPr>
              <w:jc w:val="right"/>
              <w:ind w:right="48"/>
              <w:spacing w:after="0" w:line="216" w:lineRule="exact"/>
              <w:rPr>
                <w:sz w:val="20"/>
                <w:szCs w:val="20"/>
                <w:color w:val="auto"/>
              </w:rPr>
            </w:pPr>
            <w:r>
              <w:rPr>
                <w:rFonts w:ascii="Arial" w:cs="Arial" w:eastAsia="Arial" w:hAnsi="Arial"/>
                <w:sz w:val="19"/>
                <w:szCs w:val="19"/>
                <w:color w:val="auto"/>
              </w:rPr>
              <w:t>—%</w:t>
            </w:r>
          </w:p>
        </w:tc>
        <w:tc>
          <w:tcPr>
            <w:tcW w:w="40" w:type="dxa"/>
            <w:vAlign w:val="bottom"/>
          </w:tcPr>
          <w:p>
            <w:pPr>
              <w:spacing w:after="0"/>
              <w:rPr>
                <w:sz w:val="22"/>
                <w:szCs w:val="22"/>
                <w:color w:val="auto"/>
              </w:rPr>
            </w:pPr>
          </w:p>
        </w:tc>
        <w:tc>
          <w:tcPr>
            <w:tcW w:w="1260" w:type="dxa"/>
            <w:vAlign w:val="bottom"/>
            <w:tcBorders>
              <w:bottom w:val="single" w:sz="8" w:color="auto"/>
            </w:tcBorders>
          </w:tcPr>
          <w:p>
            <w:pPr>
              <w:jc w:val="right"/>
              <w:ind w:right="29"/>
              <w:spacing w:after="0" w:line="216" w:lineRule="exact"/>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
              <w:spacing w:after="0" w:line="216" w:lineRule="exact"/>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-1421130</wp:posOffset>
            </wp:positionV>
            <wp:extent cx="248666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26">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-204470</wp:posOffset>
            </wp:positionV>
            <wp:extent cx="248666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27">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8">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pacing w:after="0" w:line="217"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color w:val="auto"/>
        </w:rPr>
        <w:t>The amount of provision for income taxes differs from the expected benefit due to the impact of the U.S. valuation allowance, as well as income taxes associated with foreign operations.</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2024 and 2023, were as follows (in thousands):</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1080"/>
          </w:cols>
          <w:pgMar w:left="400" w:top="763" w:right="400" w:bottom="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209"/>
        </w:trPr>
        <w:tc>
          <w:tcPr>
            <w:tcW w:w="8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5"/>
                <w:szCs w:val="15"/>
                <w:b w:val="1"/>
                <w:bCs w:val="1"/>
                <w:color w:val="auto"/>
              </w:rPr>
              <w:t>December 31,</w:t>
            </w:r>
          </w:p>
        </w:tc>
      </w:tr>
      <w:tr>
        <w:trPr>
          <w:trHeight w:val="254"/>
        </w:trPr>
        <w:tc>
          <w:tcPr>
            <w:tcW w:w="850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2023</w:t>
            </w:r>
          </w:p>
        </w:tc>
      </w:tr>
      <w:tr>
        <w:trPr>
          <w:trHeight w:val="279"/>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Deferred tax assets: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68"/>
        </w:trPr>
        <w:tc>
          <w:tcPr>
            <w:tcW w:w="8500" w:type="dxa"/>
            <w:vAlign w:val="bottom"/>
          </w:tcPr>
          <w:p>
            <w:pPr>
              <w:ind w:left="180"/>
              <w:spacing w:after="0"/>
              <w:rPr>
                <w:sz w:val="20"/>
                <w:szCs w:val="20"/>
                <w:color w:val="auto"/>
              </w:rPr>
            </w:pPr>
            <w:r>
              <w:rPr>
                <w:rFonts w:ascii="Arial" w:cs="Arial" w:eastAsia="Arial" w:hAnsi="Arial"/>
                <w:sz w:val="19"/>
                <w:szCs w:val="19"/>
                <w:color w:val="auto"/>
              </w:rPr>
              <w:t>Net operating loss carryforwards</w:t>
            </w:r>
          </w:p>
        </w:tc>
        <w:tc>
          <w:tcPr>
            <w:tcW w:w="26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1,605,236</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1,240,197</w:t>
            </w:r>
          </w:p>
        </w:tc>
      </w:tr>
      <w:tr>
        <w:trPr>
          <w:trHeight w:val="280"/>
        </w:trPr>
        <w:tc>
          <w:tcPr>
            <w:tcW w:w="85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Tax credit carryforwards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192,810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139,672</w:t>
            </w:r>
          </w:p>
        </w:tc>
      </w:tr>
      <w:tr>
        <w:trPr>
          <w:trHeight w:val="268"/>
        </w:trPr>
        <w:tc>
          <w:tcPr>
            <w:tcW w:w="8500" w:type="dxa"/>
            <w:vAlign w:val="bottom"/>
          </w:tcPr>
          <w:p>
            <w:pPr>
              <w:ind w:left="180"/>
              <w:spacing w:after="0"/>
              <w:rPr>
                <w:sz w:val="20"/>
                <w:szCs w:val="20"/>
                <w:color w:val="auto"/>
              </w:rPr>
            </w:pPr>
            <w:r>
              <w:rPr>
                <w:rFonts w:ascii="Arial" w:cs="Arial" w:eastAsia="Arial" w:hAnsi="Arial"/>
                <w:sz w:val="19"/>
                <w:szCs w:val="19"/>
                <w:color w:val="auto"/>
              </w:rPr>
              <w:t>Stock-based compensation expense</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7,347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12,322</w:t>
            </w:r>
          </w:p>
        </w:tc>
      </w:tr>
      <w:tr>
        <w:trPr>
          <w:trHeight w:val="280"/>
        </w:trPr>
        <w:tc>
          <w:tcPr>
            <w:tcW w:w="85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Capitalization of research and development costs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443,311</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333,958</w:t>
            </w:r>
          </w:p>
        </w:tc>
      </w:tr>
      <w:tr>
        <w:trPr>
          <w:trHeight w:val="282"/>
        </w:trPr>
        <w:tc>
          <w:tcPr>
            <w:tcW w:w="8500" w:type="dxa"/>
            <w:vAlign w:val="bottom"/>
          </w:tcPr>
          <w:p>
            <w:pPr>
              <w:ind w:left="180"/>
              <w:spacing w:after="0"/>
              <w:rPr>
                <w:sz w:val="20"/>
                <w:szCs w:val="20"/>
                <w:color w:val="auto"/>
              </w:rPr>
            </w:pPr>
            <w:r>
              <w:rPr>
                <w:rFonts w:ascii="Arial" w:cs="Arial" w:eastAsia="Arial" w:hAnsi="Arial"/>
                <w:sz w:val="19"/>
                <w:szCs w:val="19"/>
                <w:color w:val="auto"/>
              </w:rPr>
              <w:t>Accruals and reserves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232,487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215,087</w:t>
            </w:r>
          </w:p>
        </w:tc>
      </w:tr>
      <w:tr>
        <w:trPr>
          <w:trHeight w:val="294"/>
        </w:trPr>
        <w:tc>
          <w:tcPr>
            <w:tcW w:w="85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Lease liability</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84,604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88,407</w:t>
            </w:r>
          </w:p>
        </w:tc>
      </w:tr>
      <w:tr>
        <w:trPr>
          <w:trHeight w:val="282"/>
        </w:trPr>
        <w:tc>
          <w:tcPr>
            <w:tcW w:w="8500" w:type="dxa"/>
            <w:vAlign w:val="bottom"/>
          </w:tcPr>
          <w:p>
            <w:pPr>
              <w:ind w:left="180"/>
              <w:spacing w:after="0"/>
              <w:rPr>
                <w:sz w:val="20"/>
                <w:szCs w:val="20"/>
                <w:color w:val="auto"/>
              </w:rPr>
            </w:pPr>
            <w:r>
              <w:rPr>
                <w:rFonts w:ascii="Arial" w:cs="Arial" w:eastAsia="Arial" w:hAnsi="Arial"/>
                <w:sz w:val="19"/>
                <w:szCs w:val="19"/>
                <w:color w:val="auto"/>
              </w:rPr>
              <w:t>Inventory</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461,127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271,784</w:t>
            </w:r>
          </w:p>
        </w:tc>
      </w:tr>
      <w:tr>
        <w:trPr>
          <w:trHeight w:val="284"/>
        </w:trPr>
        <w:tc>
          <w:tcPr>
            <w:tcW w:w="85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Other</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60,935</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21,815</w:t>
            </w:r>
          </w:p>
        </w:tc>
      </w:tr>
      <w:tr>
        <w:trPr>
          <w:trHeight w:val="272"/>
        </w:trPr>
        <w:tc>
          <w:tcPr>
            <w:tcW w:w="8500" w:type="dxa"/>
            <w:vAlign w:val="bottom"/>
          </w:tcPr>
          <w:p>
            <w:pPr>
              <w:ind w:left="520"/>
              <w:spacing w:after="0"/>
              <w:rPr>
                <w:sz w:val="20"/>
                <w:szCs w:val="20"/>
                <w:color w:val="auto"/>
              </w:rPr>
            </w:pPr>
            <w:r>
              <w:rPr>
                <w:rFonts w:ascii="Arial" w:cs="Arial" w:eastAsia="Arial" w:hAnsi="Arial"/>
                <w:sz w:val="19"/>
                <w:szCs w:val="19"/>
                <w:color w:val="auto"/>
              </w:rPr>
              <w:t>Total deferred tax assets</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3,087,857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2,323,242</w:t>
            </w:r>
          </w:p>
        </w:tc>
      </w:tr>
      <w:tr>
        <w:trPr>
          <w:trHeight w:val="284"/>
        </w:trPr>
        <w:tc>
          <w:tcPr>
            <w:tcW w:w="850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Valuation allowance</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(2,904,865)</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(2,137,851)</w:t>
            </w:r>
          </w:p>
        </w:tc>
      </w:tr>
      <w:tr>
        <w:trPr>
          <w:trHeight w:val="283"/>
        </w:trPr>
        <w:tc>
          <w:tcPr>
            <w:tcW w:w="8500" w:type="dxa"/>
            <w:vAlign w:val="bottom"/>
            <w:tcBorders>
              <w:bottom w:val="single" w:sz="8" w:color="E6E6E6"/>
            </w:tcBorders>
          </w:tcPr>
          <w:p>
            <w:pPr>
              <w:ind w:left="740"/>
              <w:spacing w:after="0"/>
              <w:rPr>
                <w:sz w:val="20"/>
                <w:szCs w:val="20"/>
                <w:color w:val="auto"/>
              </w:rPr>
            </w:pPr>
            <w:r>
              <w:rPr>
                <w:rFonts w:ascii="Arial" w:cs="Arial" w:eastAsia="Arial" w:hAnsi="Arial"/>
                <w:sz w:val="19"/>
                <w:szCs w:val="19"/>
                <w:color w:val="auto"/>
              </w:rPr>
              <w:t>Total deferred tax assets, net of valuation allowance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182,992</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185,391</w:t>
            </w:r>
          </w:p>
        </w:tc>
      </w:tr>
      <w:tr>
        <w:trPr>
          <w:trHeight w:val="264"/>
        </w:trPr>
        <w:tc>
          <w:tcPr>
            <w:tcW w:w="85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Deferred tax liabilities:</w:t>
            </w: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r>
      <w:tr>
        <w:trPr>
          <w:trHeight w:val="268"/>
        </w:trPr>
        <w:tc>
          <w:tcPr>
            <w:tcW w:w="8500" w:type="dxa"/>
            <w:vAlign w:val="bottom"/>
          </w:tcPr>
          <w:p>
            <w:pPr>
              <w:ind w:left="180"/>
              <w:spacing w:after="0"/>
              <w:rPr>
                <w:sz w:val="20"/>
                <w:szCs w:val="20"/>
                <w:color w:val="auto"/>
              </w:rPr>
            </w:pPr>
            <w:r>
              <w:rPr>
                <w:rFonts w:ascii="Arial" w:cs="Arial" w:eastAsia="Arial" w:hAnsi="Arial"/>
                <w:sz w:val="19"/>
                <w:szCs w:val="19"/>
                <w:color w:val="auto"/>
              </w:rPr>
              <w:t>Depreciation</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(72,023)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(49,754)</w:t>
            </w:r>
          </w:p>
        </w:tc>
      </w:tr>
      <w:tr>
        <w:trPr>
          <w:trHeight w:val="280"/>
        </w:trPr>
        <w:tc>
          <w:tcPr>
            <w:tcW w:w="85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Right-of-use assets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(70,890)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(74,565)</w:t>
            </w:r>
          </w:p>
        </w:tc>
      </w:tr>
      <w:tr>
        <w:trPr>
          <w:trHeight w:val="263"/>
        </w:trPr>
        <w:tc>
          <w:tcPr>
            <w:tcW w:w="8500" w:type="dxa"/>
            <w:vAlign w:val="bottom"/>
            <w:tcBorders>
              <w:bottom w:val="single" w:sz="8" w:color="E6E6E6"/>
            </w:tcBorders>
          </w:tcPr>
          <w:p>
            <w:pPr>
              <w:ind w:left="180"/>
              <w:spacing w:after="0"/>
              <w:rPr>
                <w:sz w:val="20"/>
                <w:szCs w:val="20"/>
                <w:color w:val="auto"/>
              </w:rPr>
            </w:pPr>
            <w:r>
              <w:rPr>
                <w:rFonts w:ascii="Arial" w:cs="Arial" w:eastAsia="Arial" w:hAnsi="Arial"/>
                <w:sz w:val="19"/>
                <w:szCs w:val="19"/>
                <w:color w:val="auto"/>
              </w:rPr>
              <w:t>Tax accounting method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(39,939)</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(61,072)</w:t>
            </w:r>
          </w:p>
        </w:tc>
      </w:tr>
      <w:tr>
        <w:trPr>
          <w:trHeight w:val="273"/>
        </w:trPr>
        <w:tc>
          <w:tcPr>
            <w:tcW w:w="8500" w:type="dxa"/>
            <w:vAlign w:val="bottom"/>
            <w:tcBorders>
              <w:bottom w:val="single" w:sz="8" w:color="E6E6E6"/>
            </w:tcBorders>
            <w:shd w:val="clear" w:color="auto" w:fill="E6E6E6"/>
          </w:tcPr>
          <w:p>
            <w:pPr>
              <w:ind w:left="740"/>
              <w:spacing w:after="0"/>
              <w:rPr>
                <w:sz w:val="20"/>
                <w:szCs w:val="20"/>
                <w:color w:val="auto"/>
              </w:rPr>
            </w:pPr>
            <w:r>
              <w:rPr>
                <w:rFonts w:ascii="Arial" w:cs="Arial" w:eastAsia="Arial" w:hAnsi="Arial"/>
                <w:sz w:val="19"/>
                <w:szCs w:val="19"/>
                <w:color w:val="auto"/>
              </w:rPr>
              <w:t>Total deferred tax liabilities</w:t>
            </w:r>
          </w:p>
        </w:tc>
        <w:tc>
          <w:tcPr>
            <w:tcW w:w="26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(182,852)</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(185,391)</w:t>
            </w:r>
          </w:p>
        </w:tc>
      </w:tr>
      <w:tr>
        <w:trPr>
          <w:trHeight w:val="216"/>
        </w:trPr>
        <w:tc>
          <w:tcPr>
            <w:tcW w:w="8500" w:type="dxa"/>
            <w:vAlign w:val="bottom"/>
          </w:tcPr>
          <w:p>
            <w:pPr>
              <w:ind w:left="980"/>
              <w:spacing w:after="0" w:line="216" w:lineRule="exact"/>
              <w:rPr>
                <w:sz w:val="20"/>
                <w:szCs w:val="20"/>
                <w:color w:val="auto"/>
              </w:rPr>
            </w:pPr>
            <w:r>
              <w:rPr>
                <w:rFonts w:ascii="Arial" w:cs="Arial" w:eastAsia="Arial" w:hAnsi="Arial"/>
                <w:sz w:val="19"/>
                <w:szCs w:val="19"/>
                <w:color w:val="auto"/>
              </w:rPr>
              <w:t>Deferred tax assets (liabilities), net of valuation allowance</w:t>
            </w:r>
          </w:p>
        </w:tc>
        <w:tc>
          <w:tcPr>
            <w:tcW w:w="260" w:type="dxa"/>
            <w:vAlign w:val="bottom"/>
          </w:tcPr>
          <w:p>
            <w:pPr>
              <w:jc w:val="right"/>
              <w:ind w:right="4"/>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140</w:t>
            </w:r>
          </w:p>
        </w:tc>
        <w:tc>
          <w:tcPr>
            <w:tcW w:w="3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r>
      <w:tr>
        <w:trPr>
          <w:trHeight w:val="20"/>
        </w:trPr>
        <w:tc>
          <w:tcPr>
            <w:tcW w:w="8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5389880</wp:posOffset>
            </wp:positionH>
            <wp:positionV relativeFrom="paragraph">
              <wp:posOffset>-3241675</wp:posOffset>
            </wp:positionV>
            <wp:extent cx="165417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29">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-1631315</wp:posOffset>
            </wp:positionV>
            <wp:extent cx="165417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0">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-1265555</wp:posOffset>
            </wp:positionV>
            <wp:extent cx="165417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31">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-1073150</wp:posOffset>
            </wp:positionV>
            <wp:extent cx="165417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2">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-377825</wp:posOffset>
            </wp:positionV>
            <wp:extent cx="165417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3">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-204470</wp:posOffset>
            </wp:positionV>
            <wp:extent cx="165417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4">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-42545</wp:posOffset>
            </wp:positionV>
            <wp:extent cx="821690" cy="49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35">
                      <a:extLst>
                        <a:ext uri="{28A0092B-C50C-407E-A947-70E740481C1C}"/>
                      </a:extLst>
                    </a:blip>
                    <a:srcRect/>
                    <a:stretch>
                      <a:fillRect/>
                    </a:stretch>
                  </pic:blipFill>
                  <pic:spPr bwMode="auto">
                    <a:xfrm>
                      <a:off x="0" y="0"/>
                      <a:ext cx="821690" cy="49530"/>
                    </a:xfrm>
                    <a:prstGeom prst="rect">
                      <a:avLst/>
                    </a:prstGeom>
                    <a:noFill/>
                  </pic:spPr>
                </pic:pic>
              </a:graphicData>
            </a:graphic>
          </wp:anchor>
        </w:drawing>
      </w:r>
    </w:p>
    <w:p>
      <w:pPr>
        <w:spacing w:after="0" w:line="217"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The Company does not anticipate foreign earnings would be subject to U.S. taxation upon repatriation. However, distributions of unremitted foreign earnings may be subject to foreign withholding taxes. Accordingly, provisions have not been made on the Company’s basis differences in investments that primarily result from earnings in foreign subsidiaries which are indefinitely reinvested. If recorded, the deferred tax liability associated with indefinitely reinvested basis differences would be immaterial to the financial statements.</w:t>
      </w:r>
    </w:p>
    <w:p>
      <w:pPr>
        <w:spacing w:after="0" w:line="173"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 Based on the weight of the available evidence, which includes the Company’s historical operating losses, lack of taxable income, and the accumulated deficit, as of December 31, 2024 and 2023, the Company provided a full valuation allowance against its U.S. and state deferred tax assets. The valuation allowance for deferred tax assets was $2,904.9 million and $2,137.9 million, as of December 31, 2024 and 2023, respectively. The valuation allowance on our net deferred taxes increased by $767.0 million and $763.6 million during the years ended December 31, 2024 and 2023, respectively.</w:t>
      </w:r>
    </w:p>
    <w:p>
      <w:pPr>
        <w:spacing w:after="0" w:line="172"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The Company had federal, state, and foreign net operating loss carryforwards of $5,766.1 million, $5,142.4 million, and $19.1 million, respectively, as of December 31, 2024, which will begin to expire at various dates beginning in 2027. The Company also had federal and state tax research and development tax credit carryforwards of $151.8 million and $78.6 million, respectively. The federal research and development tax credit carryforwards will expire at various dates beginning in 2036, if not utilized. The state research and development tax credit carryforwards do not expire.</w:t>
      </w:r>
    </w:p>
    <w:p>
      <w:pPr>
        <w:spacing w:after="0" w:line="191" w:lineRule="exact"/>
        <w:rPr>
          <w:sz w:val="20"/>
          <w:szCs w:val="20"/>
          <w:color w:val="auto"/>
        </w:rPr>
      </w:pPr>
    </w:p>
    <w:p>
      <w:pPr>
        <w:jc w:val="both"/>
        <w:ind w:right="180"/>
        <w:spacing w:after="0" w:line="271" w:lineRule="auto"/>
        <w:rPr>
          <w:sz w:val="20"/>
          <w:szCs w:val="20"/>
          <w:color w:val="auto"/>
        </w:rPr>
      </w:pPr>
      <w:r>
        <w:rPr>
          <w:rFonts w:ascii="Arial" w:cs="Arial" w:eastAsia="Arial" w:hAnsi="Arial"/>
          <w:sz w:val="19"/>
          <w:szCs w:val="19"/>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The Company has completed a formal Section 382 study of our equity transactions through December 31, 2020. The study determined that the Company experienced an “ownership change” in 2016, and the Company will not be able to utilize $12.0 million of our U.S. federal net operating loss and $3.0 million of U.S. federal research and development tax credit carryforwards.</w:t>
      </w:r>
    </w:p>
    <w:p>
      <w:pPr>
        <w:sectPr>
          <w:pgSz w:w="11880" w:h="15480" w:orient="portrait"/>
          <w:cols w:equalWidth="0" w:num="1">
            <w:col w:w="11080"/>
          </w:cols>
          <w:pgMar w:left="400" w:top="877"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1080"/>
          </w:cols>
          <w:pgMar w:left="400" w:top="877" w:right="400" w:bottom="0" w:gutter="0" w:footer="0" w:header="0"/>
          <w:type w:val="continuous"/>
        </w:sectPr>
      </w:pPr>
    </w:p>
    <w:bookmarkStart w:id="256" w:name="page257"/>
    <w:bookmarkEnd w:id="256"/>
    <w:p>
      <w:pPr>
        <w:spacing w:after="0"/>
        <w:rPr>
          <w:sz w:val="20"/>
          <w:szCs w:val="20"/>
          <w:color w:val="auto"/>
        </w:rPr>
      </w:pPr>
      <w:r>
        <w:rPr>
          <w:rFonts w:ascii="Arial" w:cs="Arial" w:eastAsia="Arial" w:hAnsi="Arial"/>
          <w:sz w:val="19"/>
          <w:szCs w:val="19"/>
          <w:b w:val="1"/>
          <w:bCs w:val="1"/>
          <w:color w:val="auto"/>
        </w:rPr>
        <w:t>Uncertain Tax Positions</w:t>
      </w:r>
    </w:p>
    <w:p>
      <w:pPr>
        <w:spacing w:after="0" w:line="249" w:lineRule="exact"/>
        <w:rPr>
          <w:sz w:val="20"/>
          <w:szCs w:val="20"/>
          <w:color w:val="auto"/>
        </w:rPr>
      </w:pPr>
    </w:p>
    <w:p>
      <w:pPr>
        <w:ind w:right="340"/>
        <w:spacing w:after="0" w:line="289" w:lineRule="auto"/>
        <w:rPr>
          <w:sz w:val="20"/>
          <w:szCs w:val="20"/>
          <w:color w:val="auto"/>
        </w:rPr>
      </w:pPr>
      <w:r>
        <w:rPr>
          <w:rFonts w:ascii="Arial" w:cs="Arial" w:eastAsia="Arial" w:hAnsi="Arial"/>
          <w:sz w:val="19"/>
          <w:szCs w:val="19"/>
          <w:color w:val="auto"/>
        </w:rPr>
        <w:t>The following table summarizes the activity related to unrecognized tax benefits for the years ended December 31, 2024, 2023 and 2022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Unrecognized benefit—beginning of period</w:t>
            </w:r>
          </w:p>
        </w:tc>
        <w:tc>
          <w:tcPr>
            <w:tcW w:w="300" w:type="dxa"/>
            <w:vAlign w:val="bottom"/>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140,767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105,234</w:t>
            </w:r>
          </w:p>
        </w:tc>
        <w:tc>
          <w:tcPr>
            <w:tcW w:w="360" w:type="dxa"/>
            <w:vAlign w:val="bottom"/>
            <w:gridSpan w:val="2"/>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72,330</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Gross increases—prior-period tax positions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539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Gross decreases—prior-period tax positions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(111,065)</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(581)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200" w:type="dxa"/>
            <w:vAlign w:val="bottom"/>
          </w:tcPr>
          <w:p>
            <w:pPr>
              <w:ind w:left="60"/>
              <w:spacing w:after="0"/>
              <w:rPr>
                <w:sz w:val="20"/>
                <w:szCs w:val="20"/>
                <w:color w:val="auto"/>
              </w:rPr>
            </w:pPr>
            <w:r>
              <w:rPr>
                <w:rFonts w:ascii="Arial" w:cs="Arial" w:eastAsia="Arial" w:hAnsi="Arial"/>
                <w:sz w:val="19"/>
                <w:szCs w:val="19"/>
                <w:color w:val="auto"/>
              </w:rPr>
              <w:t>Gross increases—current-period tax positions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8,904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35,575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32,916</w:t>
            </w:r>
          </w:p>
        </w:tc>
      </w:tr>
      <w:tr>
        <w:trPr>
          <w:trHeight w:val="280"/>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color w:val="auto"/>
              </w:rPr>
              <w:t>Gross decrease—current-period tax positions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3"/>
        </w:trPr>
        <w:tc>
          <w:tcPr>
            <w:tcW w:w="72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Statute lapse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w:t>
            </w:r>
          </w:p>
        </w:tc>
        <w:tc>
          <w:tcPr>
            <w:tcW w:w="4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r>
      <w:tr>
        <w:trPr>
          <w:trHeight w:val="273"/>
        </w:trPr>
        <w:tc>
          <w:tcPr>
            <w:tcW w:w="7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Unrecognized benefit—end of period</w:t>
            </w:r>
          </w:p>
        </w:tc>
        <w:tc>
          <w:tcPr>
            <w:tcW w:w="30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38,523</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140,767</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105,234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-1247140</wp:posOffset>
            </wp:positionV>
            <wp:extent cx="248666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6">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-204470</wp:posOffset>
            </wp:positionV>
            <wp:extent cx="248666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37">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38">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As of December 31, 2024, 2023 and 2022, the total amount of unrecognized tax benefits was $38.5 million, $140.8 million, and $105.2 million, respectively, of which $0.9 million, $1.1 million and $0.6 million, if recognized for respective periods, would favorably impact the Company's effective tax rate. The Company does not anticipate a significant change in the total amount of unrecognized tax benefits within the next 12 months.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Related to the unrecognized tax benefits above, the interest expense and penalty expense recognized as part of provision for income taxes in the consolidated statements of operations and comprehensive loss for the years ended December 31, 2024, 2023 and 2022 were not material. As of December 31, 2024 and 2023, the Company recorded immaterial liability for interest expense and penalties, which was included within other long-term liabilities in the consolidated balance sheets.</w:t>
      </w:r>
    </w:p>
    <w:p>
      <w:pPr>
        <w:spacing w:after="0" w:line="188"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The Company files U.S., state, and foreign income tax returns with varying statutes of limitations. The federal, state, and foreign returns statutes of limitations remains open for all years. There are currently no income tax audits underway by U.S., state, or foreign tax authorities.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NET LOSS PER SHARE</w:t>
      </w:r>
    </w:p>
    <w:p>
      <w:pPr>
        <w:spacing w:after="0" w:line="249"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color w:val="auto"/>
        </w:rPr>
        <w:t>Basic and diluted net loss per share attributable to common stockholders are calculated as follows (in thousands, except share and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2022</w:t>
            </w:r>
          </w:p>
        </w:tc>
      </w:tr>
      <w:tr>
        <w:trPr>
          <w:trHeight w:val="264"/>
        </w:trPr>
        <w:tc>
          <w:tcPr>
            <w:tcW w:w="72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loss</w:t>
            </w: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(2,713,942)</w:t>
            </w:r>
          </w:p>
        </w:tc>
        <w:tc>
          <w:tcPr>
            <w:tcW w:w="300" w:type="dxa"/>
            <w:vAlign w:val="bottom"/>
            <w:gridSpan w:val="4"/>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(2,828,420)</w:t>
            </w:r>
          </w:p>
        </w:tc>
        <w:tc>
          <w:tcPr>
            <w:tcW w:w="300" w:type="dxa"/>
            <w:vAlign w:val="bottom"/>
            <w:gridSpan w:val="3"/>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(1,304,460)</w:t>
            </w:r>
          </w:p>
        </w:tc>
      </w:tr>
      <w:tr>
        <w:trPr>
          <w:trHeight w:val="263"/>
        </w:trPr>
        <w:tc>
          <w:tcPr>
            <w:tcW w:w="7240" w:type="dxa"/>
            <w:vAlign w:val="bottom"/>
            <w:gridSpan w:val="3"/>
          </w:tcPr>
          <w:p>
            <w:pPr>
              <w:ind w:left="140"/>
              <w:spacing w:after="0"/>
              <w:rPr>
                <w:sz w:val="20"/>
                <w:szCs w:val="20"/>
                <w:color w:val="auto"/>
              </w:rPr>
            </w:pPr>
            <w:r>
              <w:rPr>
                <w:rFonts w:ascii="Arial" w:cs="Arial" w:eastAsia="Arial" w:hAnsi="Arial"/>
                <w:sz w:val="19"/>
                <w:szCs w:val="19"/>
                <w:color w:val="auto"/>
              </w:rPr>
              <w:t>Accretion of redeemable convertible preferred stock (related party)</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(347,610)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3"/>
        </w:trPr>
        <w:tc>
          <w:tcPr>
            <w:tcW w:w="7220" w:type="dxa"/>
            <w:vAlign w:val="bottom"/>
            <w:tcBorders>
              <w:top w:val="single" w:sz="8" w:color="E6E6E6"/>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Net loss attributable to common stockholders, basic</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200" w:type="dxa"/>
            <w:vAlign w:val="bottom"/>
            <w:tcBorders>
              <w:top w:val="single" w:sz="8" w:color="auto"/>
              <w:bottom w:val="single" w:sz="8" w:color="auto"/>
            </w:tcBorders>
            <w:shd w:val="clear" w:color="auto" w:fill="E6E6E6"/>
          </w:tcPr>
          <w:p>
            <w:pPr>
              <w:spacing w:after="0"/>
              <w:rPr>
                <w:sz w:val="23"/>
                <w:szCs w:val="23"/>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(3,061,552)</w:t>
            </w:r>
          </w:p>
        </w:tc>
        <w:tc>
          <w:tcPr>
            <w:tcW w:w="4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220" w:type="dxa"/>
            <w:vAlign w:val="bottom"/>
            <w:tcBorders>
              <w:top w:val="single" w:sz="8" w:color="auto"/>
              <w:bottom w:val="single" w:sz="8" w:color="auto"/>
            </w:tcBorders>
            <w:shd w:val="clear" w:color="auto" w:fill="E6E6E6"/>
          </w:tcPr>
          <w:p>
            <w:pPr>
              <w:spacing w:after="0"/>
              <w:rPr>
                <w:sz w:val="23"/>
                <w:szCs w:val="23"/>
                <w:color w:val="auto"/>
              </w:rPr>
            </w:pPr>
          </w:p>
        </w:tc>
        <w:tc>
          <w:tcPr>
            <w:tcW w:w="10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(2,828,420)</w:t>
            </w: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220" w:type="dxa"/>
            <w:vAlign w:val="bottom"/>
            <w:tcBorders>
              <w:top w:val="single" w:sz="8" w:color="auto"/>
              <w:bottom w:val="single" w:sz="8" w:color="auto"/>
            </w:tcBorders>
            <w:shd w:val="clear" w:color="auto" w:fill="E6E6E6"/>
          </w:tcPr>
          <w:p>
            <w:pPr>
              <w:spacing w:after="0"/>
              <w:rPr>
                <w:sz w:val="23"/>
                <w:szCs w:val="23"/>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(1,304,460)</w:t>
            </w:r>
          </w:p>
        </w:tc>
      </w:tr>
      <w:tr>
        <w:trPr>
          <w:trHeight w:val="263"/>
        </w:trPr>
        <w:tc>
          <w:tcPr>
            <w:tcW w:w="7220" w:type="dxa"/>
            <w:vAlign w:val="bottom"/>
            <w:tcBorders>
              <w:bottom w:val="single" w:sz="8" w:color="E6E6E6"/>
            </w:tcBorders>
            <w:gridSpan w:val="2"/>
          </w:tcPr>
          <w:p>
            <w:pPr>
              <w:ind w:left="60"/>
              <w:spacing w:after="0"/>
              <w:rPr>
                <w:sz w:val="20"/>
                <w:szCs w:val="20"/>
                <w:color w:val="auto"/>
              </w:rPr>
            </w:pPr>
            <w:r>
              <w:rPr>
                <w:rFonts w:ascii="Arial" w:cs="Arial" w:eastAsia="Arial" w:hAnsi="Arial"/>
                <w:sz w:val="19"/>
                <w:szCs w:val="19"/>
                <w:color w:val="auto"/>
              </w:rPr>
              <w:t>Change in fair value of dilutive warrants</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(1,254,218)</w:t>
            </w:r>
          </w:p>
        </w:tc>
      </w:tr>
      <w:tr>
        <w:trPr>
          <w:trHeight w:val="302"/>
        </w:trPr>
        <w:tc>
          <w:tcPr>
            <w:tcW w:w="7240" w:type="dxa"/>
            <w:vAlign w:val="bottom"/>
            <w:gridSpan w:val="3"/>
            <w:shd w:val="clear" w:color="auto" w:fill="E6E6E6"/>
          </w:tcPr>
          <w:p>
            <w:pPr>
              <w:ind w:left="60"/>
              <w:spacing w:after="0"/>
              <w:rPr>
                <w:sz w:val="20"/>
                <w:szCs w:val="20"/>
                <w:color w:val="auto"/>
              </w:rPr>
            </w:pPr>
            <w:r>
              <w:rPr>
                <w:rFonts w:ascii="Arial" w:cs="Arial" w:eastAsia="Arial" w:hAnsi="Arial"/>
                <w:sz w:val="19"/>
                <w:szCs w:val="19"/>
                <w:b w:val="1"/>
                <w:bCs w:val="1"/>
                <w:color w:val="auto"/>
              </w:rPr>
              <w:t>Net loss attributable to common stockholders, diluted</w:t>
            </w:r>
          </w:p>
        </w:tc>
        <w:tc>
          <w:tcPr>
            <w:tcW w:w="200" w:type="dxa"/>
            <w:vAlign w:val="bottom"/>
            <w:shd w:val="clear" w:color="auto" w:fill="E6E6E6"/>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(3,061,552)</w:t>
            </w:r>
          </w:p>
        </w:tc>
        <w:tc>
          <w:tcPr>
            <w:tcW w:w="300" w:type="dxa"/>
            <w:vAlign w:val="bottom"/>
            <w:gridSpan w:val="4"/>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8"/>
              </w:rPr>
              <w:t>(2,828,420)</w:t>
            </w:r>
          </w:p>
        </w:tc>
        <w:tc>
          <w:tcPr>
            <w:tcW w:w="300" w:type="dxa"/>
            <w:vAlign w:val="bottom"/>
            <w:gridSpan w:val="3"/>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(2,558,678)</w:t>
            </w:r>
          </w:p>
        </w:tc>
      </w:tr>
      <w:tr>
        <w:trPr>
          <w:trHeight w:val="274"/>
        </w:trPr>
        <w:tc>
          <w:tcPr>
            <w:tcW w:w="720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r>
      <w:tr>
        <w:trPr>
          <w:trHeight w:val="274"/>
        </w:trPr>
        <w:tc>
          <w:tcPr>
            <w:tcW w:w="7240" w:type="dxa"/>
            <w:vAlign w:val="bottom"/>
            <w:gridSpan w:val="3"/>
            <w:shd w:val="clear" w:color="auto" w:fill="E6E6E6"/>
          </w:tcPr>
          <w:p>
            <w:pPr>
              <w:ind w:left="60"/>
              <w:spacing w:after="0"/>
              <w:rPr>
                <w:sz w:val="20"/>
                <w:szCs w:val="20"/>
                <w:color w:val="auto"/>
              </w:rPr>
            </w:pPr>
            <w:r>
              <w:rPr>
                <w:rFonts w:ascii="Arial" w:cs="Arial" w:eastAsia="Arial" w:hAnsi="Arial"/>
                <w:sz w:val="19"/>
                <w:szCs w:val="19"/>
                <w:color w:val="auto"/>
              </w:rPr>
              <w:t>Weighted-average shares outstanding, basic</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w w:val="92"/>
              </w:rPr>
              <w:t>2,445,176,539</w:t>
            </w:r>
          </w:p>
        </w:tc>
        <w:tc>
          <w:tcPr>
            <w:tcW w:w="1300" w:type="dxa"/>
            <w:vAlign w:val="bottom"/>
            <w:gridSpan w:val="5"/>
            <w:shd w:val="clear" w:color="auto" w:fill="E6E6E6"/>
          </w:tcPr>
          <w:p>
            <w:pPr>
              <w:jc w:val="right"/>
              <w:spacing w:after="0"/>
              <w:rPr>
                <w:sz w:val="20"/>
                <w:szCs w:val="20"/>
                <w:color w:val="auto"/>
              </w:rPr>
            </w:pPr>
            <w:r>
              <w:rPr>
                <w:rFonts w:ascii="Arial" w:cs="Arial" w:eastAsia="Arial" w:hAnsi="Arial"/>
                <w:sz w:val="19"/>
                <w:szCs w:val="19"/>
                <w:color w:val="auto"/>
                <w:w w:val="98"/>
              </w:rPr>
              <w:t>2,081,772,622</w:t>
            </w:r>
          </w:p>
        </w:tc>
        <w:tc>
          <w:tcPr>
            <w:tcW w:w="132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1,678,346,079</w:t>
            </w:r>
          </w:p>
        </w:tc>
      </w:tr>
      <w:tr>
        <w:trPr>
          <w:trHeight w:val="292"/>
        </w:trPr>
        <w:tc>
          <w:tcPr>
            <w:tcW w:w="7220" w:type="dxa"/>
            <w:vAlign w:val="bottom"/>
            <w:tcBorders>
              <w:bottom w:val="single" w:sz="8" w:color="E6E6E6"/>
            </w:tcBorders>
            <w:gridSpan w:val="2"/>
          </w:tcPr>
          <w:p>
            <w:pPr>
              <w:ind w:left="60"/>
              <w:spacing w:after="0"/>
              <w:rPr>
                <w:sz w:val="20"/>
                <w:szCs w:val="20"/>
                <w:color w:val="auto"/>
              </w:rPr>
            </w:pPr>
            <w:r>
              <w:rPr>
                <w:rFonts w:ascii="Arial" w:cs="Arial" w:eastAsia="Arial" w:hAnsi="Arial"/>
                <w:sz w:val="19"/>
                <w:szCs w:val="19"/>
                <w:color w:val="auto"/>
              </w:rPr>
              <w:t>Private Placement Warrants using the treasury stock method</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14,912,529</w:t>
            </w:r>
          </w:p>
        </w:tc>
      </w:tr>
      <w:tr>
        <w:trPr>
          <w:trHeight w:val="273"/>
        </w:trPr>
        <w:tc>
          <w:tcPr>
            <w:tcW w:w="7240" w:type="dxa"/>
            <w:vAlign w:val="bottom"/>
            <w:gridSpan w:val="3"/>
            <w:shd w:val="clear" w:color="auto" w:fill="E6E6E6"/>
          </w:tcPr>
          <w:p>
            <w:pPr>
              <w:ind w:left="60"/>
              <w:spacing w:after="0"/>
              <w:rPr>
                <w:sz w:val="20"/>
                <w:szCs w:val="20"/>
                <w:color w:val="auto"/>
              </w:rPr>
            </w:pPr>
            <w:r>
              <w:rPr>
                <w:rFonts w:ascii="Arial" w:cs="Arial" w:eastAsia="Arial" w:hAnsi="Arial"/>
                <w:sz w:val="19"/>
                <w:szCs w:val="19"/>
                <w:color w:val="auto"/>
              </w:rPr>
              <w:t>Weighted-average shares outstanding, diluted</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w w:val="92"/>
              </w:rPr>
              <w:t>2,445,176,539</w:t>
            </w:r>
          </w:p>
        </w:tc>
        <w:tc>
          <w:tcPr>
            <w:tcW w:w="1300" w:type="dxa"/>
            <w:vAlign w:val="bottom"/>
            <w:gridSpan w:val="5"/>
            <w:shd w:val="clear" w:color="auto" w:fill="E6E6E6"/>
          </w:tcPr>
          <w:p>
            <w:pPr>
              <w:jc w:val="right"/>
              <w:spacing w:after="0"/>
              <w:rPr>
                <w:sz w:val="20"/>
                <w:szCs w:val="20"/>
                <w:color w:val="auto"/>
              </w:rPr>
            </w:pPr>
            <w:r>
              <w:rPr>
                <w:rFonts w:ascii="Arial" w:cs="Arial" w:eastAsia="Arial" w:hAnsi="Arial"/>
                <w:sz w:val="19"/>
                <w:szCs w:val="19"/>
                <w:color w:val="auto"/>
                <w:w w:val="98"/>
              </w:rPr>
              <w:t>2,081,772,622</w:t>
            </w:r>
          </w:p>
        </w:tc>
        <w:tc>
          <w:tcPr>
            <w:tcW w:w="132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1,693,258,608</w:t>
            </w:r>
          </w:p>
        </w:tc>
      </w:tr>
      <w:tr>
        <w:trPr>
          <w:trHeight w:val="245"/>
        </w:trPr>
        <w:tc>
          <w:tcPr>
            <w:tcW w:w="720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74"/>
        </w:trPr>
        <w:tc>
          <w:tcPr>
            <w:tcW w:w="7240" w:type="dxa"/>
            <w:vAlign w:val="bottom"/>
            <w:gridSpan w:val="3"/>
            <w:shd w:val="clear" w:color="auto" w:fill="E6E6E6"/>
          </w:tcPr>
          <w:p>
            <w:pPr>
              <w:ind w:left="60"/>
              <w:spacing w:after="0"/>
              <w:rPr>
                <w:sz w:val="20"/>
                <w:szCs w:val="20"/>
                <w:color w:val="auto"/>
              </w:rPr>
            </w:pPr>
            <w:r>
              <w:rPr>
                <w:rFonts w:ascii="Arial" w:cs="Arial" w:eastAsia="Arial" w:hAnsi="Arial"/>
                <w:sz w:val="19"/>
                <w:szCs w:val="19"/>
                <w:b w:val="1"/>
                <w:bCs w:val="1"/>
                <w:color w:val="auto"/>
              </w:rPr>
              <w:t>Net loss per share:</w:t>
            </w:r>
          </w:p>
        </w:tc>
        <w:tc>
          <w:tcPr>
            <w:tcW w:w="20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r>
      <w:tr>
        <w:trPr>
          <w:trHeight w:val="283"/>
        </w:trPr>
        <w:tc>
          <w:tcPr>
            <w:tcW w:w="7240" w:type="dxa"/>
            <w:vAlign w:val="bottom"/>
            <w:gridSpan w:val="3"/>
          </w:tcPr>
          <w:p>
            <w:pPr>
              <w:ind w:left="60"/>
              <w:spacing w:after="0"/>
              <w:rPr>
                <w:sz w:val="20"/>
                <w:szCs w:val="20"/>
                <w:color w:val="auto"/>
              </w:rPr>
            </w:pPr>
            <w:r>
              <w:rPr>
                <w:rFonts w:ascii="Arial" w:cs="Arial" w:eastAsia="Arial" w:hAnsi="Arial"/>
                <w:sz w:val="19"/>
                <w:szCs w:val="19"/>
                <w:color w:val="auto"/>
              </w:rPr>
              <w:t>Basic</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(1.25)</w:t>
            </w:r>
          </w:p>
        </w:tc>
        <w:tc>
          <w:tcPr>
            <w:tcW w:w="300" w:type="dxa"/>
            <w:vAlign w:val="bottom"/>
            <w:gridSpan w:val="4"/>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(1.36)</w:t>
            </w:r>
          </w:p>
        </w:tc>
        <w:tc>
          <w:tcPr>
            <w:tcW w:w="300" w:type="dxa"/>
            <w:vAlign w:val="bottom"/>
            <w:gridSpan w:val="3"/>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(0.78)</w:t>
            </w:r>
          </w:p>
        </w:tc>
      </w:tr>
      <w:tr>
        <w:trPr>
          <w:trHeight w:val="254"/>
        </w:trPr>
        <w:tc>
          <w:tcPr>
            <w:tcW w:w="7240" w:type="dxa"/>
            <w:vAlign w:val="bottom"/>
            <w:tcBorders>
              <w:top w:val="single" w:sz="8" w:color="E6E6E6"/>
              <w:bottom w:val="single" w:sz="8" w:color="E6E6E6"/>
            </w:tcBorders>
            <w:gridSpan w:val="3"/>
            <w:shd w:val="clear" w:color="auto" w:fill="E6E6E6"/>
          </w:tcPr>
          <w:p>
            <w:pPr>
              <w:ind w:left="60"/>
              <w:spacing w:after="0" w:line="216" w:lineRule="exact"/>
              <w:rPr>
                <w:sz w:val="20"/>
                <w:szCs w:val="20"/>
                <w:color w:val="auto"/>
              </w:rPr>
            </w:pPr>
            <w:r>
              <w:rPr>
                <w:rFonts w:ascii="Arial" w:cs="Arial" w:eastAsia="Arial" w:hAnsi="Arial"/>
                <w:sz w:val="19"/>
                <w:szCs w:val="19"/>
                <w:color w:val="auto"/>
              </w:rPr>
              <w:t>Diluted</w:t>
            </w:r>
          </w:p>
        </w:tc>
        <w:tc>
          <w:tcPr>
            <w:tcW w:w="200" w:type="dxa"/>
            <w:vAlign w:val="bottom"/>
            <w:tcBorders>
              <w:top w:val="single" w:sz="8" w:color="auto"/>
              <w:bottom w:val="single" w:sz="8" w:color="auto"/>
            </w:tcBorders>
            <w:shd w:val="clear" w:color="auto" w:fill="E6E6E6"/>
          </w:tcPr>
          <w:p>
            <w:pPr>
              <w:jc w:val="right"/>
              <w:ind w:right="4"/>
              <w:spacing w:after="0" w:line="216" w:lineRule="exact"/>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Arial" w:cs="Arial" w:eastAsia="Arial" w:hAnsi="Arial"/>
                <w:sz w:val="19"/>
                <w:szCs w:val="19"/>
                <w:color w:val="auto"/>
              </w:rPr>
              <w:t>(1.25)</w:t>
            </w:r>
          </w:p>
        </w:tc>
        <w:tc>
          <w:tcPr>
            <w:tcW w:w="80" w:type="dxa"/>
            <w:vAlign w:val="bottom"/>
            <w:tcBorders>
              <w:top w:val="single" w:sz="8" w:color="E6E6E6"/>
              <w:bottom w:val="single" w:sz="8" w:color="E6E6E6"/>
            </w:tcBorders>
            <w:gridSpan w:val="3"/>
            <w:shd w:val="clear" w:color="auto" w:fill="E6E6E6"/>
          </w:tcPr>
          <w:p>
            <w:pPr>
              <w:spacing w:after="0"/>
              <w:rPr>
                <w:sz w:val="22"/>
                <w:szCs w:val="22"/>
                <w:color w:val="auto"/>
              </w:rPr>
            </w:pPr>
          </w:p>
        </w:tc>
        <w:tc>
          <w:tcPr>
            <w:tcW w:w="220" w:type="dxa"/>
            <w:vAlign w:val="bottom"/>
            <w:tcBorders>
              <w:top w:val="single" w:sz="8" w:color="auto"/>
              <w:bottom w:val="single" w:sz="8" w:color="auto"/>
            </w:tcBorders>
            <w:shd w:val="clear" w:color="auto" w:fill="E6E6E6"/>
          </w:tcPr>
          <w:p>
            <w:pPr>
              <w:jc w:val="right"/>
              <w:ind w:right="4"/>
              <w:spacing w:after="0" w:line="216" w:lineRule="exact"/>
              <w:rPr>
                <w:sz w:val="20"/>
                <w:szCs w:val="20"/>
                <w:color w:val="auto"/>
              </w:rPr>
            </w:pPr>
            <w:r>
              <w:rPr>
                <w:rFonts w:ascii="Arial" w:cs="Arial" w:eastAsia="Arial" w:hAnsi="Arial"/>
                <w:sz w:val="19"/>
                <w:szCs w:val="19"/>
                <w:color w:val="auto"/>
                <w:w w:val="94"/>
              </w:rPr>
              <w:t>$</w:t>
            </w:r>
          </w:p>
        </w:tc>
        <w:tc>
          <w:tcPr>
            <w:tcW w:w="100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Arial" w:cs="Arial" w:eastAsia="Arial" w:hAnsi="Arial"/>
                <w:sz w:val="19"/>
                <w:szCs w:val="19"/>
                <w:color w:val="auto"/>
              </w:rPr>
              <w:t>(1.36)</w:t>
            </w:r>
          </w:p>
        </w:tc>
        <w:tc>
          <w:tcPr>
            <w:tcW w:w="80" w:type="dxa"/>
            <w:vAlign w:val="bottom"/>
            <w:tcBorders>
              <w:top w:val="single" w:sz="8" w:color="E6E6E6"/>
              <w:bottom w:val="single" w:sz="8" w:color="E6E6E6"/>
            </w:tcBorders>
            <w:gridSpan w:val="2"/>
            <w:shd w:val="clear" w:color="auto" w:fill="E6E6E6"/>
          </w:tcPr>
          <w:p>
            <w:pPr>
              <w:spacing w:after="0"/>
              <w:rPr>
                <w:sz w:val="22"/>
                <w:szCs w:val="22"/>
                <w:color w:val="auto"/>
              </w:rPr>
            </w:pPr>
          </w:p>
        </w:tc>
        <w:tc>
          <w:tcPr>
            <w:tcW w:w="220" w:type="dxa"/>
            <w:vAlign w:val="bottom"/>
            <w:tcBorders>
              <w:top w:val="single" w:sz="8" w:color="auto"/>
              <w:bottom w:val="single" w:sz="8" w:color="auto"/>
            </w:tcBorders>
            <w:shd w:val="clear" w:color="auto" w:fill="E6E6E6"/>
          </w:tcPr>
          <w:p>
            <w:pPr>
              <w:jc w:val="right"/>
              <w:ind w:right="4"/>
              <w:spacing w:after="0" w:line="216" w:lineRule="exact"/>
              <w:rPr>
                <w:sz w:val="20"/>
                <w:szCs w:val="20"/>
                <w:color w:val="auto"/>
              </w:rPr>
            </w:pPr>
            <w:r>
              <w:rPr>
                <w:rFonts w:ascii="Arial" w:cs="Arial" w:eastAsia="Arial" w:hAnsi="Arial"/>
                <w:sz w:val="19"/>
                <w:szCs w:val="19"/>
                <w:color w:val="auto"/>
                <w:w w:val="94"/>
              </w:rPr>
              <w:t>$</w:t>
            </w:r>
          </w:p>
        </w:tc>
        <w:tc>
          <w:tcPr>
            <w:tcW w:w="102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Arial" w:cs="Arial" w:eastAsia="Arial" w:hAnsi="Arial"/>
                <w:sz w:val="19"/>
                <w:szCs w:val="19"/>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-2363470</wp:posOffset>
            </wp:positionV>
            <wp:extent cx="248666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39">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-2016125</wp:posOffset>
            </wp:positionV>
            <wp:extent cx="248666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40">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-1854200</wp:posOffset>
            </wp:positionV>
            <wp:extent cx="2486660" cy="49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1">
                      <a:extLst>
                        <a:ext uri="{28A0092B-C50C-407E-A947-70E740481C1C}"/>
                      </a:extLst>
                    </a:blip>
                    <a:srcRect/>
                    <a:stretch>
                      <a:fillRect/>
                    </a:stretch>
                  </pic:blipFill>
                  <pic:spPr bwMode="auto">
                    <a:xfrm>
                      <a:off x="0" y="0"/>
                      <a:ext cx="2486660" cy="4953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-1649730</wp:posOffset>
            </wp:positionV>
            <wp:extent cx="248666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42">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-1470025</wp:posOffset>
            </wp:positionV>
            <wp:extent cx="2486660" cy="49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3">
                      <a:extLst>
                        <a:ext uri="{28A0092B-C50C-407E-A947-70E740481C1C}"/>
                      </a:extLst>
                    </a:blip>
                    <a:srcRect/>
                    <a:stretch>
                      <a:fillRect/>
                    </a:stretch>
                  </pic:blipFill>
                  <pic:spPr bwMode="auto">
                    <a:xfrm>
                      <a:off x="0" y="0"/>
                      <a:ext cx="2486660" cy="4953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-899795</wp:posOffset>
            </wp:positionV>
            <wp:extent cx="248666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4">
                      <a:extLst>
                        <a:ext uri="{28A0092B-C50C-407E-A947-70E740481C1C}"/>
                      </a:extLst>
                    </a:blip>
                    <a:srcRect/>
                    <a:stretch>
                      <a:fillRect/>
                    </a:stretch>
                  </pic:blipFill>
                  <pic:spPr bwMode="auto">
                    <a:xfrm>
                      <a:off x="0" y="0"/>
                      <a:ext cx="2486660" cy="2540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-737870</wp:posOffset>
            </wp:positionV>
            <wp:extent cx="2486660" cy="49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45">
                      <a:extLst>
                        <a:ext uri="{28A0092B-C50C-407E-A947-70E740481C1C}"/>
                      </a:extLst>
                    </a:blip>
                    <a:srcRect/>
                    <a:stretch>
                      <a:fillRect/>
                    </a:stretch>
                  </pic:blipFill>
                  <pic:spPr bwMode="auto">
                    <a:xfrm>
                      <a:off x="0" y="0"/>
                      <a:ext cx="2486660" cy="4953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-216535</wp:posOffset>
            </wp:positionV>
            <wp:extent cx="2486660" cy="49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6">
                      <a:extLst>
                        <a:ext uri="{28A0092B-C50C-407E-A947-70E740481C1C}"/>
                      </a:extLst>
                    </a:blip>
                    <a:srcRect/>
                    <a:stretch>
                      <a:fillRect/>
                    </a:stretch>
                  </pic:blipFill>
                  <pic:spPr bwMode="auto">
                    <a:xfrm>
                      <a:off x="0" y="0"/>
                      <a:ext cx="2486660" cy="4953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-42545</wp:posOffset>
            </wp:positionV>
            <wp:extent cx="2486660" cy="49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7">
                      <a:extLst>
                        <a:ext uri="{28A0092B-C50C-407E-A947-70E740481C1C}"/>
                      </a:extLst>
                    </a:blip>
                    <a:srcRect/>
                    <a:stretch>
                      <a:fillRect/>
                    </a:stretch>
                  </pic:blipFill>
                  <pic:spPr bwMode="auto">
                    <a:xfrm>
                      <a:off x="0" y="0"/>
                      <a:ext cx="2486660" cy="49530"/>
                    </a:xfrm>
                    <a:prstGeom prst="rect">
                      <a:avLst/>
                    </a:prstGeom>
                    <a:noFill/>
                  </pic:spPr>
                </pic:pic>
              </a:graphicData>
            </a:graphic>
          </wp:anchor>
        </w:drawing>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1080"/>
          </w:cols>
          <w:pgMar w:left="400" w:top="756" w:right="400" w:bottom="0" w:gutter="0" w:footer="0" w:header="0"/>
          <w:type w:val="continuous"/>
        </w:sectPr>
      </w:pPr>
    </w:p>
    <w:bookmarkStart w:id="257" w:name="page258"/>
    <w:bookmarkEnd w:id="257"/>
    <w:p>
      <w:pPr>
        <w:ind w:right="60"/>
        <w:spacing w:after="0" w:line="289" w:lineRule="auto"/>
        <w:rPr>
          <w:sz w:val="20"/>
          <w:szCs w:val="20"/>
          <w:color w:val="auto"/>
        </w:rPr>
      </w:pPr>
      <w:r>
        <w:rPr>
          <w:rFonts w:ascii="Arial" w:cs="Arial" w:eastAsia="Arial" w:hAnsi="Arial"/>
          <w:sz w:val="19"/>
          <w:szCs w:val="19"/>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5"/>
                <w:szCs w:val="15"/>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54"/>
        </w:trPr>
        <w:tc>
          <w:tcPr>
            <w:tcW w:w="71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Excluded Securities</w:t>
            </w:r>
          </w:p>
        </w:tc>
        <w:tc>
          <w:tcPr>
            <w:tcW w:w="12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2022</w:t>
            </w:r>
          </w:p>
        </w:tc>
      </w:tr>
      <w:tr>
        <w:trPr>
          <w:trHeight w:val="264"/>
        </w:trPr>
        <w:tc>
          <w:tcPr>
            <w:tcW w:w="712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Private Placement Warrants to purchase common stock</w:t>
            </w:r>
          </w:p>
        </w:tc>
        <w:tc>
          <w:tcPr>
            <w:tcW w:w="1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44,350,000</w:t>
            </w:r>
          </w:p>
        </w:tc>
        <w:tc>
          <w:tcPr>
            <w:tcW w:w="14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44,350,000</w:t>
            </w:r>
          </w:p>
        </w:tc>
        <w:tc>
          <w:tcPr>
            <w:tcW w:w="60" w:type="dxa"/>
            <w:vAlign w:val="bottom"/>
            <w:shd w:val="clear" w:color="auto" w:fill="E6E6E6"/>
          </w:tcPr>
          <w:p>
            <w:pPr>
              <w:spacing w:after="0"/>
              <w:rPr>
                <w:sz w:val="22"/>
                <w:szCs w:val="22"/>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120" w:type="dxa"/>
            <w:vAlign w:val="bottom"/>
          </w:tcPr>
          <w:p>
            <w:pPr>
              <w:ind w:left="60"/>
              <w:spacing w:after="0"/>
              <w:rPr>
                <w:sz w:val="20"/>
                <w:szCs w:val="20"/>
                <w:color w:val="auto"/>
              </w:rPr>
            </w:pPr>
            <w:r>
              <w:rPr>
                <w:rFonts w:ascii="Arial" w:cs="Arial" w:eastAsia="Arial" w:hAnsi="Arial"/>
                <w:sz w:val="19"/>
                <w:szCs w:val="19"/>
                <w:color w:val="auto"/>
              </w:rPr>
              <w:t>Options outstanding to purchase common stock</w:t>
            </w:r>
          </w:p>
        </w:tc>
        <w:tc>
          <w:tcPr>
            <w:tcW w:w="1220" w:type="dxa"/>
            <w:vAlign w:val="bottom"/>
          </w:tcPr>
          <w:p>
            <w:pPr>
              <w:jc w:val="right"/>
              <w:spacing w:after="0"/>
              <w:rPr>
                <w:sz w:val="20"/>
                <w:szCs w:val="20"/>
                <w:color w:val="auto"/>
              </w:rPr>
            </w:pPr>
            <w:r>
              <w:rPr>
                <w:rFonts w:ascii="Arial" w:cs="Arial" w:eastAsia="Arial" w:hAnsi="Arial"/>
                <w:sz w:val="19"/>
                <w:szCs w:val="19"/>
                <w:color w:val="auto"/>
              </w:rPr>
              <w:t>26,894,103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32,911,135</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39,011,116</w:t>
            </w:r>
          </w:p>
        </w:tc>
      </w:tr>
      <w:tr>
        <w:trPr>
          <w:trHeight w:val="280"/>
        </w:trPr>
        <w:tc>
          <w:tcPr>
            <w:tcW w:w="71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RSUs outstanding</w:t>
            </w:r>
          </w:p>
        </w:tc>
        <w:tc>
          <w:tcPr>
            <w:tcW w:w="1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96,985,937</w:t>
            </w:r>
          </w:p>
        </w:tc>
        <w:tc>
          <w:tcPr>
            <w:tcW w:w="14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57,124,659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38,570,298</w:t>
            </w:r>
          </w:p>
        </w:tc>
      </w:tr>
      <w:tr>
        <w:trPr>
          <w:trHeight w:val="268"/>
        </w:trPr>
        <w:tc>
          <w:tcPr>
            <w:tcW w:w="7120" w:type="dxa"/>
            <w:vAlign w:val="bottom"/>
          </w:tcPr>
          <w:p>
            <w:pPr>
              <w:ind w:left="60"/>
              <w:spacing w:after="0"/>
              <w:rPr>
                <w:sz w:val="20"/>
                <w:szCs w:val="20"/>
                <w:color w:val="auto"/>
              </w:rPr>
            </w:pPr>
            <w:r>
              <w:rPr>
                <w:rFonts w:ascii="Arial" w:cs="Arial" w:eastAsia="Arial" w:hAnsi="Arial"/>
                <w:sz w:val="19"/>
                <w:szCs w:val="19"/>
                <w:color w:val="auto"/>
              </w:rPr>
              <w:t>Employee stock purchase plan</w:t>
            </w:r>
          </w:p>
        </w:tc>
        <w:tc>
          <w:tcPr>
            <w:tcW w:w="1220" w:type="dxa"/>
            <w:vAlign w:val="bottom"/>
          </w:tcPr>
          <w:p>
            <w:pPr>
              <w:jc w:val="right"/>
              <w:spacing w:after="0"/>
              <w:rPr>
                <w:sz w:val="20"/>
                <w:szCs w:val="20"/>
                <w:color w:val="auto"/>
              </w:rPr>
            </w:pPr>
            <w:r>
              <w:rPr>
                <w:rFonts w:ascii="Arial" w:cs="Arial" w:eastAsia="Arial" w:hAnsi="Arial"/>
                <w:sz w:val="19"/>
                <w:szCs w:val="19"/>
                <w:color w:val="auto"/>
              </w:rPr>
              <w:t>25,425,375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14,111,934</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11,826,419</w:t>
            </w:r>
          </w:p>
        </w:tc>
      </w:tr>
      <w:tr>
        <w:trPr>
          <w:trHeight w:val="280"/>
        </w:trPr>
        <w:tc>
          <w:tcPr>
            <w:tcW w:w="7120" w:type="dxa"/>
            <w:vAlign w:val="bottom"/>
            <w:shd w:val="clear" w:color="auto" w:fill="E6E6E6"/>
          </w:tcPr>
          <w:p>
            <w:pPr>
              <w:ind w:left="60"/>
              <w:spacing w:after="0"/>
              <w:rPr>
                <w:sz w:val="20"/>
                <w:szCs w:val="20"/>
                <w:color w:val="auto"/>
              </w:rPr>
            </w:pPr>
            <w:r>
              <w:rPr>
                <w:rFonts w:ascii="Arial" w:cs="Arial" w:eastAsia="Arial" w:hAnsi="Arial"/>
                <w:sz w:val="19"/>
                <w:szCs w:val="19"/>
                <w:color w:val="auto"/>
              </w:rPr>
              <w:t>If-converted common shares from convertible note</w:t>
            </w:r>
          </w:p>
        </w:tc>
        <w:tc>
          <w:tcPr>
            <w:tcW w:w="1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36,737,785</w:t>
            </w:r>
          </w:p>
        </w:tc>
        <w:tc>
          <w:tcPr>
            <w:tcW w:w="14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36,737,785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36,737,785</w:t>
            </w:r>
          </w:p>
        </w:tc>
      </w:tr>
      <w:tr>
        <w:trPr>
          <w:trHeight w:val="268"/>
        </w:trPr>
        <w:tc>
          <w:tcPr>
            <w:tcW w:w="7120" w:type="dxa"/>
            <w:vAlign w:val="bottom"/>
          </w:tcPr>
          <w:p>
            <w:pPr>
              <w:ind w:left="60"/>
              <w:spacing w:after="0"/>
              <w:rPr>
                <w:sz w:val="20"/>
                <w:szCs w:val="20"/>
                <w:color w:val="auto"/>
              </w:rPr>
            </w:pPr>
            <w:r>
              <w:rPr>
                <w:rFonts w:ascii="Arial" w:cs="Arial" w:eastAsia="Arial" w:hAnsi="Arial"/>
                <w:sz w:val="19"/>
                <w:szCs w:val="19"/>
                <w:color w:val="auto"/>
              </w:rPr>
              <w:t>If-converted common shares from Series A redeemable convertible preferred stock</w:t>
            </w:r>
          </w:p>
        </w:tc>
        <w:tc>
          <w:tcPr>
            <w:tcW w:w="1220" w:type="dxa"/>
            <w:vAlign w:val="bottom"/>
          </w:tcPr>
          <w:p>
            <w:pPr>
              <w:jc w:val="right"/>
              <w:spacing w:after="0"/>
              <w:rPr>
                <w:sz w:val="20"/>
                <w:szCs w:val="20"/>
                <w:color w:val="auto"/>
              </w:rPr>
            </w:pPr>
            <w:r>
              <w:rPr>
                <w:rFonts w:ascii="Arial" w:cs="Arial" w:eastAsia="Arial" w:hAnsi="Arial"/>
                <w:sz w:val="19"/>
                <w:szCs w:val="19"/>
                <w:color w:val="auto"/>
              </w:rPr>
              <w:t>297,567,387</w:t>
            </w:r>
          </w:p>
        </w:tc>
        <w:tc>
          <w:tcPr>
            <w:tcW w:w="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89"/>
        </w:trPr>
        <w:tc>
          <w:tcPr>
            <w:tcW w:w="71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If-converted common shares from Series B redeemable convertible preferred stock</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177,103,144</w:t>
            </w:r>
          </w:p>
        </w:tc>
        <w:tc>
          <w:tcPr>
            <w:tcW w:w="6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53"/>
        </w:trPr>
        <w:tc>
          <w:tcPr>
            <w:tcW w:w="7120" w:type="dxa"/>
            <w:vAlign w:val="bottom"/>
          </w:tcPr>
          <w:p>
            <w:pPr>
              <w:ind w:left="60"/>
              <w:spacing w:after="0" w:line="216" w:lineRule="exact"/>
              <w:rPr>
                <w:sz w:val="20"/>
                <w:szCs w:val="20"/>
                <w:color w:val="auto"/>
              </w:rPr>
            </w:pPr>
            <w:r>
              <w:rPr>
                <w:rFonts w:ascii="Arial" w:cs="Arial" w:eastAsia="Arial" w:hAnsi="Arial"/>
                <w:sz w:val="19"/>
                <w:szCs w:val="19"/>
                <w:color w:val="auto"/>
              </w:rPr>
              <w:t>Total</w:t>
            </w:r>
          </w:p>
        </w:tc>
        <w:tc>
          <w:tcPr>
            <w:tcW w:w="12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705,063,731</w:t>
            </w:r>
          </w:p>
        </w:tc>
        <w:tc>
          <w:tcPr>
            <w:tcW w:w="60" w:type="dxa"/>
            <w:vAlign w:val="bottom"/>
          </w:tcPr>
          <w:p>
            <w:pPr>
              <w:spacing w:after="0"/>
              <w:rPr>
                <w:sz w:val="22"/>
                <w:szCs w:val="22"/>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185,235,513</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126,145,618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-1421130</wp:posOffset>
            </wp:positionV>
            <wp:extent cx="253238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48">
                      <a:extLst>
                        <a:ext uri="{28A0092B-C50C-407E-A947-70E740481C1C}"/>
                      </a:extLst>
                    </a:blip>
                    <a:srcRect/>
                    <a:stretch>
                      <a:fillRect/>
                    </a:stretch>
                  </pic:blipFill>
                  <pic:spPr bwMode="auto">
                    <a:xfrm>
                      <a:off x="0" y="0"/>
                      <a:ext cx="2532380" cy="254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-204470</wp:posOffset>
            </wp:positionV>
            <wp:extent cx="253238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49">
                      <a:extLst>
                        <a:ext uri="{28A0092B-C50C-407E-A947-70E740481C1C}"/>
                      </a:extLst>
                    </a:blip>
                    <a:srcRect/>
                    <a:stretch>
                      <a:fillRect/>
                    </a:stretch>
                  </pic:blipFill>
                  <pic:spPr bwMode="auto">
                    <a:xfrm>
                      <a:off x="0" y="0"/>
                      <a:ext cx="2532380" cy="254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-42545</wp:posOffset>
            </wp:positionV>
            <wp:extent cx="2532380" cy="49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50">
                      <a:extLst>
                        <a:ext uri="{28A0092B-C50C-407E-A947-70E740481C1C}"/>
                      </a:extLst>
                    </a:blip>
                    <a:srcRect/>
                    <a:stretch>
                      <a:fillRect/>
                    </a:stretch>
                  </pic:blipFill>
                  <pic:spPr bwMode="auto">
                    <a:xfrm>
                      <a:off x="0" y="0"/>
                      <a:ext cx="2532380" cy="49530"/>
                    </a:xfrm>
                    <a:prstGeom prst="rect">
                      <a:avLst/>
                    </a:prstGeom>
                    <a:noFill/>
                  </pic:spPr>
                </pic:pic>
              </a:graphicData>
            </a:graphic>
          </wp:anchor>
        </w:drawing>
      </w:r>
    </w:p>
    <w:p>
      <w:pPr>
        <w:spacing w:after="0" w:line="217"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The 6,979,532, 6,880,905, and 2,090,140 shares of common stock equivalents subject to RSUs are excluded from the anti-dilutive table above as the underlying shares remain contingently issuable since the market or corporate and individual performance conditions have not been satisfied as of December 31, 2024, 2023 and 2022,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 EMPLOYEE BENEFIT PLAN</w:t>
      </w:r>
    </w:p>
    <w:p>
      <w:pPr>
        <w:spacing w:after="0" w:line="249"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year ended December 31, 2024, and nil for the years ended December 31, 2023 and 2022.</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16 - RELATED PARTY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50"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$4.2 million and $4.5 million as of December 31, 2024 and 2023, respectively. The lease liability was $6.1 million and $5.7 million as of December 31, 2024 and 2023, respectively. The right-of-use asset and lease liability were recorded in right-of-use assets and other long-term liabilities in the consolidated balance sheets, respectively. The lease expense recorded for the years ended December 31, 2024, 2023, and 2022 was immaterial.</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$2.0 million and $2.3 million as of December 31, 2024 and 2023, respectively. The lease liability was $2.4 million and $2.3 million as of December 31, 2024 and 2023, respectively. The right-of-use asset and lease liability were recorded in right-of-use assets and other long-term liabilities in the consolidated balance sheets, respectively. The lease expense recorded for the years ended December 31, 2024 and 2023 was immaterial.</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SIDF Loan Agreement</w:t>
      </w:r>
    </w:p>
    <w:p>
      <w:pPr>
        <w:spacing w:after="0" w:line="250" w:lineRule="exact"/>
        <w:rPr>
          <w:sz w:val="20"/>
          <w:szCs w:val="20"/>
          <w:color w:val="auto"/>
        </w:rPr>
      </w:pPr>
    </w:p>
    <w:p>
      <w:pPr>
        <w:ind w:right="280"/>
        <w:spacing w:after="0" w:line="265" w:lineRule="auto"/>
        <w:rPr>
          <w:sz w:val="20"/>
          <w:szCs w:val="20"/>
          <w:color w:val="auto"/>
        </w:rPr>
      </w:pPr>
      <w:r>
        <w:rPr>
          <w:rFonts w:ascii="Arial" w:cs="Arial" w:eastAsia="Arial" w:hAnsi="Arial"/>
          <w:sz w:val="19"/>
          <w:szCs w:val="19"/>
          <w:color w:val="auto"/>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1080"/>
          </w:cols>
          <w:pgMar w:left="400" w:top="763" w:right="400" w:bottom="0" w:gutter="0" w:footer="0" w:header="0"/>
          <w:type w:val="continuous"/>
        </w:sectPr>
      </w:pPr>
    </w:p>
    <w:bookmarkStart w:id="258" w:name="page259"/>
    <w:bookmarkEnd w:id="258"/>
    <w:p>
      <w:pPr>
        <w:spacing w:after="0"/>
        <w:rPr>
          <w:sz w:val="20"/>
          <w:szCs w:val="20"/>
          <w:color w:val="auto"/>
        </w:rPr>
      </w:pPr>
      <w:r>
        <w:rPr>
          <w:rFonts w:ascii="Arial" w:cs="Arial" w:eastAsia="Arial" w:hAnsi="Arial"/>
          <w:sz w:val="19"/>
          <w:szCs w:val="19"/>
          <w:b w:val="1"/>
          <w:bCs w:val="1"/>
          <w:i w:val="1"/>
          <w:iCs w:val="1"/>
          <w:color w:val="auto"/>
        </w:rPr>
        <w:t>MISA Agreements</w:t>
      </w:r>
    </w:p>
    <w:p>
      <w:pPr>
        <w:spacing w:after="0" w:line="250"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2022, the Company received support of SAR 366 million (approximately $97.3 million) in cash, of which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$64.0 million was recorded as deferred liability within other long-term liabilities and $33.3 million was recorded as a deduction in calculating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the related assets in the consolidated balance sheet as of December 31, 2022. Subsequently, the Company recorded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$64.0 million as a deduction in calculating the carrying amount of the related assets in the consolidated balance sheet as of December 31, 2023.</w:t>
      </w: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There were no unfulfilled conditions and contingencies attached to the payments received.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GIB Facility Agreement</w:t>
      </w:r>
    </w:p>
    <w:p>
      <w:pPr>
        <w:spacing w:after="0" w:line="235"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w:t>
      </w:r>
    </w:p>
    <w:p>
      <w:pPr>
        <w:spacing w:after="0" w:line="182"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In March 2023, Lucid LLC entered into an amendment of the 2023 GIB Facility Agreement to combine the Bridge Facility and the Working Capital Facility into a committed SAR 1.0 billion (approximately $266.1 million) 2023 GIB Credit Facility which may be used for general corporate purposes. See Note 6 “Debt”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Construction Service Contract</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Lucid LLC entered into agreements with Al Bawani Company Limited (“Al Bawani”), an affiliate of the PIF, which is an affiliate of Ayar, for certain design and construction services in connection with the development of AMP-2. The capital expenditures incurred to date under these agreements were SAR 865.2 million (approximately $230.3 million) and SAR 444.6 million (approximately $118.6 million) as of December 31, 2024 and 2023, respectively. Net advance payments made to Al Bawani under these agreements were SAR 129.6 million (approximately $34.5 million) as of December 31, 2024, and was recorded within other current assets in the consolidated balance sheet. Amounts due to Al Bawani was SAR 74.0 million (approximately $19.7 million) as of December 31, 2023, and was recorded within other current liabilities in the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Subscription Agreements</w:t>
      </w:r>
    </w:p>
    <w:p>
      <w:pPr>
        <w:spacing w:after="0" w:line="250" w:lineRule="exact"/>
        <w:rPr>
          <w:sz w:val="20"/>
          <w:szCs w:val="20"/>
          <w:color w:val="auto"/>
        </w:rPr>
      </w:pPr>
    </w:p>
    <w:p>
      <w:pPr>
        <w:ind w:right="20"/>
        <w:spacing w:after="0" w:line="317" w:lineRule="auto"/>
        <w:rPr>
          <w:sz w:val="20"/>
          <w:szCs w:val="20"/>
          <w:color w:val="auto"/>
        </w:rPr>
      </w:pPr>
      <w:r>
        <w:rPr>
          <w:rFonts w:ascii="Arial" w:cs="Arial" w:eastAsia="Arial" w:hAnsi="Arial"/>
          <w:sz w:val="17"/>
          <w:szCs w:val="17"/>
          <w:color w:val="auto"/>
        </w:rPr>
        <w:t>In November 2022, the Company entered into the 2022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w:t>
      </w:r>
    </w:p>
    <w:p>
      <w:pPr>
        <w:spacing w:after="0" w:line="148" w:lineRule="exact"/>
        <w:rPr>
          <w:sz w:val="20"/>
          <w:szCs w:val="20"/>
          <w:color w:val="auto"/>
        </w:rPr>
      </w:pPr>
    </w:p>
    <w:p>
      <w:pPr>
        <w:ind w:right="100"/>
        <w:spacing w:after="0" w:line="305" w:lineRule="auto"/>
        <w:rPr>
          <w:sz w:val="20"/>
          <w:szCs w:val="20"/>
          <w:color w:val="auto"/>
        </w:rPr>
      </w:pPr>
      <w:r>
        <w:rPr>
          <w:rFonts w:ascii="Arial" w:cs="Arial" w:eastAsia="Arial" w:hAnsi="Arial"/>
          <w:sz w:val="17"/>
          <w:szCs w:val="17"/>
          <w:color w:val="auto"/>
        </w:rPr>
        <w:t>In May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See Note 9 “Stockholders’ Equity” for more information.</w:t>
      </w:r>
    </w:p>
    <w:p>
      <w:pPr>
        <w:sectPr>
          <w:pgSz w:w="11880" w:h="15480" w:orient="portrait"/>
          <w:cols w:equalWidth="0" w:num="1">
            <w:col w:w="11020"/>
          </w:cols>
          <w:pgMar w:left="400" w:top="755"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1020"/>
          </w:cols>
          <w:pgMar w:left="400" w:top="755" w:right="460" w:bottom="0" w:gutter="0" w:footer="0" w:header="0"/>
          <w:type w:val="continuous"/>
        </w:sectPr>
      </w:pPr>
    </w:p>
    <w:bookmarkStart w:id="259" w:name="page260"/>
    <w:bookmarkEnd w:id="259"/>
    <w:p>
      <w:pPr>
        <w:spacing w:after="0"/>
        <w:rPr>
          <w:sz w:val="20"/>
          <w:szCs w:val="20"/>
          <w:color w:val="auto"/>
        </w:rPr>
      </w:pPr>
      <w:r>
        <w:rPr>
          <w:rFonts w:ascii="Arial" w:cs="Arial" w:eastAsia="Arial" w:hAnsi="Arial"/>
          <w:sz w:val="17"/>
          <w:szCs w:val="17"/>
          <w:color w:val="auto"/>
        </w:rPr>
        <w:t>In March 2024, the Company entered into the Series A Subscription Agreement with Ayar, pursuant to which Ayar agreed to purchase from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100,000 shares of its Series A Redeemable Convertible Preferred Stock for an aggregate purchase price of $1.0 billion in a private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placement. Subsequently, in March 2024, the Company issued the shares to Ayar pursuant to the Series A Subscription Agreement and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received aggregate net proceeds of $997.6 million after deducting issuance cost of $2.4 million. In August 2024, the Company entered into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B Subscription Agreement with Ayar, pursuant to which Ayar agreed to purchase from the Company 75,000 shares of its Series 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Redeemable Convertible Preferred Stock for an aggregate purchase price of $750.0 million in a private placement. Subsequently, in August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2024, the Company issued the shares to Ayar pursuant to the Series B Subscription Agreement and received aggregate net proceeds of</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$749.4 million after deducting issuance costs of $0.6 million. See Note 8 “Redeemable Convertible Preferred Stock” for more information.</w:t>
      </w:r>
    </w:p>
    <w:p>
      <w:pPr>
        <w:spacing w:after="0" w:line="254"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In October 2024, the Company entered into the 2024 Subscription Agreement, pursuant to which Ayar agreed to purchase from the Company 374,717,927 shares of the Company’s common stock in a private placement. In addition,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 See Note 9 “Stockholders’ Equity” for more information.</w:t>
      </w:r>
    </w:p>
    <w:p>
      <w:pPr>
        <w:spacing w:after="0" w:line="191"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Common stock acquired by Ayar under the 2022 Subscription Agreement,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Human Resources Development Fund (“HRDF”) Joint Cooperation Agreement</w:t>
      </w:r>
    </w:p>
    <w:p>
      <w:pPr>
        <w:spacing w:after="0" w:line="250" w:lineRule="exact"/>
        <w:rPr>
          <w:sz w:val="20"/>
          <w:szCs w:val="20"/>
          <w:color w:val="auto"/>
        </w:rPr>
      </w:pPr>
    </w:p>
    <w:p>
      <w:pPr>
        <w:jc w:val="both"/>
        <w:ind w:right="320"/>
        <w:spacing w:after="0" w:line="293" w:lineRule="auto"/>
        <w:rPr>
          <w:sz w:val="20"/>
          <w:szCs w:val="20"/>
          <w:color w:val="auto"/>
        </w:rPr>
      </w:pPr>
      <w:r>
        <w:rPr>
          <w:rFonts w:ascii="Arial" w:cs="Arial" w:eastAsia="Arial" w:hAnsi="Arial"/>
          <w:sz w:val="18"/>
          <w:szCs w:val="18"/>
          <w:color w:val="auto"/>
        </w:rPr>
        <w:t>In March 2023, Lucid LLC entered into a joint cooperation agreement with HRDF, a related party of the PIF, which is an affiliate of Ayar. Pursuant to the agreement, Lucid LLC will train and develop local personnel in Saudi Arabia, and HRDF agreed to reimburse the Company training related costs in an aggregate maximum amount of SAR 29.3 million (approximately $7.8 million) during the program.</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received a payment SAR 10.9 million (approximately $2.9 million) in cash during the year ended December 31, 2024, and SAR 8.8 million (approximately $2.3 million) during the year ended December 31, 2023. The Company recorded $1.8 million of deferred liability within other current liabilities in the consolidated balance sheets as of December 31, 2023. The deduction recorded to operating expenses in the consolidated statement of operations and comprehensive loss was not material for the year ended December 31, 2023. The deferred liability was nil as of December 31, 2024 and the Company recorded the remaining deferred liability balance as a deduction to operating expenses in the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 Purchase Agreement</w:t>
      </w:r>
    </w:p>
    <w:p>
      <w:pPr>
        <w:spacing w:after="0" w:line="25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Company recognized net vehicle sales amount of SAR 654.6 million (approximately $174.2 million) and SAR 163.9 million (approximately $43.7 million) during the years ended December 31, 2024 and 2023, respectively. The deferred revenue from the vehicle sales was primarily related to OTA and was recorded within other current liabilities and other long-term liabilities in the consolidated balance sheets. As of December 31, 2024 and 2023, the deferred revenue balance was not material. The Company recorded amounts due from the Purchaser of SAR 217.6 million (approximately $57.9 million) and SAR 133.2 million (approximately $35.5 million) in accounts receivable, net in the consolidated balance sheets as of December 31, 2024 and 2023, respectively. See “Vehicle Sales without Residual Value Guarantee” section under Note 2 “Summary of Significant Accounting Policies” for the revenue recognition policies.</w:t>
      </w:r>
    </w:p>
    <w:p>
      <w:pPr>
        <w:sectPr>
          <w:pgSz w:w="11880" w:h="15480" w:orient="portrait"/>
          <w:cols w:equalWidth="0" w:num="1">
            <w:col w:w="11060"/>
          </w:cols>
          <w:pgMar w:left="400" w:top="7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11060"/>
          </w:cols>
          <w:pgMar w:left="400" w:top="763" w:right="420" w:bottom="0" w:gutter="0" w:footer="0" w:header="0"/>
          <w:type w:val="continuous"/>
        </w:sectPr>
      </w:pPr>
    </w:p>
    <w:bookmarkStart w:id="260" w:name="page261"/>
    <w:bookmarkEnd w:id="260"/>
    <w:p>
      <w:pPr>
        <w:spacing w:after="0"/>
        <w:rPr>
          <w:sz w:val="20"/>
          <w:szCs w:val="20"/>
          <w:color w:val="auto"/>
        </w:rPr>
      </w:pPr>
      <w:r>
        <w:rPr>
          <w:rFonts w:ascii="Arial" w:cs="Arial" w:eastAsia="Arial" w:hAnsi="Arial"/>
          <w:sz w:val="19"/>
          <w:szCs w:val="19"/>
          <w:b w:val="1"/>
          <w:bCs w:val="1"/>
          <w:i w:val="1"/>
          <w:iCs w:val="1"/>
          <w:color w:val="auto"/>
        </w:rPr>
        <w:t>Implementation Agreement with Aston Martin</w:t>
      </w:r>
    </w:p>
    <w:p>
      <w:pPr>
        <w:spacing w:after="0" w:line="250"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$33.0 million. These shares were initially measured at a fair value of $73.2 million. As of December 31, 2024 and 2023, the Company remeasured the shares and recorded fair values of $37.8 million and</w:t>
      </w:r>
    </w:p>
    <w:p>
      <w:pPr>
        <w:ind w:right="60"/>
        <w:spacing w:after="0" w:line="273" w:lineRule="auto"/>
        <w:rPr>
          <w:sz w:val="20"/>
          <w:szCs w:val="20"/>
          <w:color w:val="auto"/>
        </w:rPr>
      </w:pPr>
      <w:r>
        <w:rPr>
          <w:rFonts w:ascii="Arial" w:cs="Arial" w:eastAsia="Arial" w:hAnsi="Arial"/>
          <w:sz w:val="18"/>
          <w:szCs w:val="18"/>
          <w:color w:val="auto"/>
        </w:rPr>
        <w:t>$81.5 million within investments in equity securities of a related party in the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$5.8 million from inception through December 31, 2024. The accounts receivable recorded in the consolidated balance sheet as of December 31, 2024 was immaterial. The Company accounts for technology access, integration service, and supply arrangement as a single performance obligation and recognizes revenue related to technology access and integration service based on estimated units of delivery under the supply arrangement. As of December 31, 2024 and 2023, the Company recorded $112.7 million and $107.8 million as deferred revenue primarily within other long-term liabilities in the consolidated balance sheets, respectively. Aston Martin has also committed to an effective minimum spend with the Company on powertrain components of $225 million.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DDTL Credit Facility</w:t>
      </w:r>
    </w:p>
    <w:p>
      <w:pPr>
        <w:spacing w:after="0" w:line="250"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color w:val="auto"/>
        </w:rPr>
        <w:t>In August 2024, the Company entered into a $750.0 million five year DDTL Credit Facility with Ayar, which may be used for working capital and general corporate purposes. See Note 6 “Debt”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Time Deposit</w:t>
      </w:r>
    </w:p>
    <w:p>
      <w:pPr>
        <w:spacing w:after="0" w:line="250"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Company purchases time deposits with GIB from time-to-time. GIB is a related party of the PIF, which is an affiliate of Ayar. As of December 31, 2024, the time deposit balance was $35.0 million, which was recorded within short-term investments and long-term investments in the consolidated balance sheet. See Note 5 “Fair Value Measurements and Financial Instruments”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 SEGMENT REPORTING</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from the sale of electric vehicles to customers, and the Company’s reported measure of the segment’s profit or loss is the consolidated net loss reported in the consolidated statements of operations and comprehensive loss. The CODM uses the consolidated net loss for monitoring actual results to assess the Company’s financial performance. The Company’s CODM does not evaluate its reportable segment using asset information.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disaggregation of the Company’s revenue by geographic area based on the sales location where the sales originated was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5"/>
                <w:szCs w:val="15"/>
                <w:b w:val="1"/>
                <w:bCs w:val="1"/>
                <w:color w:val="auto"/>
                <w:w w:val="98"/>
              </w:rPr>
              <w:t>Year Ended December 31,</w:t>
            </w:r>
          </w:p>
        </w:tc>
      </w:tr>
      <w:tr>
        <w:trPr>
          <w:trHeight w:val="211"/>
        </w:trPr>
        <w:tc>
          <w:tcPr>
            <w:tcW w:w="860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b w:val="1"/>
                <w:bCs w:val="1"/>
                <w:color w:val="auto"/>
              </w:rPr>
              <w:t>2023</w:t>
            </w:r>
          </w:p>
        </w:tc>
      </w:tr>
      <w:tr>
        <w:trPr>
          <w:trHeight w:val="264"/>
        </w:trPr>
        <w:tc>
          <w:tcPr>
            <w:tcW w:w="8620" w:type="dxa"/>
            <w:vAlign w:val="bottom"/>
            <w:gridSpan w:val="2"/>
            <w:shd w:val="clear" w:color="auto" w:fill="E6E6E6"/>
          </w:tcPr>
          <w:p>
            <w:pPr>
              <w:ind w:left="60"/>
              <w:spacing w:after="0" w:line="264" w:lineRule="exact"/>
              <w:rPr>
                <w:sz w:val="20"/>
                <w:szCs w:val="20"/>
                <w:color w:val="auto"/>
              </w:rPr>
            </w:pPr>
            <w:r>
              <w:rPr>
                <w:rFonts w:ascii="Arial" w:cs="Arial" w:eastAsia="Arial" w:hAnsi="Arial"/>
                <w:sz w:val="19"/>
                <w:szCs w:val="19"/>
                <w:color w:val="auto"/>
              </w:rPr>
              <w:t>North America</w:t>
            </w:r>
            <w:r>
              <w:rPr>
                <w:rFonts w:ascii="Arial" w:cs="Arial" w:eastAsia="Arial" w:hAnsi="Arial"/>
                <w:sz w:val="24"/>
                <w:szCs w:val="24"/>
                <w:color w:val="auto"/>
                <w:vertAlign w:val="superscript"/>
              </w:rPr>
              <w:t>(1)</w:t>
            </w:r>
          </w:p>
        </w:tc>
        <w:tc>
          <w:tcPr>
            <w:tcW w:w="240" w:type="dxa"/>
            <w:vAlign w:val="bottom"/>
            <w:shd w:val="clear" w:color="auto" w:fill="E6E6E6"/>
          </w:tcPr>
          <w:p>
            <w:pPr>
              <w:jc w:val="right"/>
              <w:ind w:right="24"/>
              <w:spacing w:after="0"/>
              <w:rPr>
                <w:sz w:val="20"/>
                <w:szCs w:val="20"/>
                <w:color w:val="auto"/>
              </w:rPr>
            </w:pPr>
            <w:r>
              <w:rPr>
                <w:rFonts w:ascii="Arial" w:cs="Arial" w:eastAsia="Arial" w:hAnsi="Arial"/>
                <w:sz w:val="19"/>
                <w:szCs w:val="19"/>
                <w:color w:val="auto"/>
                <w:w w:val="94"/>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598,022</w:t>
            </w:r>
          </w:p>
        </w:tc>
        <w:tc>
          <w:tcPr>
            <w:tcW w:w="360" w:type="dxa"/>
            <w:vAlign w:val="bottom"/>
            <w:gridSpan w:val="2"/>
            <w:shd w:val="clear" w:color="auto" w:fill="E6E6E6"/>
          </w:tcPr>
          <w:p>
            <w:pPr>
              <w:jc w:val="right"/>
              <w:ind w:right="64"/>
              <w:spacing w:after="0"/>
              <w:rPr>
                <w:sz w:val="20"/>
                <w:szCs w:val="20"/>
                <w:color w:val="auto"/>
              </w:rPr>
            </w:pPr>
            <w:r>
              <w:rPr>
                <w:rFonts w:ascii="Arial" w:cs="Arial" w:eastAsia="Arial" w:hAnsi="Arial"/>
                <w:sz w:val="19"/>
                <w:szCs w:val="19"/>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521,991</w:t>
            </w:r>
          </w:p>
        </w:tc>
      </w:tr>
      <w:tr>
        <w:trPr>
          <w:trHeight w:val="274"/>
        </w:trPr>
        <w:tc>
          <w:tcPr>
            <w:tcW w:w="8620" w:type="dxa"/>
            <w:vAlign w:val="bottom"/>
            <w:gridSpan w:val="2"/>
          </w:tcPr>
          <w:p>
            <w:pPr>
              <w:ind w:left="60"/>
              <w:spacing w:after="0" w:line="274" w:lineRule="exact"/>
              <w:rPr>
                <w:sz w:val="20"/>
                <w:szCs w:val="20"/>
                <w:color w:val="auto"/>
              </w:rPr>
            </w:pPr>
            <w:r>
              <w:rPr>
                <w:rFonts w:ascii="Arial" w:cs="Arial" w:eastAsia="Arial" w:hAnsi="Arial"/>
                <w:sz w:val="19"/>
                <w:szCs w:val="19"/>
                <w:color w:val="auto"/>
              </w:rPr>
              <w:t>Middle East</w:t>
            </w:r>
            <w:r>
              <w:rPr>
                <w:rFonts w:ascii="Arial" w:cs="Arial" w:eastAsia="Arial" w:hAnsi="Arial"/>
                <w:sz w:val="24"/>
                <w:szCs w:val="24"/>
                <w:color w:val="auto"/>
                <w:vertAlign w:val="superscript"/>
              </w:rPr>
              <w:t>(2)</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194,052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58,993</w:t>
            </w:r>
          </w:p>
        </w:tc>
      </w:tr>
      <w:tr>
        <w:trPr>
          <w:trHeight w:val="263"/>
        </w:trPr>
        <w:tc>
          <w:tcPr>
            <w:tcW w:w="8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 international</w:t>
            </w:r>
          </w:p>
        </w:tc>
        <w:tc>
          <w:tcPr>
            <w:tcW w:w="20" w:type="dxa"/>
            <w:vAlign w:val="bottom"/>
            <w:tcBorders>
              <w:bottom w:val="single" w:sz="8" w:color="auto"/>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15,758</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14,287</w:t>
            </w:r>
          </w:p>
        </w:tc>
      </w:tr>
      <w:tr>
        <w:trPr>
          <w:trHeight w:val="273"/>
        </w:trPr>
        <w:tc>
          <w:tcPr>
            <w:tcW w:w="8620" w:type="dxa"/>
            <w:vAlign w:val="bottom"/>
            <w:gridSpan w:val="2"/>
          </w:tcPr>
          <w:p>
            <w:pPr>
              <w:ind w:left="60"/>
              <w:spacing w:after="0"/>
              <w:rPr>
                <w:sz w:val="20"/>
                <w:szCs w:val="20"/>
                <w:color w:val="auto"/>
              </w:rPr>
            </w:pPr>
            <w:r>
              <w:rPr>
                <w:rFonts w:ascii="Arial" w:cs="Arial" w:eastAsia="Arial" w:hAnsi="Arial"/>
                <w:sz w:val="19"/>
                <w:szCs w:val="19"/>
                <w:color w:val="auto"/>
              </w:rPr>
              <w:t>Total revenue</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w w:val="9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807,832</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5445125</wp:posOffset>
            </wp:positionH>
            <wp:positionV relativeFrom="paragraph">
              <wp:posOffset>-725805</wp:posOffset>
            </wp:positionV>
            <wp:extent cx="159893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1">
                      <a:extLst>
                        <a:ext uri="{28A0092B-C50C-407E-A947-70E740481C1C}"/>
                      </a:extLst>
                    </a:blip>
                    <a:srcRect/>
                    <a:stretch>
                      <a:fillRect/>
                    </a:stretch>
                  </pic:blipFill>
                  <pic:spPr bwMode="auto">
                    <a:xfrm>
                      <a:off x="0" y="0"/>
                      <a:ext cx="1598930" cy="2540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-204470</wp:posOffset>
            </wp:positionV>
            <wp:extent cx="159893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2">
                      <a:extLst>
                        <a:ext uri="{28A0092B-C50C-407E-A947-70E740481C1C}"/>
                      </a:extLst>
                    </a:blip>
                    <a:srcRect/>
                    <a:stretch>
                      <a:fillRect/>
                    </a:stretch>
                  </pic:blipFill>
                  <pic:spPr bwMode="auto">
                    <a:xfrm>
                      <a:off x="0" y="0"/>
                      <a:ext cx="1598930" cy="2540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-42545</wp:posOffset>
            </wp:positionV>
            <wp:extent cx="1598930" cy="495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3">
                      <a:extLst>
                        <a:ext uri="{28A0092B-C50C-407E-A947-70E740481C1C}"/>
                      </a:extLst>
                    </a:blip>
                    <a:srcRect/>
                    <a:stretch>
                      <a:fillRect/>
                    </a:stretch>
                  </pic:blipFill>
                  <pic:spPr bwMode="auto">
                    <a:xfrm>
                      <a:off x="0" y="0"/>
                      <a:ext cx="1598930" cy="49530"/>
                    </a:xfrm>
                    <a:prstGeom prst="rect">
                      <a:avLst/>
                    </a:prstGeom>
                    <a:noFill/>
                  </pic:spPr>
                </pic:pic>
              </a:graphicData>
            </a:graphic>
          </wp:anchor>
        </w:drawing>
      </w:r>
    </w:p>
    <w:p>
      <w:pPr>
        <w:spacing w:after="0" w:line="229" w:lineRule="exact"/>
        <w:rPr>
          <w:sz w:val="20"/>
          <w:szCs w:val="20"/>
          <w:color w:val="auto"/>
        </w:rPr>
      </w:pPr>
    </w:p>
    <w:p>
      <w:pPr>
        <w:ind w:right="20" w:firstLine="7"/>
        <w:spacing w:after="0"/>
        <w:tabs>
          <w:tab w:leader="none" w:pos="157" w:val="left"/>
        </w:tabs>
        <w:numPr>
          <w:ilvl w:val="0"/>
          <w:numId w:val="172"/>
        </w:numPr>
        <w:rPr>
          <w:rFonts w:ascii="Arial" w:cs="Arial" w:eastAsia="Arial" w:hAnsi="Arial"/>
          <w:sz w:val="18"/>
          <w:szCs w:val="18"/>
          <w:color w:val="auto"/>
          <w:vertAlign w:val="superscript"/>
        </w:rPr>
      </w:pPr>
      <w:r>
        <w:rPr>
          <w:rFonts w:ascii="Arial" w:cs="Arial" w:eastAsia="Arial" w:hAnsi="Arial"/>
          <w:sz w:val="14"/>
          <w:szCs w:val="14"/>
          <w:color w:val="auto"/>
        </w:rPr>
        <w:t>United States revenue was $587.3 million, $511.3 million, and $597.2 million for the years ended December 31, 2024, 2023, and 2022, respectively. No individual country outside of United States had more than 10% of the total revenue for the year ended December 31, 2022.</w:t>
      </w:r>
    </w:p>
    <w:p>
      <w:pPr>
        <w:ind w:firstLine="7"/>
        <w:spacing w:after="0" w:line="265" w:lineRule="auto"/>
        <w:tabs>
          <w:tab w:leader="none" w:pos="155" w:val="left"/>
        </w:tabs>
        <w:numPr>
          <w:ilvl w:val="0"/>
          <w:numId w:val="172"/>
        </w:numPr>
        <w:rPr>
          <w:rFonts w:ascii="Arial" w:cs="Arial" w:eastAsia="Arial" w:hAnsi="Arial"/>
          <w:sz w:val="18"/>
          <w:szCs w:val="18"/>
          <w:color w:val="auto"/>
          <w:vertAlign w:val="superscript"/>
        </w:rPr>
      </w:pPr>
      <w:r>
        <w:rPr>
          <w:rFonts w:ascii="Arial" w:cs="Arial" w:eastAsia="Arial" w:hAnsi="Arial"/>
          <w:sz w:val="14"/>
          <w:szCs w:val="14"/>
          <w:color w:val="auto"/>
        </w:rPr>
        <w:t>Kingdom of Saudi Arabia revenue was $191.1 million for the year ended December 31, 2024. Middle East represented revenue from Kingdom of Saudi Arabia for the year ended December 31, 2023.</w:t>
      </w:r>
    </w:p>
    <w:p>
      <w:pPr>
        <w:sectPr>
          <w:pgSz w:w="11880" w:h="15480" w:orient="portrait"/>
          <w:cols w:equalWidth="0" w:num="1">
            <w:col w:w="11080"/>
          </w:cols>
          <w:pgMar w:left="400" w:top="755"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1080"/>
          </w:cols>
          <w:pgMar w:left="400" w:top="755" w:right="400" w:bottom="0" w:gutter="0" w:footer="0" w:header="0"/>
          <w:type w:val="continuous"/>
        </w:sectPr>
      </w:pPr>
    </w:p>
    <w:bookmarkStart w:id="261" w:name="page262"/>
    <w:bookmarkEnd w:id="261"/>
    <w:p>
      <w:pPr>
        <w:spacing w:after="0" w:line="289" w:lineRule="auto"/>
        <w:rPr>
          <w:sz w:val="20"/>
          <w:szCs w:val="20"/>
          <w:color w:val="auto"/>
        </w:rPr>
      </w:pPr>
      <w:r>
        <w:rPr>
          <w:rFonts w:ascii="Arial" w:cs="Arial" w:eastAsia="Arial" w:hAnsi="Arial"/>
          <w:sz w:val="19"/>
          <w:szCs w:val="19"/>
          <w:color w:val="auto"/>
        </w:rPr>
        <w:t>The following table included information about reported segment revenue, segment profit or loss, and significant segment expenses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4"/>
        </w:trPr>
        <w:tc>
          <w:tcPr>
            <w:tcW w:w="7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Revenue</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807,832</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595,271</w:t>
            </w:r>
          </w:p>
        </w:tc>
        <w:tc>
          <w:tcPr>
            <w:tcW w:w="300" w:type="dxa"/>
            <w:vAlign w:val="bottom"/>
            <w:gridSpan w:val="3"/>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608,181</w:t>
            </w:r>
          </w:p>
        </w:tc>
        <w:tc>
          <w:tcPr>
            <w:tcW w:w="0" w:type="dxa"/>
            <w:vAlign w:val="bottom"/>
          </w:tcPr>
          <w:p>
            <w:pPr>
              <w:spacing w:after="0"/>
              <w:rPr>
                <w:sz w:val="1"/>
                <w:szCs w:val="1"/>
                <w:color w:val="auto"/>
              </w:rPr>
            </w:pPr>
          </w:p>
        </w:tc>
      </w:tr>
      <w:tr>
        <w:trPr>
          <w:trHeight w:val="268"/>
        </w:trPr>
        <w:tc>
          <w:tcPr>
            <w:tcW w:w="7320" w:type="dxa"/>
            <w:vAlign w:val="bottom"/>
          </w:tcPr>
          <w:p>
            <w:pPr>
              <w:ind w:left="60"/>
              <w:spacing w:after="0"/>
              <w:rPr>
                <w:sz w:val="20"/>
                <w:szCs w:val="20"/>
                <w:color w:val="auto"/>
              </w:rPr>
            </w:pPr>
            <w:r>
              <w:rPr>
                <w:rFonts w:ascii="Arial" w:cs="Arial" w:eastAsia="Arial" w:hAnsi="Arial"/>
                <w:sz w:val="19"/>
                <w:szCs w:val="19"/>
                <w:color w:val="auto"/>
              </w:rPr>
              <w:t>Less: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Cost of revenue - excluding LCNRV and provision for warranty</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(993,154)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(935,118)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6"/>
              </w:rPr>
              <w:t>(1,043,383)</w:t>
            </w: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Cost of revenue - LCNRV</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(617,446)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(926,898)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(569,479)</w:t>
            </w: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Cost of revenue - provision for warranty</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(120,343)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(74,050)</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(33,224)</w:t>
            </w: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Research and development expenses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6"/>
              </w:rPr>
              <w:t>(1,176,453)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(937,012)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(821,512)</w:t>
            </w: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Selling, general, and administrative expenses</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(900,952)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(797,235)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(734,574)</w:t>
            </w: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Restructuring charges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(20,304)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(24,546)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Change in fair value of common stock warrant liability</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34,150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86,926</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1,254,218</w:t>
            </w: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Change in fair value of equity securities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(43,057)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5,999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0"/>
        </w:trPr>
        <w:tc>
          <w:tcPr>
            <w:tcW w:w="7320" w:type="dxa"/>
            <w:vAlign w:val="bottom"/>
            <w:shd w:val="clear" w:color="auto" w:fill="E6E6E6"/>
          </w:tcPr>
          <w:p>
            <w:pPr>
              <w:ind w:left="400"/>
              <w:spacing w:after="0" w:line="191" w:lineRule="exact"/>
              <w:rPr>
                <w:sz w:val="20"/>
                <w:szCs w:val="20"/>
                <w:color w:val="auto"/>
              </w:rPr>
            </w:pPr>
            <w:r>
              <w:rPr>
                <w:rFonts w:ascii="Arial" w:cs="Arial" w:eastAsia="Arial" w:hAnsi="Arial"/>
                <w:sz w:val="19"/>
                <w:szCs w:val="19"/>
                <w:color w:val="auto"/>
                <w:w w:val="99"/>
              </w:rPr>
              <w:t>Change in fair value of derivative liabilities associated with redeemable convertible</w:t>
            </w:r>
          </w:p>
        </w:tc>
        <w:tc>
          <w:tcPr>
            <w:tcW w:w="22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155,350</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2"/>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preferred stock (related party)</w:t>
            </w:r>
          </w:p>
        </w:tc>
        <w:tc>
          <w:tcPr>
            <w:tcW w:w="22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0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98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Interest income</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213,026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204,274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56,756</w:t>
            </w:r>
          </w:p>
        </w:tc>
        <w:tc>
          <w:tcPr>
            <w:tcW w:w="0" w:type="dxa"/>
            <w:vAlign w:val="bottom"/>
          </w:tcPr>
          <w:p>
            <w:pPr>
              <w:spacing w:after="0"/>
              <w:rPr>
                <w:sz w:val="1"/>
                <w:szCs w:val="1"/>
                <w:color w:val="auto"/>
              </w:rPr>
            </w:pPr>
          </w:p>
        </w:tc>
      </w:tr>
      <w:tr>
        <w:trPr>
          <w:trHeight w:val="280"/>
        </w:trPr>
        <w:tc>
          <w:tcPr>
            <w:tcW w:w="7320" w:type="dxa"/>
            <w:vAlign w:val="bottom"/>
            <w:shd w:val="clear" w:color="auto" w:fill="E6E6E6"/>
          </w:tcPr>
          <w:p>
            <w:pPr>
              <w:ind w:left="400"/>
              <w:spacing w:after="0"/>
              <w:rPr>
                <w:sz w:val="20"/>
                <w:szCs w:val="20"/>
                <w:color w:val="auto"/>
              </w:rPr>
            </w:pPr>
            <w:r>
              <w:rPr>
                <w:rFonts w:ascii="Arial" w:cs="Arial" w:eastAsia="Arial" w:hAnsi="Arial"/>
                <w:sz w:val="19"/>
                <w:szCs w:val="19"/>
                <w:color w:val="auto"/>
              </w:rPr>
              <w:t>Interest expense</w:t>
            </w:r>
          </w:p>
        </w:tc>
        <w:tc>
          <w:tcPr>
            <w:tcW w:w="2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(32,923)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(24,915)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(30,596)</w:t>
            </w:r>
          </w:p>
        </w:tc>
        <w:tc>
          <w:tcPr>
            <w:tcW w:w="0" w:type="dxa"/>
            <w:vAlign w:val="bottom"/>
          </w:tcPr>
          <w:p>
            <w:pPr>
              <w:spacing w:after="0"/>
              <w:rPr>
                <w:sz w:val="1"/>
                <w:szCs w:val="1"/>
                <w:color w:val="auto"/>
              </w:rPr>
            </w:pPr>
          </w:p>
        </w:tc>
      </w:tr>
      <w:tr>
        <w:trPr>
          <w:trHeight w:val="268"/>
        </w:trPr>
        <w:tc>
          <w:tcPr>
            <w:tcW w:w="7320" w:type="dxa"/>
            <w:vAlign w:val="bottom"/>
          </w:tcPr>
          <w:p>
            <w:pPr>
              <w:ind w:left="400"/>
              <w:spacing w:after="0"/>
              <w:rPr>
                <w:sz w:val="20"/>
                <w:szCs w:val="20"/>
                <w:color w:val="auto"/>
              </w:rPr>
            </w:pPr>
            <w:r>
              <w:rPr>
                <w:rFonts w:ascii="Arial" w:cs="Arial" w:eastAsia="Arial" w:hAnsi="Arial"/>
                <w:sz w:val="19"/>
                <w:szCs w:val="19"/>
                <w:color w:val="auto"/>
              </w:rPr>
              <w:t>Other income (expense), net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(18,469)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9,532</w:t>
            </w:r>
          </w:p>
        </w:tc>
        <w:tc>
          <w:tcPr>
            <w:tcW w:w="0" w:type="dxa"/>
            <w:vAlign w:val="bottom"/>
          </w:tcPr>
          <w:p>
            <w:pPr>
              <w:spacing w:after="0"/>
              <w:rPr>
                <w:sz w:val="1"/>
                <w:szCs w:val="1"/>
                <w:color w:val="auto"/>
              </w:rPr>
            </w:pPr>
          </w:p>
        </w:tc>
      </w:tr>
      <w:tr>
        <w:trPr>
          <w:trHeight w:val="289"/>
        </w:trPr>
        <w:tc>
          <w:tcPr>
            <w:tcW w:w="732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color w:val="auto"/>
              </w:rPr>
              <w:t>Provision for income taxes</w:t>
            </w:r>
          </w:p>
        </w:tc>
        <w:tc>
          <w:tcPr>
            <w:tcW w:w="2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(1,199)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(1,026)</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(379)</w:t>
            </w:r>
          </w:p>
        </w:tc>
        <w:tc>
          <w:tcPr>
            <w:tcW w:w="0" w:type="dxa"/>
            <w:vAlign w:val="bottom"/>
          </w:tcPr>
          <w:p>
            <w:pPr>
              <w:spacing w:after="0"/>
              <w:rPr>
                <w:sz w:val="1"/>
                <w:szCs w:val="1"/>
                <w:color w:val="auto"/>
              </w:rPr>
            </w:pPr>
          </w:p>
        </w:tc>
      </w:tr>
      <w:tr>
        <w:trPr>
          <w:trHeight w:val="234"/>
        </w:trPr>
        <w:tc>
          <w:tcPr>
            <w:tcW w:w="732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Segment net loss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(2,713,942)</w:t>
            </w:r>
          </w:p>
        </w:tc>
        <w:tc>
          <w:tcPr>
            <w:tcW w:w="6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(2,828,420)</w:t>
            </w:r>
          </w:p>
        </w:tc>
        <w:tc>
          <w:tcPr>
            <w:tcW w:w="20" w:type="dxa"/>
            <w:vAlign w:val="bottom"/>
            <w:tcBorders>
              <w:bottom w:val="single" w:sz="8" w:color="E6E6E6"/>
            </w:tcBorders>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(1,304,460)</w:t>
            </w:r>
          </w:p>
        </w:tc>
        <w:tc>
          <w:tcPr>
            <w:tcW w:w="0" w:type="dxa"/>
            <w:vAlign w:val="bottom"/>
          </w:tcPr>
          <w:p>
            <w:pPr>
              <w:spacing w:after="0"/>
              <w:rPr>
                <w:sz w:val="1"/>
                <w:szCs w:val="1"/>
                <w:color w:val="auto"/>
              </w:rPr>
            </w:pPr>
          </w:p>
        </w:tc>
      </w:tr>
      <w:tr>
        <w:trPr>
          <w:trHeight w:val="273"/>
        </w:trPr>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Consolidated net loss</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6"/>
              </w:rPr>
              <w:t>(2,713,942)</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8"/>
              </w:rPr>
              <w:t>(2,828,420)</w:t>
            </w:r>
          </w:p>
        </w:tc>
        <w:tc>
          <w:tcPr>
            <w:tcW w:w="20" w:type="dxa"/>
            <w:vAlign w:val="bottom"/>
            <w:tcBorders>
              <w:bottom w:val="single" w:sz="8" w:color="auto"/>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6"/>
              </w:rPr>
              <w:t>(1,304,460)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-3095625</wp:posOffset>
            </wp:positionV>
            <wp:extent cx="24136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4">
                      <a:extLst>
                        <a:ext uri="{28A0092B-C50C-407E-A947-70E740481C1C}"/>
                      </a:extLst>
                    </a:blip>
                    <a:srcRect/>
                    <a:stretch>
                      <a:fillRect/>
                    </a:stretch>
                  </pic:blipFill>
                  <pic:spPr bwMode="auto">
                    <a:xfrm>
                      <a:off x="0" y="0"/>
                      <a:ext cx="2413635" cy="2540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-377825</wp:posOffset>
            </wp:positionV>
            <wp:extent cx="24136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5">
                      <a:extLst>
                        <a:ext uri="{28A0092B-C50C-407E-A947-70E740481C1C}"/>
                      </a:extLst>
                    </a:blip>
                    <a:srcRect/>
                    <a:stretch>
                      <a:fillRect/>
                    </a:stretch>
                  </pic:blipFill>
                  <pic:spPr bwMode="auto">
                    <a:xfrm>
                      <a:off x="0" y="0"/>
                      <a:ext cx="2413635" cy="2540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-204470</wp:posOffset>
            </wp:positionV>
            <wp:extent cx="24136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56">
                      <a:extLst>
                        <a:ext uri="{28A0092B-C50C-407E-A947-70E740481C1C}"/>
                      </a:extLst>
                    </a:blip>
                    <a:srcRect/>
                    <a:stretch>
                      <a:fillRect/>
                    </a:stretch>
                  </pic:blipFill>
                  <pic:spPr bwMode="auto">
                    <a:xfrm>
                      <a:off x="0" y="0"/>
                      <a:ext cx="2413635" cy="2540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-42545</wp:posOffset>
            </wp:positionV>
            <wp:extent cx="2413635" cy="49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7">
                      <a:extLst>
                        <a:ext uri="{28A0092B-C50C-407E-A947-70E740481C1C}"/>
                      </a:extLst>
                    </a:blip>
                    <a:srcRect/>
                    <a:stretch>
                      <a:fillRect/>
                    </a:stretch>
                  </pic:blipFill>
                  <pic:spPr bwMode="auto">
                    <a:xfrm>
                      <a:off x="0" y="0"/>
                      <a:ext cx="2413635" cy="49530"/>
                    </a:xfrm>
                    <a:prstGeom prst="rect">
                      <a:avLst/>
                    </a:prstGeom>
                    <a:noFill/>
                  </pic:spPr>
                </pic:pic>
              </a:graphicData>
            </a:graphic>
          </wp:anchor>
        </w:drawing>
      </w:r>
    </w:p>
    <w:p>
      <w:pPr>
        <w:spacing w:after="0" w:line="21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Depreciation and amortization expenses were $295.3 million, $233.5 million, and $186.6 million for the years ended December 31, 2024,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The long-lived assets by geographic area were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5"/>
                <w:szCs w:val="15"/>
                <w:b w:val="1"/>
                <w:bCs w:val="1"/>
                <w:color w:val="auto"/>
                <w:w w:val="90"/>
              </w:rPr>
              <w:t>December 31,</w:t>
            </w:r>
          </w:p>
        </w:tc>
      </w:tr>
      <w:tr>
        <w:trPr>
          <w:trHeight w:val="205"/>
        </w:trPr>
        <w:tc>
          <w:tcPr>
            <w:tcW w:w="860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5"/>
                <w:szCs w:val="15"/>
                <w:b w:val="1"/>
                <w:bCs w:val="1"/>
                <w:color w:val="auto"/>
              </w:rPr>
              <w:t>2023</w:t>
            </w:r>
          </w:p>
        </w:tc>
      </w:tr>
      <w:tr>
        <w:trPr>
          <w:trHeight w:val="264"/>
        </w:trPr>
        <w:tc>
          <w:tcPr>
            <w:tcW w:w="8600" w:type="dxa"/>
            <w:vAlign w:val="bottom"/>
            <w:shd w:val="clear" w:color="auto" w:fill="E6E6E6"/>
          </w:tcPr>
          <w:p>
            <w:pPr>
              <w:ind w:left="60"/>
              <w:spacing w:after="0"/>
              <w:rPr>
                <w:sz w:val="20"/>
                <w:szCs w:val="20"/>
                <w:color w:val="auto"/>
              </w:rPr>
            </w:pPr>
            <w:r>
              <w:rPr>
                <w:rFonts w:ascii="Arial" w:cs="Arial" w:eastAsia="Arial" w:hAnsi="Arial"/>
                <w:sz w:val="19"/>
                <w:szCs w:val="19"/>
                <w:color w:val="auto"/>
              </w:rPr>
              <w:t>United States</w:t>
            </w:r>
          </w:p>
        </w:tc>
        <w:tc>
          <w:tcPr>
            <w:tcW w:w="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3,314,720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2,950,154</w:t>
            </w:r>
          </w:p>
        </w:tc>
      </w:tr>
      <w:tr>
        <w:trPr>
          <w:trHeight w:val="263"/>
        </w:trPr>
        <w:tc>
          <w:tcPr>
            <w:tcW w:w="86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Foreign</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159,778</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82,221</w:t>
            </w:r>
          </w:p>
        </w:tc>
      </w:tr>
      <w:tr>
        <w:trPr>
          <w:trHeight w:val="273"/>
        </w:trPr>
        <w:tc>
          <w:tcPr>
            <w:tcW w:w="8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long-lived assets</w:t>
            </w: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3,474,498</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3,032,375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5445125</wp:posOffset>
            </wp:positionH>
            <wp:positionV relativeFrom="paragraph">
              <wp:posOffset>-551815</wp:posOffset>
            </wp:positionV>
            <wp:extent cx="159893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58">
                      <a:extLst>
                        <a:ext uri="{28A0092B-C50C-407E-A947-70E740481C1C}"/>
                      </a:extLst>
                    </a:blip>
                    <a:srcRect/>
                    <a:stretch>
                      <a:fillRect/>
                    </a:stretch>
                  </pic:blipFill>
                  <pic:spPr bwMode="auto">
                    <a:xfrm>
                      <a:off x="0" y="0"/>
                      <a:ext cx="1598930" cy="2540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-204470</wp:posOffset>
            </wp:positionV>
            <wp:extent cx="159893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59">
                      <a:extLst>
                        <a:ext uri="{28A0092B-C50C-407E-A947-70E740481C1C}"/>
                      </a:extLst>
                    </a:blip>
                    <a:srcRect/>
                    <a:stretch>
                      <a:fillRect/>
                    </a:stretch>
                  </pic:blipFill>
                  <pic:spPr bwMode="auto">
                    <a:xfrm>
                      <a:off x="0" y="0"/>
                      <a:ext cx="1598930" cy="2540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-42545</wp:posOffset>
            </wp:positionV>
            <wp:extent cx="1598930" cy="49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60">
                      <a:extLst>
                        <a:ext uri="{28A0092B-C50C-407E-A947-70E740481C1C}"/>
                      </a:extLst>
                    </a:blip>
                    <a:srcRect/>
                    <a:stretch>
                      <a:fillRect/>
                    </a:stretch>
                  </pic:blipFill>
                  <pic:spPr bwMode="auto">
                    <a:xfrm>
                      <a:off x="0" y="0"/>
                      <a:ext cx="1598930" cy="4953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 – SUBSEQUENT EVENT</w:t>
      </w:r>
    </w:p>
    <w:p>
      <w:pPr>
        <w:spacing w:after="0" w:line="249" w:lineRule="exact"/>
        <w:rPr>
          <w:sz w:val="20"/>
          <w:szCs w:val="20"/>
          <w:color w:val="auto"/>
        </w:rPr>
      </w:pPr>
    </w:p>
    <w:p>
      <w:pPr>
        <w:ind w:right="440"/>
        <w:spacing w:after="0" w:line="351" w:lineRule="auto"/>
        <w:rPr>
          <w:sz w:val="20"/>
          <w:szCs w:val="20"/>
          <w:color w:val="auto"/>
        </w:rPr>
      </w:pPr>
      <w:r>
        <w:rPr>
          <w:rFonts w:ascii="Arial" w:cs="Arial" w:eastAsia="Arial" w:hAnsi="Arial"/>
          <w:sz w:val="17"/>
          <w:szCs w:val="17"/>
          <w:color w:val="auto"/>
        </w:rPr>
        <w:t>In connection with the preparation of the consolidated financial statements for the year ended December 31, 2024, the Company evaluated subsequent events and concluded there were no subsequent events that required recognition in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2025 GIB Credit Facility</w:t>
      </w:r>
    </w:p>
    <w:p>
      <w:pPr>
        <w:spacing w:after="0" w:line="250"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On February 24, 2025, Lucid LLC entered into the 2025 GIB Credit Facility maturing on February 24, 2028 to increase the credit facility committed amount from SAR 1.0 billion (approximately $266.1 million) to SAR 1.9 billion (approximately $506.7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11080"/>
          </w:cols>
          <w:pgMar w:left="400" w:top="76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880" w:h="15480" w:orient="portrait"/>
          <w:cols w:equalWidth="0" w:num="1">
            <w:col w:w="11080"/>
          </w:cols>
          <w:pgMar w:left="400" w:top="763" w:right="400" w:bottom="0" w:gutter="0" w:footer="0" w:header="0"/>
          <w:type w:val="continuous"/>
        </w:sectPr>
      </w:pPr>
    </w:p>
    <w:bookmarkStart w:id="262" w:name="page263"/>
    <w:bookmarkEnd w:id="262"/>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4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Annual Report on Form 10-K.</w:t>
      </w:r>
    </w:p>
    <w:p>
      <w:pPr>
        <w:spacing w:after="0" w:line="164"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Based on their evaluation, our principal executive officer and principal financial officer concluded that as of December 31, 2024,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49"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 in the United States (“U.S. GAAP”).</w:t>
      </w:r>
    </w:p>
    <w:p>
      <w:pPr>
        <w:spacing w:after="0" w:line="188"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Our management, under the supervision of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2024, to provide reasonable assurance regarding the reliability of our financial reporting and the preparation of consolidated financial statements for external reporting purposes in accordance with U.S. GAAP.</w:t>
      </w:r>
    </w:p>
    <w:p>
      <w:pPr>
        <w:spacing w:after="0" w:line="162" w:lineRule="exact"/>
        <w:rPr>
          <w:sz w:val="20"/>
          <w:szCs w:val="20"/>
          <w:color w:val="auto"/>
        </w:rPr>
      </w:pPr>
    </w:p>
    <w:p>
      <w:pPr>
        <w:ind w:right="360"/>
        <w:spacing w:after="0" w:line="351" w:lineRule="auto"/>
        <w:rPr>
          <w:sz w:val="20"/>
          <w:szCs w:val="20"/>
          <w:color w:val="auto"/>
        </w:rPr>
      </w:pPr>
      <w:r>
        <w:rPr>
          <w:rFonts w:ascii="Arial" w:cs="Arial" w:eastAsia="Arial" w:hAnsi="Arial"/>
          <w:sz w:val="17"/>
          <w:szCs w:val="17"/>
          <w:color w:val="auto"/>
        </w:rPr>
        <w:t xml:space="preserve">The effectiveness of our internal control over financial reporting as of December 31, 2024 has been audited by </w:t>
      </w:r>
      <w:r>
        <w:rPr>
          <w:rFonts w:ascii="Arial" w:cs="Arial" w:eastAsia="Arial" w:hAnsi="Arial"/>
          <w:sz w:val="16"/>
          <w:szCs w:val="16"/>
          <w:color w:val="auto"/>
        </w:rPr>
        <w:t>KPMG LLP</w:t>
      </w:r>
      <w:r>
        <w:rPr>
          <w:rFonts w:ascii="Arial" w:cs="Arial" w:eastAsia="Arial" w:hAnsi="Arial"/>
          <w:sz w:val="17"/>
          <w:szCs w:val="17"/>
          <w:color w:val="auto"/>
        </w:rPr>
        <w:t>, an independent registered public accounting firm, as stated in their report, which is included in Item 8 of Part II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There were no changes in our internal control over financial reporting (as defined in Rule 13a-15(f) and 15d-15(f) under the Exchange Act) that occurred during the fiscal quarter ended December 31, 2024,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Controls and Procedures</w:t>
      </w:r>
    </w:p>
    <w:p>
      <w:pPr>
        <w:spacing w:after="0" w:line="249"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249" w:lineRule="exact"/>
        <w:rPr>
          <w:sz w:val="20"/>
          <w:szCs w:val="20"/>
          <w:color w:val="auto"/>
        </w:rPr>
      </w:pPr>
    </w:p>
    <w:p>
      <w:pPr>
        <w:ind w:right="360" w:firstLine="346"/>
        <w:spacing w:after="0" w:line="351" w:lineRule="auto"/>
        <w:rPr>
          <w:sz w:val="20"/>
          <w:szCs w:val="20"/>
          <w:color w:val="auto"/>
        </w:rPr>
      </w:pPr>
      <w:r>
        <w:rPr>
          <w:rFonts w:ascii="Arial" w:cs="Arial" w:eastAsia="Arial" w:hAnsi="Arial"/>
          <w:sz w:val="17"/>
          <w:szCs w:val="17"/>
          <w:color w:val="auto"/>
        </w:rPr>
        <w:t>None of the Company’s directors or officers adopted, modified or terminated a Rule 10b5-1 trading arrangement or a non-Rule 10b5-1 trading arrangement during the quarter ended December 31, 2024, as such terms are defined under Item 408(a)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11060"/>
          </w:cols>
          <w:pgMar w:left="400" w:top="75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11060"/>
          </w:cols>
          <w:pgMar w:left="400" w:top="756" w:right="420" w:bottom="0" w:gutter="0" w:footer="0" w:header="0"/>
          <w:type w:val="continuous"/>
        </w:sectPr>
      </w:pPr>
    </w:p>
    <w:bookmarkStart w:id="263" w:name="page264"/>
    <w:bookmarkEnd w:id="263"/>
    <w:p>
      <w:pPr>
        <w:ind w:left="5140"/>
        <w:spacing w:after="0"/>
        <w:rPr>
          <w:sz w:val="20"/>
          <w:szCs w:val="20"/>
          <w:color w:val="auto"/>
        </w:rPr>
      </w:pPr>
      <w:r>
        <w:rPr>
          <w:rFonts w:ascii="Arial" w:cs="Arial" w:eastAsia="Arial" w:hAnsi="Arial"/>
          <w:sz w:val="19"/>
          <w:szCs w:val="19"/>
          <w:b w:val="1"/>
          <w:bCs w:val="1"/>
          <w:color w:val="auto"/>
        </w:rPr>
        <w:t>PART III</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46" w:lineRule="exact"/>
        <w:rPr>
          <w:sz w:val="20"/>
          <w:szCs w:val="20"/>
          <w:color w:val="auto"/>
        </w:rPr>
      </w:pPr>
    </w:p>
    <w:p>
      <w:pPr>
        <w:ind w:right="360" w:firstLine="346"/>
        <w:spacing w:after="0" w:line="271" w:lineRule="auto"/>
        <w:rPr>
          <w:sz w:val="20"/>
          <w:szCs w:val="20"/>
          <w:color w:val="auto"/>
        </w:rPr>
      </w:pPr>
      <w:r>
        <w:rPr>
          <w:rFonts w:ascii="Arial" w:cs="Arial" w:eastAsia="Arial" w:hAnsi="Arial"/>
          <w:sz w:val="19"/>
          <w:szCs w:val="19"/>
          <w:color w:val="auto"/>
        </w:rPr>
        <w:t>Certain information required by this Item will be included in the Company’s Proxy Statement to be filed with the SEC within 120 days after December 31, 2024 in connection with the solicitation of proxies for the Company’s 2025 annual meeting of stockholders, and is incorporated herein by reference.</w:t>
      </w:r>
    </w:p>
    <w:p>
      <w:pPr>
        <w:spacing w:after="0" w:line="182" w:lineRule="exact"/>
        <w:rPr>
          <w:sz w:val="20"/>
          <w:szCs w:val="20"/>
          <w:color w:val="auto"/>
        </w:rPr>
      </w:pPr>
    </w:p>
    <w:p>
      <w:pPr>
        <w:ind w:right="40" w:firstLine="346"/>
        <w:spacing w:after="0" w:line="259" w:lineRule="auto"/>
        <w:rPr>
          <w:sz w:val="20"/>
          <w:szCs w:val="20"/>
          <w:color w:val="auto"/>
        </w:rPr>
      </w:pPr>
      <w:r>
        <w:rPr>
          <w:rFonts w:ascii="Arial" w:cs="Arial" w:eastAsia="Arial" w:hAnsi="Arial"/>
          <w:sz w:val="19"/>
          <w:szCs w:val="19"/>
          <w:color w:val="auto"/>
        </w:rPr>
        <w:t>The Company is committed to promoting high standards of ethical business conduct and compliance with applicable laws, rules and regulations. As part of this commitment, we have adopted an Insider Trading Policy that we believe is reasonably designed to promote compliance with insider trading laws, rules and regulations, and any listing standards applicable to the Company. Under this policy, directors, officers and other employees and contractors of the Company and its subsidiaries and other persons who may have access to material nonpublic information are prohibited from engaging in certain transactions relating to Company securities. The foregoing summary of the Insider Trading Policy does not purport to be complete and is qualified in its entirety by reference to the full text of the Insider Trading Policy attached hereto as Exhibit 19.1.</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249" w:lineRule="exact"/>
        <w:rPr>
          <w:sz w:val="20"/>
          <w:szCs w:val="20"/>
          <w:color w:val="auto"/>
        </w:rPr>
      </w:pPr>
    </w:p>
    <w:p>
      <w:pPr>
        <w:ind w:firstLine="346"/>
        <w:spacing w:after="0" w:line="289" w:lineRule="auto"/>
        <w:rPr>
          <w:sz w:val="20"/>
          <w:szCs w:val="20"/>
          <w:color w:val="auto"/>
        </w:rPr>
      </w:pPr>
      <w:r>
        <w:rPr>
          <w:rFonts w:ascii="Arial" w:cs="Arial" w:eastAsia="Arial" w:hAnsi="Arial"/>
          <w:sz w:val="19"/>
          <w:szCs w:val="19"/>
          <w:color w:val="auto"/>
        </w:rPr>
        <w:t>The information required by this Item will be included in the Company’s Proxy Statement to be filed with the SEC within 120 days after December 31, 2024,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46" w:lineRule="exact"/>
        <w:rPr>
          <w:sz w:val="20"/>
          <w:szCs w:val="20"/>
          <w:color w:val="auto"/>
        </w:rPr>
      </w:pPr>
    </w:p>
    <w:p>
      <w:pPr>
        <w:ind w:firstLine="346"/>
        <w:spacing w:after="0" w:line="289" w:lineRule="auto"/>
        <w:rPr>
          <w:sz w:val="20"/>
          <w:szCs w:val="20"/>
          <w:color w:val="auto"/>
        </w:rPr>
      </w:pPr>
      <w:r>
        <w:rPr>
          <w:rFonts w:ascii="Arial" w:cs="Arial" w:eastAsia="Arial" w:hAnsi="Arial"/>
          <w:sz w:val="19"/>
          <w:szCs w:val="19"/>
          <w:color w:val="auto"/>
        </w:rPr>
        <w:t>The information required by this Item will be included in the Company’s Proxy Statement to be filed with the SEC within 120 days after December 31, 2024,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46" w:lineRule="exact"/>
        <w:rPr>
          <w:sz w:val="20"/>
          <w:szCs w:val="20"/>
          <w:color w:val="auto"/>
        </w:rPr>
      </w:pPr>
    </w:p>
    <w:p>
      <w:pPr>
        <w:ind w:firstLine="346"/>
        <w:spacing w:after="0" w:line="289" w:lineRule="auto"/>
        <w:rPr>
          <w:sz w:val="20"/>
          <w:szCs w:val="20"/>
          <w:color w:val="auto"/>
        </w:rPr>
      </w:pPr>
      <w:r>
        <w:rPr>
          <w:rFonts w:ascii="Arial" w:cs="Arial" w:eastAsia="Arial" w:hAnsi="Arial"/>
          <w:sz w:val="19"/>
          <w:szCs w:val="19"/>
          <w:color w:val="auto"/>
        </w:rPr>
        <w:t>The information required by this Item will be included in the Company’s Proxy Statement to be filed with the SEC within 120 days after December 31, 2024,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246" w:lineRule="exact"/>
        <w:rPr>
          <w:sz w:val="20"/>
          <w:szCs w:val="20"/>
          <w:color w:val="auto"/>
        </w:rPr>
      </w:pPr>
    </w:p>
    <w:p>
      <w:pPr>
        <w:ind w:firstLine="346"/>
        <w:spacing w:after="0" w:line="289" w:lineRule="auto"/>
        <w:rPr>
          <w:sz w:val="20"/>
          <w:szCs w:val="20"/>
          <w:color w:val="auto"/>
        </w:rPr>
      </w:pPr>
      <w:r>
        <w:rPr>
          <w:rFonts w:ascii="Arial" w:cs="Arial" w:eastAsia="Arial" w:hAnsi="Arial"/>
          <w:sz w:val="19"/>
          <w:szCs w:val="19"/>
          <w:color w:val="auto"/>
        </w:rPr>
        <w:t>The information required by this Item will be included in the Company’s Proxy Statement to be filed with the SEC within 120 days after December 31, 2024, and is incorporated herein by reference.</w:t>
      </w:r>
    </w:p>
    <w:p>
      <w:pPr>
        <w:sectPr>
          <w:pgSz w:w="11880" w:h="15480" w:orient="portrait"/>
          <w:cols w:equalWidth="0" w:num="1">
            <w:col w:w="11080"/>
          </w:cols>
          <w:pgMar w:left="400" w:top="75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11080"/>
          </w:cols>
          <w:pgMar w:left="400" w:top="756" w:right="400" w:bottom="0" w:gutter="0" w:footer="0" w:header="0"/>
          <w:type w:val="continuous"/>
        </w:sectPr>
      </w:pPr>
    </w:p>
    <w:bookmarkStart w:id="264" w:name="page265"/>
    <w:bookmarkEnd w:id="264"/>
    <w:p>
      <w:pPr>
        <w:jc w:val="center"/>
        <w:spacing w:after="0"/>
        <w:rPr>
          <w:sz w:val="20"/>
          <w:szCs w:val="20"/>
          <w:color w:val="auto"/>
        </w:rPr>
      </w:pPr>
      <w:r>
        <w:rPr>
          <w:rFonts w:ascii="Arial" w:cs="Arial" w:eastAsia="Arial" w:hAnsi="Arial"/>
          <w:sz w:val="19"/>
          <w:szCs w:val="19"/>
          <w:b w:val="1"/>
          <w:bCs w:val="1"/>
          <w:color w:val="auto"/>
        </w:rPr>
        <w:t>PART IV</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9"/>
          <w:szCs w:val="19"/>
          <w:color w:val="auto"/>
        </w:rPr>
        <w:t>(a)(1)  The financial statements filed as part of this Annual Report are listed in Item 8 of this Annual Report.</w:t>
      </w:r>
    </w:p>
    <w:p>
      <w:pPr>
        <w:spacing w:after="0" w:line="55" w:lineRule="exact"/>
        <w:rPr>
          <w:sz w:val="20"/>
          <w:szCs w:val="20"/>
          <w:color w:val="auto"/>
        </w:rPr>
      </w:pPr>
    </w:p>
    <w:p>
      <w:pPr>
        <w:jc w:val="both"/>
        <w:ind w:left="640" w:right="260" w:hanging="579"/>
        <w:spacing w:after="0" w:line="232" w:lineRule="auto"/>
        <w:tabs>
          <w:tab w:leader="none" w:pos="620" w:val="left"/>
        </w:tabs>
        <w:rPr>
          <w:sz w:val="20"/>
          <w:szCs w:val="20"/>
          <w:color w:val="auto"/>
        </w:rPr>
      </w:pPr>
      <w:r>
        <w:rPr>
          <w:rFonts w:ascii="Arial" w:cs="Arial" w:eastAsia="Arial" w:hAnsi="Arial"/>
          <w:sz w:val="19"/>
          <w:szCs w:val="19"/>
          <w:color w:val="auto"/>
        </w:rPr>
        <w:t>(a)(2)</w:t>
        <w:tab/>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 Annual Report or is not required to be filed as the information is not applicable.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9"/>
          <w:szCs w:val="19"/>
          <w:color w:val="auto"/>
        </w:rPr>
        <w:t>(a)(3)  The exhibits listed on the Exhibit Index to this Annual Report are incorporated herein by reference.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INDEX</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gridSpan w:val="3"/>
          </w:tcPr>
          <w:p>
            <w:pPr>
              <w:ind w:left="720"/>
              <w:spacing w:after="0"/>
              <w:rPr>
                <w:sz w:val="20"/>
                <w:szCs w:val="20"/>
                <w:color w:val="auto"/>
              </w:rPr>
            </w:pPr>
            <w:r>
              <w:rPr>
                <w:rFonts w:ascii="Arial" w:cs="Arial" w:eastAsia="Arial" w:hAnsi="Arial"/>
                <w:sz w:val="15"/>
                <w:szCs w:val="15"/>
                <w:b w:val="1"/>
                <w:bCs w:val="1"/>
                <w:color w:val="auto"/>
              </w:rPr>
              <w:t>Incorporation by Reference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5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880" w:type="dxa"/>
            <w:vAlign w:val="bottom"/>
            <w:vMerge w:val="continue"/>
          </w:tcPr>
          <w:p>
            <w:pPr>
              <w:spacing w:after="0"/>
              <w:rPr>
                <w:sz w:val="14"/>
                <w:szCs w:val="14"/>
                <w:color w:val="auto"/>
              </w:rPr>
            </w:pPr>
          </w:p>
        </w:tc>
        <w:tc>
          <w:tcPr>
            <w:tcW w:w="58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Form</w:t>
            </w:r>
          </w:p>
        </w:tc>
        <w:tc>
          <w:tcPr>
            <w:tcW w:w="98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2"/>
              </w:rPr>
              <w:t>File</w:t>
            </w:r>
          </w:p>
        </w:tc>
        <w:tc>
          <w:tcPr>
            <w:tcW w:w="120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9"/>
              </w:rPr>
              <w:t>Filing</w:t>
            </w:r>
          </w:p>
        </w:tc>
        <w:tc>
          <w:tcPr>
            <w:tcW w:w="78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9"/>
              </w:rPr>
              <w:t>Exhibit</w:t>
            </w:r>
          </w:p>
        </w:tc>
        <w:tc>
          <w:tcPr>
            <w:tcW w:w="84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1"/>
              </w:rPr>
              <w:t>Filed</w:t>
            </w:r>
          </w:p>
        </w:tc>
        <w:tc>
          <w:tcPr>
            <w:tcW w:w="0" w:type="dxa"/>
            <w:vAlign w:val="bottom"/>
          </w:tcPr>
          <w:p>
            <w:pPr>
              <w:spacing w:after="0"/>
              <w:rPr>
                <w:sz w:val="1"/>
                <w:szCs w:val="1"/>
                <w:color w:val="auto"/>
              </w:rPr>
            </w:pPr>
          </w:p>
        </w:tc>
      </w:tr>
      <w:tr>
        <w:trPr>
          <w:trHeight w:val="205"/>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Number</w:t>
            </w:r>
          </w:p>
        </w:tc>
        <w:tc>
          <w:tcPr>
            <w:tcW w:w="588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Number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Number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Herewith</w:t>
            </w:r>
          </w:p>
        </w:tc>
        <w:tc>
          <w:tcPr>
            <w:tcW w:w="0" w:type="dxa"/>
            <w:vAlign w:val="bottom"/>
          </w:tcPr>
          <w:p>
            <w:pPr>
              <w:spacing w:after="0"/>
              <w:rPr>
                <w:sz w:val="1"/>
                <w:szCs w:val="1"/>
                <w:color w:val="auto"/>
              </w:rPr>
            </w:pPr>
          </w:p>
        </w:tc>
      </w:tr>
      <w:tr>
        <w:trPr>
          <w:trHeight w:val="218"/>
        </w:trPr>
        <w:tc>
          <w:tcPr>
            <w:tcW w:w="88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5880" w:type="dxa"/>
            <w:vAlign w:val="bottom"/>
          </w:tcPr>
          <w:p>
            <w:pPr>
              <w:ind w:left="100"/>
              <w:spacing w:after="0"/>
              <w:rPr>
                <w:sz w:val="20"/>
                <w:szCs w:val="20"/>
                <w:color w:val="auto"/>
              </w:rPr>
            </w:pPr>
            <w:r>
              <w:rPr>
                <w:rFonts w:ascii="Arial" w:cs="Arial" w:eastAsia="Arial" w:hAnsi="Arial"/>
                <w:sz w:val="17"/>
                <w:szCs w:val="17"/>
                <w:color w:val="auto"/>
                <w:w w:val="98"/>
              </w:rPr>
              <w:t>Agreement and Plan of Merger, dated as of February 22, 2021, by and among</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July 26, 2021</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Churchill Capital Corp IV, Air Merger Sub, Inc., and Atieva, Inc.</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88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5880" w:type="dxa"/>
            <w:vAlign w:val="bottom"/>
          </w:tcPr>
          <w:p>
            <w:pPr>
              <w:ind w:left="100"/>
              <w:spacing w:after="0"/>
              <w:rPr>
                <w:sz w:val="20"/>
                <w:szCs w:val="20"/>
                <w:color w:val="auto"/>
              </w:rPr>
            </w:pPr>
            <w:r>
              <w:rPr>
                <w:rFonts w:ascii="Arial" w:cs="Arial" w:eastAsia="Arial" w:hAnsi="Arial"/>
                <w:sz w:val="17"/>
                <w:szCs w:val="17"/>
                <w:color w:val="auto"/>
              </w:rPr>
              <w:t>Third Amended and Restated Certificate of Incorporation</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April 25, 2023</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5880" w:type="dxa"/>
            <w:vAlign w:val="bottom"/>
          </w:tcPr>
          <w:p>
            <w:pPr>
              <w:ind w:left="100"/>
              <w:spacing w:after="0"/>
              <w:rPr>
                <w:sz w:val="20"/>
                <w:szCs w:val="20"/>
                <w:color w:val="auto"/>
              </w:rPr>
            </w:pPr>
            <w:r>
              <w:rPr>
                <w:rFonts w:ascii="Arial" w:cs="Arial" w:eastAsia="Arial" w:hAnsi="Arial"/>
                <w:sz w:val="17"/>
                <w:szCs w:val="17"/>
                <w:color w:val="auto"/>
              </w:rPr>
              <w:t>Second Amended and Restated Bylaws</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March 3, 2023</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5880" w:type="dxa"/>
            <w:vAlign w:val="bottom"/>
          </w:tcPr>
          <w:p>
            <w:pPr>
              <w:ind w:left="100"/>
              <w:spacing w:after="0"/>
              <w:rPr>
                <w:sz w:val="20"/>
                <w:szCs w:val="20"/>
                <w:color w:val="auto"/>
              </w:rPr>
            </w:pPr>
            <w:r>
              <w:rPr>
                <w:rFonts w:ascii="Arial" w:cs="Arial" w:eastAsia="Arial" w:hAnsi="Arial"/>
                <w:sz w:val="17"/>
                <w:szCs w:val="17"/>
                <w:color w:val="auto"/>
              </w:rPr>
              <w:t>Specimen Class A Common Stock Certificate of Lucid Group, Inc.</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July 26, 2021</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5880" w:type="dxa"/>
            <w:vAlign w:val="bottom"/>
          </w:tcPr>
          <w:p>
            <w:pPr>
              <w:ind w:left="100"/>
              <w:spacing w:after="0"/>
              <w:rPr>
                <w:sz w:val="20"/>
                <w:szCs w:val="20"/>
                <w:color w:val="auto"/>
              </w:rPr>
            </w:pPr>
            <w:r>
              <w:rPr>
                <w:rFonts w:ascii="Arial" w:cs="Arial" w:eastAsia="Arial" w:hAnsi="Arial"/>
                <w:sz w:val="17"/>
                <w:szCs w:val="17"/>
                <w:color w:val="auto"/>
              </w:rPr>
              <w:t>Specimen Warrant Certificate (included as Exhibit A to Exhibit 4.2 herewith)</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August 4,</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5880" w:type="dxa"/>
            <w:vAlign w:val="bottom"/>
          </w:tcPr>
          <w:p>
            <w:pPr>
              <w:ind w:left="100"/>
              <w:spacing w:after="0"/>
              <w:rPr>
                <w:sz w:val="20"/>
                <w:szCs w:val="20"/>
                <w:color w:val="auto"/>
              </w:rPr>
            </w:pPr>
            <w:r>
              <w:rPr>
                <w:rFonts w:ascii="Arial" w:cs="Arial" w:eastAsia="Arial" w:hAnsi="Arial"/>
                <w:sz w:val="17"/>
                <w:szCs w:val="17"/>
                <w:color w:val="auto"/>
                <w:w w:val="95"/>
              </w:rPr>
              <w:t>Warrant Agreement, dated July 29, 2020, between Continental Stock Transfer &amp;</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August 4,</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Trust Company and Churchill Capital Corp IV</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5880" w:type="dxa"/>
            <w:vAlign w:val="bottom"/>
          </w:tcPr>
          <w:p>
            <w:pPr>
              <w:ind w:left="100"/>
              <w:spacing w:after="0"/>
              <w:rPr>
                <w:sz w:val="20"/>
                <w:szCs w:val="20"/>
                <w:color w:val="auto"/>
              </w:rPr>
            </w:pPr>
            <w:r>
              <w:rPr>
                <w:rFonts w:ascii="Arial" w:cs="Arial" w:eastAsia="Arial" w:hAnsi="Arial"/>
                <w:sz w:val="17"/>
                <w:szCs w:val="17"/>
                <w:color w:val="auto"/>
                <w:w w:val="96"/>
              </w:rPr>
              <w:t>Indenture, dated as of December 14, 2021, between Lucid Group, Inc. and U.S.</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December 14,</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Bank National Association, as trustee</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5880" w:type="dxa"/>
            <w:vAlign w:val="bottom"/>
          </w:tcPr>
          <w:p>
            <w:pPr>
              <w:ind w:left="100"/>
              <w:spacing w:after="0"/>
              <w:rPr>
                <w:sz w:val="20"/>
                <w:szCs w:val="20"/>
                <w:color w:val="auto"/>
              </w:rPr>
            </w:pPr>
            <w:r>
              <w:rPr>
                <w:rFonts w:ascii="Arial" w:cs="Arial" w:eastAsia="Arial" w:hAnsi="Arial"/>
                <w:sz w:val="17"/>
                <w:szCs w:val="17"/>
                <w:color w:val="auto"/>
                <w:w w:val="98"/>
              </w:rPr>
              <w:t>Form of certificate representing the 1.25% Convertible Senior Notes due 2026</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December 14,</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(included as Exhibit A to Exhibit 4.5 herewith)</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84"/>
              </w:rPr>
              <w:t>4.6</w:t>
            </w:r>
          </w:p>
        </w:tc>
        <w:tc>
          <w:tcPr>
            <w:tcW w:w="5880" w:type="dxa"/>
            <w:vAlign w:val="bottom"/>
          </w:tcPr>
          <w:p>
            <w:pPr>
              <w:ind w:left="100"/>
              <w:spacing w:after="0"/>
              <w:rPr>
                <w:sz w:val="20"/>
                <w:szCs w:val="20"/>
                <w:color w:val="auto"/>
              </w:rPr>
            </w:pPr>
            <w:r>
              <w:rPr>
                <w:rFonts w:ascii="Arial" w:cs="Arial" w:eastAsia="Arial" w:hAnsi="Arial"/>
                <w:sz w:val="17"/>
                <w:szCs w:val="17"/>
                <w:color w:val="auto"/>
              </w:rPr>
              <w:t>Certificate of Designations of Series A Convertible Preferred Stock of Lucid</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29,</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Group, Inc.</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84"/>
              </w:rPr>
              <w:t>4.7</w:t>
            </w:r>
          </w:p>
        </w:tc>
        <w:tc>
          <w:tcPr>
            <w:tcW w:w="5880" w:type="dxa"/>
            <w:vAlign w:val="bottom"/>
          </w:tcPr>
          <w:p>
            <w:pPr>
              <w:ind w:left="100"/>
              <w:spacing w:after="0"/>
              <w:rPr>
                <w:sz w:val="20"/>
                <w:szCs w:val="20"/>
                <w:color w:val="auto"/>
              </w:rPr>
            </w:pPr>
            <w:r>
              <w:rPr>
                <w:rFonts w:ascii="Arial" w:cs="Arial" w:eastAsia="Arial" w:hAnsi="Arial"/>
                <w:sz w:val="17"/>
                <w:szCs w:val="17"/>
                <w:color w:val="auto"/>
              </w:rPr>
              <w:t>Certificate of Designations of Series B Convertible Preferred Stock of Lucid</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August 19,</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Group, Inc.</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84"/>
              </w:rPr>
              <w:t>4.8</w:t>
            </w:r>
          </w:p>
        </w:tc>
        <w:tc>
          <w:tcPr>
            <w:tcW w:w="5880" w:type="dxa"/>
            <w:vAlign w:val="bottom"/>
          </w:tcPr>
          <w:p>
            <w:pPr>
              <w:ind w:left="100"/>
              <w:spacing w:after="0"/>
              <w:rPr>
                <w:sz w:val="20"/>
                <w:szCs w:val="20"/>
                <w:color w:val="auto"/>
              </w:rPr>
            </w:pPr>
            <w:r>
              <w:rPr>
                <w:rFonts w:ascii="Arial" w:cs="Arial" w:eastAsia="Arial" w:hAnsi="Arial"/>
                <w:sz w:val="17"/>
                <w:szCs w:val="17"/>
                <w:color w:val="auto"/>
              </w:rPr>
              <w:t>Description of Registrant’s Securities</w:t>
            </w:r>
          </w:p>
        </w:tc>
        <w:tc>
          <w:tcPr>
            <w:tcW w:w="520" w:type="dxa"/>
            <w:vAlign w:val="bottom"/>
          </w:tcPr>
          <w:p>
            <w:pPr>
              <w:jc w:val="center"/>
              <w:spacing w:after="0"/>
              <w:rPr>
                <w:sz w:val="20"/>
                <w:szCs w:val="20"/>
                <w:color w:val="auto"/>
              </w:rPr>
            </w:pPr>
            <w:r>
              <w:rPr>
                <w:rFonts w:ascii="Arial" w:cs="Arial" w:eastAsia="Arial" w:hAnsi="Arial"/>
                <w:sz w:val="17"/>
                <w:szCs w:val="17"/>
                <w:color w:val="auto"/>
              </w:rPr>
              <w:t>10-K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28,</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2022</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10.1^</w:t>
            </w:r>
          </w:p>
        </w:tc>
        <w:tc>
          <w:tcPr>
            <w:tcW w:w="5880" w:type="dxa"/>
            <w:vAlign w:val="bottom"/>
          </w:tcPr>
          <w:p>
            <w:pPr>
              <w:ind w:left="100"/>
              <w:spacing w:after="0"/>
              <w:rPr>
                <w:sz w:val="20"/>
                <w:szCs w:val="20"/>
                <w:color w:val="auto"/>
              </w:rPr>
            </w:pPr>
            <w:r>
              <w:rPr>
                <w:rFonts w:ascii="Arial" w:cs="Arial" w:eastAsia="Arial" w:hAnsi="Arial"/>
                <w:sz w:val="17"/>
                <w:szCs w:val="17"/>
                <w:color w:val="auto"/>
              </w:rPr>
              <w:t>Form of Indemnification Agreement</w:t>
            </w:r>
          </w:p>
        </w:tc>
        <w:tc>
          <w:tcPr>
            <w:tcW w:w="1500" w:type="dxa"/>
            <w:vAlign w:val="bottom"/>
            <w:gridSpan w:val="2"/>
          </w:tcPr>
          <w:p>
            <w:pPr>
              <w:ind w:left="60"/>
              <w:spacing w:after="0"/>
              <w:rPr>
                <w:sz w:val="20"/>
                <w:szCs w:val="20"/>
                <w:color w:val="auto"/>
              </w:rPr>
            </w:pPr>
            <w:r>
              <w:rPr>
                <w:rFonts w:ascii="Arial" w:cs="Arial" w:eastAsia="Arial" w:hAnsi="Arial"/>
                <w:sz w:val="17"/>
                <w:szCs w:val="17"/>
                <w:color w:val="auto"/>
                <w:w w:val="99"/>
              </w:rPr>
              <w:t>S-4/A  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May 14, 2021</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10.22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10.2^</w:t>
            </w:r>
          </w:p>
        </w:tc>
        <w:tc>
          <w:tcPr>
            <w:tcW w:w="5880" w:type="dxa"/>
            <w:vAlign w:val="bottom"/>
          </w:tcPr>
          <w:p>
            <w:pPr>
              <w:ind w:left="100"/>
              <w:spacing w:after="0"/>
              <w:rPr>
                <w:sz w:val="20"/>
                <w:szCs w:val="20"/>
                <w:color w:val="auto"/>
              </w:rPr>
            </w:pPr>
            <w:r>
              <w:rPr>
                <w:rFonts w:ascii="Arial" w:cs="Arial" w:eastAsia="Arial" w:hAnsi="Arial"/>
                <w:sz w:val="17"/>
                <w:szCs w:val="17"/>
                <w:color w:val="auto"/>
              </w:rPr>
              <w:t>Lucid Group, Inc. 2021. Performance Bonus Plan</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July 26, 2021</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10.25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10.3^</w:t>
            </w:r>
          </w:p>
        </w:tc>
        <w:tc>
          <w:tcPr>
            <w:tcW w:w="5880" w:type="dxa"/>
            <w:vAlign w:val="bottom"/>
          </w:tcPr>
          <w:p>
            <w:pPr>
              <w:ind w:left="100"/>
              <w:spacing w:after="0"/>
              <w:rPr>
                <w:sz w:val="20"/>
                <w:szCs w:val="20"/>
                <w:color w:val="auto"/>
              </w:rPr>
            </w:pPr>
            <w:r>
              <w:rPr>
                <w:rFonts w:ascii="Arial" w:cs="Arial" w:eastAsia="Arial" w:hAnsi="Arial"/>
                <w:sz w:val="17"/>
                <w:szCs w:val="17"/>
                <w:color w:val="auto"/>
                <w:w w:val="98"/>
              </w:rPr>
              <w:t>Lucid Group, Inc. 2021 Executive Severance Benefit Plan and Summary Plan</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July 26, 2021</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10.26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Description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10.4^</w:t>
            </w:r>
          </w:p>
        </w:tc>
        <w:tc>
          <w:tcPr>
            <w:tcW w:w="5880" w:type="dxa"/>
            <w:vAlign w:val="bottom"/>
          </w:tcPr>
          <w:p>
            <w:pPr>
              <w:ind w:left="100"/>
              <w:spacing w:after="0"/>
              <w:rPr>
                <w:sz w:val="20"/>
                <w:szCs w:val="20"/>
                <w:color w:val="auto"/>
              </w:rPr>
            </w:pPr>
            <w:r>
              <w:rPr>
                <w:rFonts w:ascii="Arial" w:cs="Arial" w:eastAsia="Arial" w:hAnsi="Arial"/>
                <w:sz w:val="17"/>
                <w:szCs w:val="17"/>
                <w:color w:val="auto"/>
                <w:w w:val="99"/>
              </w:rPr>
              <w:t>Form of Participation Agreement under the Lucid Group, Inc. 2021 Executive</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July 26, 2021</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10.27</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Severance Benefit Plan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10.5^</w:t>
            </w:r>
          </w:p>
        </w:tc>
        <w:tc>
          <w:tcPr>
            <w:tcW w:w="5880" w:type="dxa"/>
            <w:vAlign w:val="bottom"/>
          </w:tcPr>
          <w:p>
            <w:pPr>
              <w:ind w:left="100"/>
              <w:spacing w:after="0"/>
              <w:rPr>
                <w:sz w:val="20"/>
                <w:szCs w:val="20"/>
                <w:color w:val="auto"/>
              </w:rPr>
            </w:pPr>
            <w:r>
              <w:rPr>
                <w:rFonts w:ascii="Arial" w:cs="Arial" w:eastAsia="Arial" w:hAnsi="Arial"/>
                <w:sz w:val="17"/>
                <w:szCs w:val="17"/>
                <w:color w:val="auto"/>
                <w:w w:val="97"/>
              </w:rPr>
              <w:t>Lucid Group, Inc. Amended and Restated 2021 Stock Incentive Plan (including</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S-8</w:t>
            </w:r>
          </w:p>
        </w:tc>
        <w:tc>
          <w:tcPr>
            <w:tcW w:w="980" w:type="dxa"/>
            <w:vAlign w:val="bottom"/>
          </w:tcPr>
          <w:p>
            <w:pPr>
              <w:jc w:val="center"/>
              <w:spacing w:after="0"/>
              <w:rPr>
                <w:sz w:val="20"/>
                <w:szCs w:val="20"/>
                <w:color w:val="auto"/>
              </w:rPr>
            </w:pPr>
            <w:r>
              <w:rPr>
                <w:rFonts w:ascii="Arial" w:cs="Arial" w:eastAsia="Arial" w:hAnsi="Arial"/>
                <w:sz w:val="17"/>
                <w:szCs w:val="17"/>
                <w:color w:val="auto"/>
                <w:w w:val="92"/>
              </w:rPr>
              <w:t>333-279973</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June 5, 2024</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99.1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w w:val="99"/>
              </w:rPr>
              <w:t>the Lucid Group, Inc. 2021 Employee Stock Purchase Plan, attached thereto)</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10.6^</w:t>
            </w:r>
          </w:p>
        </w:tc>
        <w:tc>
          <w:tcPr>
            <w:tcW w:w="5880" w:type="dxa"/>
            <w:vAlign w:val="bottom"/>
          </w:tcPr>
          <w:p>
            <w:pPr>
              <w:ind w:left="100"/>
              <w:spacing w:after="0"/>
              <w:rPr>
                <w:sz w:val="20"/>
                <w:szCs w:val="20"/>
                <w:color w:val="auto"/>
              </w:rPr>
            </w:pPr>
            <w:r>
              <w:rPr>
                <w:rFonts w:ascii="Arial" w:cs="Arial" w:eastAsia="Arial" w:hAnsi="Arial"/>
                <w:sz w:val="17"/>
                <w:szCs w:val="17"/>
                <w:color w:val="auto"/>
                <w:w w:val="93"/>
              </w:rPr>
              <w:t>Form of Stock Option Agreement under the Second Amended and Restated 2021</w:t>
            </w:r>
          </w:p>
        </w:tc>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Stock Incentive Plan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10.7^</w:t>
            </w:r>
          </w:p>
        </w:tc>
        <w:tc>
          <w:tcPr>
            <w:tcW w:w="5880" w:type="dxa"/>
            <w:vAlign w:val="bottom"/>
          </w:tcPr>
          <w:p>
            <w:pPr>
              <w:ind w:left="100"/>
              <w:spacing w:after="0"/>
              <w:rPr>
                <w:sz w:val="20"/>
                <w:szCs w:val="20"/>
                <w:color w:val="auto"/>
              </w:rPr>
            </w:pPr>
            <w:r>
              <w:rPr>
                <w:rFonts w:ascii="Arial" w:cs="Arial" w:eastAsia="Arial" w:hAnsi="Arial"/>
                <w:sz w:val="17"/>
                <w:szCs w:val="17"/>
                <w:color w:val="auto"/>
                <w:w w:val="96"/>
              </w:rPr>
              <w:t>Form of PSU Agreement under the Second Amended and Restated 2021 Stock</w:t>
            </w:r>
          </w:p>
        </w:tc>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Incentive Plan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7"/>
              </w:rPr>
              <w:t>10.8^</w:t>
            </w:r>
          </w:p>
        </w:tc>
        <w:tc>
          <w:tcPr>
            <w:tcW w:w="5880" w:type="dxa"/>
            <w:vAlign w:val="bottom"/>
          </w:tcPr>
          <w:p>
            <w:pPr>
              <w:ind w:left="100"/>
              <w:spacing w:after="0"/>
              <w:rPr>
                <w:sz w:val="20"/>
                <w:szCs w:val="20"/>
                <w:color w:val="auto"/>
              </w:rPr>
            </w:pPr>
            <w:r>
              <w:rPr>
                <w:rFonts w:ascii="Arial" w:cs="Arial" w:eastAsia="Arial" w:hAnsi="Arial"/>
                <w:sz w:val="17"/>
                <w:szCs w:val="17"/>
                <w:color w:val="auto"/>
                <w:w w:val="96"/>
              </w:rPr>
              <w:t>Form of RSU Agreement under the Second Amended and Restated 2021 Stock</w:t>
            </w:r>
          </w:p>
        </w:tc>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Incentive Plan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6"/>
              </w:rPr>
              <w:t>10.9</w:t>
            </w:r>
          </w:p>
        </w:tc>
        <w:tc>
          <w:tcPr>
            <w:tcW w:w="5880" w:type="dxa"/>
            <w:vAlign w:val="bottom"/>
          </w:tcPr>
          <w:p>
            <w:pPr>
              <w:ind w:left="100"/>
              <w:spacing w:after="0"/>
              <w:rPr>
                <w:sz w:val="20"/>
                <w:szCs w:val="20"/>
                <w:color w:val="auto"/>
              </w:rPr>
            </w:pPr>
            <w:r>
              <w:rPr>
                <w:rFonts w:ascii="Arial" w:cs="Arial" w:eastAsia="Arial" w:hAnsi="Arial"/>
                <w:sz w:val="17"/>
                <w:szCs w:val="17"/>
                <w:color w:val="auto"/>
              </w:rPr>
              <w:t>Investor Rights Agreement, dated as of February 22, 2021, by and among</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23,</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880" w:type="dxa"/>
            <w:vAlign w:val="bottom"/>
          </w:tcPr>
          <w:p>
            <w:pPr>
              <w:ind w:left="100"/>
              <w:spacing w:after="0" w:line="173" w:lineRule="exact"/>
              <w:rPr>
                <w:sz w:val="20"/>
                <w:szCs w:val="20"/>
                <w:color w:val="auto"/>
              </w:rPr>
            </w:pPr>
            <w:r>
              <w:rPr>
                <w:rFonts w:ascii="Arial" w:cs="Arial" w:eastAsia="Arial" w:hAnsi="Arial"/>
                <w:sz w:val="17"/>
                <w:szCs w:val="17"/>
                <w:color w:val="auto"/>
                <w:w w:val="98"/>
              </w:rPr>
              <w:t>Churchill Capital Corp IV, Ayar Third Investment Company, Churchill Sponsor</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spacing w:after="0" w:line="173" w:lineRule="exact"/>
              <w:rPr>
                <w:sz w:val="20"/>
                <w:szCs w:val="20"/>
                <w:color w:val="auto"/>
              </w:rPr>
            </w:pPr>
            <w:r>
              <w:rPr>
                <w:rFonts w:ascii="Arial" w:cs="Arial" w:eastAsia="Arial" w:hAnsi="Arial"/>
                <w:sz w:val="17"/>
                <w:szCs w:val="17"/>
                <w:color w:val="auto"/>
                <w:w w:val="95"/>
              </w:rPr>
              <w:t>2021</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IV LLC and the other parties named therein</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3"/>
              </w:rPr>
              <w:t>10.10</w:t>
            </w:r>
          </w:p>
        </w:tc>
        <w:tc>
          <w:tcPr>
            <w:tcW w:w="5880" w:type="dxa"/>
            <w:vAlign w:val="bottom"/>
          </w:tcPr>
          <w:p>
            <w:pPr>
              <w:ind w:left="100"/>
              <w:spacing w:after="0"/>
              <w:rPr>
                <w:sz w:val="20"/>
                <w:szCs w:val="20"/>
                <w:color w:val="auto"/>
              </w:rPr>
            </w:pPr>
            <w:r>
              <w:rPr>
                <w:rFonts w:ascii="Arial" w:cs="Arial" w:eastAsia="Arial" w:hAnsi="Arial"/>
                <w:sz w:val="17"/>
                <w:szCs w:val="17"/>
                <w:color w:val="auto"/>
                <w:w w:val="97"/>
              </w:rPr>
              <w:t>Amendment No. 1 to the Investor Rights Agreement, dated November 8, 2022,</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November 8,</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880" w:type="dxa"/>
            <w:vAlign w:val="bottom"/>
          </w:tcPr>
          <w:p>
            <w:pPr>
              <w:ind w:left="100"/>
              <w:spacing w:after="0" w:line="173" w:lineRule="exact"/>
              <w:rPr>
                <w:sz w:val="20"/>
                <w:szCs w:val="20"/>
                <w:color w:val="auto"/>
              </w:rPr>
            </w:pPr>
            <w:r>
              <w:rPr>
                <w:rFonts w:ascii="Arial" w:cs="Arial" w:eastAsia="Arial" w:hAnsi="Arial"/>
                <w:sz w:val="17"/>
                <w:szCs w:val="17"/>
                <w:color w:val="auto"/>
                <w:w w:val="94"/>
              </w:rPr>
              <w:t>between Lucid Group, Inc., Ayar Third Investment Company and the other parties</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spacing w:after="0" w:line="173" w:lineRule="exact"/>
              <w:rPr>
                <w:sz w:val="20"/>
                <w:szCs w:val="20"/>
                <w:color w:val="auto"/>
              </w:rPr>
            </w:pPr>
            <w:r>
              <w:rPr>
                <w:rFonts w:ascii="Arial" w:cs="Arial" w:eastAsia="Arial" w:hAnsi="Arial"/>
                <w:sz w:val="17"/>
                <w:szCs w:val="17"/>
                <w:color w:val="auto"/>
                <w:w w:val="95"/>
              </w:rPr>
              <w:t>2022</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thereto</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7"/>
                <w:szCs w:val="17"/>
                <w:color w:val="auto"/>
                <w:w w:val="93"/>
              </w:rPr>
              <w:t>10.11</w:t>
            </w:r>
          </w:p>
        </w:tc>
        <w:tc>
          <w:tcPr>
            <w:tcW w:w="5880" w:type="dxa"/>
            <w:vAlign w:val="bottom"/>
          </w:tcPr>
          <w:p>
            <w:pPr>
              <w:ind w:left="100"/>
              <w:spacing w:after="0"/>
              <w:rPr>
                <w:sz w:val="20"/>
                <w:szCs w:val="20"/>
                <w:color w:val="auto"/>
              </w:rPr>
            </w:pPr>
            <w:r>
              <w:rPr>
                <w:rFonts w:ascii="Arial" w:cs="Arial" w:eastAsia="Arial" w:hAnsi="Arial"/>
                <w:sz w:val="17"/>
                <w:szCs w:val="17"/>
                <w:color w:val="auto"/>
              </w:rPr>
              <w:t>Amendment No. 2 to the Investor Rights Agreement, dated May 31, 2023,</w:t>
            </w:r>
          </w:p>
        </w:tc>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June 5, 2023</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880" w:type="dxa"/>
            <w:vAlign w:val="bottom"/>
          </w:tcPr>
          <w:p>
            <w:pPr>
              <w:ind w:left="100"/>
              <w:spacing w:after="0" w:line="173" w:lineRule="exact"/>
              <w:rPr>
                <w:sz w:val="20"/>
                <w:szCs w:val="20"/>
                <w:color w:val="auto"/>
              </w:rPr>
            </w:pPr>
            <w:r>
              <w:rPr>
                <w:rFonts w:ascii="Arial" w:cs="Arial" w:eastAsia="Arial" w:hAnsi="Arial"/>
                <w:sz w:val="17"/>
                <w:szCs w:val="17"/>
                <w:color w:val="auto"/>
                <w:w w:val="94"/>
              </w:rPr>
              <w:t>between Lucid Group, Inc., Ayar Third Investment Company and the other parties</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880" w:type="dxa"/>
            <w:vAlign w:val="bottom"/>
          </w:tcPr>
          <w:p>
            <w:pPr>
              <w:ind w:left="100"/>
              <w:spacing w:after="0"/>
              <w:rPr>
                <w:sz w:val="20"/>
                <w:szCs w:val="20"/>
                <w:color w:val="auto"/>
              </w:rPr>
            </w:pPr>
            <w:r>
              <w:rPr>
                <w:rFonts w:ascii="Arial" w:cs="Arial" w:eastAsia="Arial" w:hAnsi="Arial"/>
                <w:sz w:val="17"/>
                <w:szCs w:val="17"/>
                <w:color w:val="auto"/>
              </w:rPr>
              <w:t>thereto</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880" w:h="15480" w:orient="portrait"/>
          <w:cols w:equalWidth="0" w:num="1">
            <w:col w:w="11080"/>
          </w:cols>
          <w:pgMar w:left="400" w:top="756" w:right="400" w:bottom="0" w:gutter="0" w:footer="0" w:header="0"/>
        </w:sect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11080"/>
          </w:cols>
          <w:pgMar w:left="400" w:top="756" w:right="400" w:bottom="0" w:gutter="0" w:footer="0" w:header="0"/>
          <w:type w:val="continuous"/>
        </w:sectPr>
      </w:pPr>
    </w:p>
    <w:bookmarkStart w:id="265" w:name="page266"/>
    <w:bookmarkEnd w:id="265"/>
    <w:p>
      <w:pPr>
        <w:spacing w:after="0" w:line="21" w:lineRule="exact"/>
        <w:rPr>
          <w:sz w:val="20"/>
          <w:szCs w:val="20"/>
          <w:color w:val="auto"/>
        </w:rPr>
      </w:pPr>
    </w:p>
    <w:p>
      <w:pPr>
        <w:ind w:left="780" w:hanging="734"/>
        <w:spacing w:after="0" w:line="234" w:lineRule="auto"/>
        <w:tabs>
          <w:tab w:leader="none" w:pos="76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Amendment No. 3 to the Investor Rights Agreement, dated March 29, 2024, between Lucid Group, Inc., Ayar Third Investment Company and the other parties thereto</w:t>
      </w:r>
    </w:p>
    <w:p>
      <w:pPr>
        <w:spacing w:after="0" w:line="77" w:lineRule="exact"/>
        <w:rPr>
          <w:sz w:val="20"/>
          <w:szCs w:val="20"/>
          <w:color w:val="auto"/>
        </w:rPr>
      </w:pPr>
    </w:p>
    <w:p>
      <w:pPr>
        <w:ind w:left="780" w:hanging="734"/>
        <w:spacing w:after="0" w:line="234" w:lineRule="auto"/>
        <w:tabs>
          <w:tab w:leader="none" w:pos="76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Amendment No. 4 to the Investor Rights Agreement, dated August 16, 2024, between Lucid Group, Inc., Ayar Third Investment Company and the other parties thereto</w:t>
      </w:r>
    </w:p>
    <w:p>
      <w:pPr>
        <w:spacing w:after="0" w:line="77" w:lineRule="exact"/>
        <w:rPr>
          <w:sz w:val="20"/>
          <w:szCs w:val="20"/>
          <w:color w:val="auto"/>
        </w:rPr>
      </w:pPr>
    </w:p>
    <w:p>
      <w:pPr>
        <w:ind w:left="780" w:hanging="734"/>
        <w:spacing w:after="0" w:line="234" w:lineRule="auto"/>
        <w:tabs>
          <w:tab w:leader="none" w:pos="76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Amendment No. 5 to the Investor Rights Agreement, dated October 16, 2024, between Lucid Group, Inc., Ayar Third Investment Company and the other parties thereto</w:t>
      </w:r>
    </w:p>
    <w:p>
      <w:pPr>
        <w:spacing w:after="0" w:line="7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Form of Subscription Agreement</w:t>
      </w:r>
    </w:p>
    <w:p>
      <w:pPr>
        <w:spacing w:after="0" w:line="280" w:lineRule="exact"/>
        <w:rPr>
          <w:sz w:val="20"/>
          <w:szCs w:val="20"/>
          <w:color w:val="auto"/>
        </w:rPr>
      </w:pPr>
    </w:p>
    <w:p>
      <w:pPr>
        <w:ind w:left="780" w:right="20" w:hanging="734"/>
        <w:spacing w:after="0" w:line="228" w:lineRule="auto"/>
        <w:tabs>
          <w:tab w:leader="none" w:pos="76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Amended and Restated Sponsor Agreement, dated as of February 22, 2021, by and among Churchill Capital Corp IV, Churchill Sponsor IV LLC, and Michael Klein, Lee Jay Taragin, Glenn R. August, William J. Bynum, Bonnie Jonas, Mark Klein, Malcom S. McDermid and Karen G. Mills</w:t>
      </w:r>
    </w:p>
    <w:p>
      <w:pPr>
        <w:spacing w:after="0" w:line="79" w:lineRule="exact"/>
        <w:rPr>
          <w:sz w:val="20"/>
          <w:szCs w:val="20"/>
          <w:color w:val="auto"/>
        </w:rPr>
      </w:pPr>
    </w:p>
    <w:p>
      <w:pPr>
        <w:ind w:left="780" w:right="520" w:hanging="734"/>
        <w:spacing w:after="0" w:line="249" w:lineRule="auto"/>
        <w:tabs>
          <w:tab w:leader="none" w:pos="76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Promissory Note, dated as of February 22, 2021, by and between Churchill Capital Corp IV and Churchill Sponsor IV LLC</w:t>
      </w:r>
    </w:p>
    <w:p>
      <w:pPr>
        <w:spacing w:after="0" w:line="70" w:lineRule="exact"/>
        <w:rPr>
          <w:sz w:val="20"/>
          <w:szCs w:val="20"/>
          <w:color w:val="auto"/>
        </w:rPr>
      </w:pPr>
    </w:p>
    <w:p>
      <w:pPr>
        <w:ind w:left="780" w:right="320" w:hanging="774"/>
        <w:spacing w:after="0" w:line="249" w:lineRule="auto"/>
        <w:tabs>
          <w:tab w:leader="none" w:pos="76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7"/>
          <w:szCs w:val="17"/>
          <w:color w:val="auto"/>
        </w:rPr>
        <w:t>Form of Option Agreement under the Lucid Group, Inc. 2021 Stock Incentive Plan</w:t>
      </w:r>
    </w:p>
    <w:p>
      <w:pPr>
        <w:spacing w:after="0" w:line="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5"/>
          <w:szCs w:val="15"/>
          <w:color w:val="auto"/>
        </w:rPr>
        <w:t>Form of RSU Agreement under the Lucid Group, Inc. 2021 Stock Incentive Plan</w:t>
      </w:r>
    </w:p>
    <w:p>
      <w:pPr>
        <w:spacing w:after="0" w:line="28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5"/>
          <w:szCs w:val="15"/>
          <w:color w:val="auto"/>
        </w:rPr>
        <w:t>Atieva, Inc. 2009 Share Plan</w:t>
      </w:r>
    </w:p>
    <w:p>
      <w:pPr>
        <w:spacing w:after="0" w:line="280" w:lineRule="exact"/>
        <w:rPr>
          <w:sz w:val="20"/>
          <w:szCs w:val="20"/>
          <w:color w:val="auto"/>
        </w:rPr>
      </w:pPr>
    </w:p>
    <w:p>
      <w:pPr>
        <w:ind w:left="780" w:right="160" w:hanging="775"/>
        <w:spacing w:after="0" w:line="249" w:lineRule="auto"/>
        <w:tabs>
          <w:tab w:leader="none" w:pos="76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7"/>
          <w:szCs w:val="17"/>
          <w:color w:val="auto"/>
        </w:rPr>
        <w:t>Form of Amended and Restated Notice of Share Option Grant under the Atieva, Inc. 2009 Share Plan</w:t>
      </w:r>
    </w:p>
    <w:p>
      <w:pPr>
        <w:spacing w:after="0" w:line="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5"/>
          <w:szCs w:val="15"/>
          <w:color w:val="auto"/>
        </w:rPr>
        <w:t>Atieva, Inc. 2014 Share Plan, as amended January 11, 2021</w:t>
      </w:r>
    </w:p>
    <w:p>
      <w:pPr>
        <w:spacing w:after="0" w:line="280" w:lineRule="exact"/>
        <w:rPr>
          <w:sz w:val="20"/>
          <w:szCs w:val="20"/>
          <w:color w:val="auto"/>
        </w:rPr>
      </w:pPr>
    </w:p>
    <w:p>
      <w:pPr>
        <w:ind w:left="780" w:right="160" w:hanging="775"/>
        <w:spacing w:after="0" w:line="249" w:lineRule="auto"/>
        <w:tabs>
          <w:tab w:leader="none" w:pos="76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Form of Amended and Restated Notice of Share Option Grant under the Atieva, Inc. 2014 Share Plan</w:t>
      </w:r>
    </w:p>
    <w:p>
      <w:pPr>
        <w:spacing w:after="0" w:line="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5"/>
          <w:szCs w:val="15"/>
          <w:color w:val="auto"/>
        </w:rPr>
        <w:t>Atieva, Inc. 2021 Stock Incentive Plan, as amended February 22, 2021</w:t>
      </w:r>
    </w:p>
    <w:p>
      <w:pPr>
        <w:spacing w:after="0" w:line="280" w:lineRule="exact"/>
        <w:rPr>
          <w:sz w:val="20"/>
          <w:szCs w:val="20"/>
          <w:color w:val="auto"/>
        </w:rPr>
      </w:pPr>
    </w:p>
    <w:p>
      <w:pPr>
        <w:ind w:left="780" w:right="300" w:hanging="775"/>
        <w:spacing w:after="0" w:line="249" w:lineRule="auto"/>
        <w:tabs>
          <w:tab w:leader="none" w:pos="76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Form of Stock Option Agreement under the Atieva, Inc. 2021 Stock Incentive Plan</w:t>
      </w:r>
    </w:p>
    <w:p>
      <w:pPr>
        <w:spacing w:after="0" w:line="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5"/>
          <w:szCs w:val="15"/>
          <w:color w:val="auto"/>
        </w:rPr>
        <w:t>Form of RSU Agreement under the Atieva, Inc. 2021 Stock Incentive Plan</w:t>
      </w:r>
    </w:p>
    <w:p>
      <w:pPr>
        <w:spacing w:after="0" w:line="280" w:lineRule="exact"/>
        <w:rPr>
          <w:sz w:val="20"/>
          <w:szCs w:val="20"/>
          <w:color w:val="auto"/>
        </w:rPr>
      </w:pPr>
    </w:p>
    <w:p>
      <w:pPr>
        <w:ind w:left="780" w:right="240" w:hanging="775"/>
        <w:spacing w:after="0" w:line="275" w:lineRule="auto"/>
        <w:tabs>
          <w:tab w:leader="none" w:pos="76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Form of RSU Agreement under the Atieva, Inc. 2021 Stock Incentive Plan (for Rule 144 Affiliates)</w:t>
      </w:r>
    </w:p>
    <w:p>
      <w:pPr>
        <w:spacing w:after="0" w:line="5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5"/>
          <w:szCs w:val="15"/>
          <w:color w:val="auto"/>
        </w:rPr>
        <w:t>Atieva USA, Inc. Severance Benefit Plan</w:t>
      </w:r>
    </w:p>
    <w:p>
      <w:pPr>
        <w:spacing w:after="0" w:line="25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5"/>
          <w:szCs w:val="15"/>
          <w:color w:val="auto"/>
        </w:rPr>
        <w:t>Lease by and between CADC Partners, LLC and Atieva USA, Inc., dated January</w:t>
      </w:r>
    </w:p>
    <w:p>
      <w:pPr>
        <w:ind w:left="780"/>
        <w:spacing w:after="0"/>
        <w:rPr>
          <w:sz w:val="20"/>
          <w:szCs w:val="20"/>
          <w:color w:val="auto"/>
        </w:rPr>
      </w:pPr>
      <w:r>
        <w:rPr>
          <w:rFonts w:ascii="Arial" w:cs="Arial" w:eastAsia="Arial" w:hAnsi="Arial"/>
          <w:sz w:val="17"/>
          <w:szCs w:val="17"/>
          <w:color w:val="auto"/>
        </w:rPr>
        <w:t>17, 2020</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10.30^</w:t>
      </w:r>
      <w:r>
        <w:rPr>
          <w:sz w:val="20"/>
          <w:szCs w:val="20"/>
          <w:color w:val="auto"/>
        </w:rPr>
        <w:tab/>
      </w:r>
      <w:r>
        <w:rPr>
          <w:rFonts w:ascii="Arial" w:cs="Arial" w:eastAsia="Arial" w:hAnsi="Arial"/>
          <w:sz w:val="15"/>
          <w:szCs w:val="15"/>
          <w:color w:val="auto"/>
        </w:rPr>
        <w:t>Transaction Bonus Letter Agreement, dated March 29, 2021</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5"/>
          <w:szCs w:val="15"/>
          <w:color w:val="auto"/>
        </w:rPr>
        <w:t>Notice of Restricted Stock Unit Grant, dated March 27, 2021</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5"/>
          <w:szCs w:val="15"/>
          <w:color w:val="auto"/>
        </w:rPr>
        <w:t>Offer of Employment to Gagan Dhingra, dated October 29, 2021</w:t>
      </w:r>
    </w:p>
    <w:p>
      <w:pPr>
        <w:spacing w:after="0" w:line="28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6"/>
          <w:szCs w:val="16"/>
          <w:color w:val="auto"/>
        </w:rPr>
        <w:t>Offer of Employment to Marc Winterhoff, dated November 7, 2023</w:t>
      </w:r>
    </w:p>
    <w:p>
      <w:pPr>
        <w:spacing w:after="0" w:line="25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10.34^</w:t>
      </w:r>
      <w:r>
        <w:rPr>
          <w:sz w:val="20"/>
          <w:szCs w:val="20"/>
          <w:color w:val="auto"/>
        </w:rPr>
        <w:tab/>
      </w:r>
      <w:r>
        <w:rPr>
          <w:rFonts w:ascii="Arial" w:cs="Arial" w:eastAsia="Arial" w:hAnsi="Arial"/>
          <w:sz w:val="15"/>
          <w:szCs w:val="15"/>
          <w:color w:val="auto"/>
        </w:rPr>
        <w:t>Separation Agreement between Lucid Group, Inc. and Michael Bell, dated May 5,</w:t>
      </w:r>
    </w:p>
    <w:p>
      <w:pPr>
        <w:ind w:left="780"/>
        <w:spacing w:after="0"/>
        <w:rPr>
          <w:sz w:val="20"/>
          <w:szCs w:val="20"/>
          <w:color w:val="auto"/>
        </w:rPr>
      </w:pPr>
      <w:r>
        <w:rPr>
          <w:rFonts w:ascii="Arial" w:cs="Arial" w:eastAsia="Arial" w:hAnsi="Arial"/>
          <w:sz w:val="17"/>
          <w:szCs w:val="17"/>
          <w:color w:val="auto"/>
        </w:rPr>
        <w:t>2024</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5"/>
          <w:szCs w:val="15"/>
          <w:color w:val="auto"/>
        </w:rPr>
        <w:t>Offer of Employment to Taoufiq Boussaid, dated November 15, 2024</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10.36^</w:t>
      </w:r>
      <w:r>
        <w:rPr>
          <w:sz w:val="20"/>
          <w:szCs w:val="20"/>
          <w:color w:val="auto"/>
        </w:rPr>
        <w:tab/>
      </w:r>
      <w:r>
        <w:rPr>
          <w:rFonts w:ascii="Arial" w:cs="Arial" w:eastAsia="Arial" w:hAnsi="Arial"/>
          <w:sz w:val="15"/>
          <w:szCs w:val="15"/>
          <w:color w:val="auto"/>
        </w:rPr>
        <w:t>Offer of Promotion to Gagan Dhingra, dated January 27, 2025</w:t>
      </w:r>
    </w:p>
    <w:p>
      <w:pPr>
        <w:spacing w:after="0" w:line="107" w:lineRule="exact"/>
        <w:rPr>
          <w:sz w:val="20"/>
          <w:szCs w:val="20"/>
          <w:color w:val="auto"/>
        </w:rPr>
      </w:pPr>
    </w:p>
    <w:p>
      <w:pPr>
        <w:ind w:left="780" w:right="180" w:hanging="777"/>
        <w:spacing w:after="0" w:line="249" w:lineRule="auto"/>
        <w:tabs>
          <w:tab w:leader="none" w:pos="760" w:val="left"/>
        </w:tabs>
        <w:rPr>
          <w:sz w:val="20"/>
          <w:szCs w:val="20"/>
          <w:color w:val="auto"/>
        </w:rPr>
      </w:pPr>
      <w:r>
        <w:rPr>
          <w:rFonts w:ascii="Arial" w:cs="Arial" w:eastAsia="Arial" w:hAnsi="Arial"/>
          <w:sz w:val="17"/>
          <w:szCs w:val="17"/>
          <w:color w:val="auto"/>
        </w:rPr>
        <w:t>10.37#</w:t>
      </w:r>
      <w:r>
        <w:rPr>
          <w:sz w:val="20"/>
          <w:szCs w:val="20"/>
          <w:color w:val="auto"/>
        </w:rPr>
        <w:tab/>
      </w:r>
      <w:r>
        <w:rPr>
          <w:rFonts w:ascii="Arial" w:cs="Arial" w:eastAsia="Arial" w:hAnsi="Arial"/>
          <w:sz w:val="17"/>
          <w:szCs w:val="17"/>
          <w:color w:val="auto"/>
        </w:rPr>
        <w:t>Loan Agreement, dated as of February 27, 2022, between Lucid LLC and Saudi Industrial Development Fund (English version only)</w:t>
      </w:r>
    </w:p>
    <w:p>
      <w:pPr>
        <w:spacing w:after="0" w:line="70" w:lineRule="exact"/>
        <w:rPr>
          <w:sz w:val="20"/>
          <w:szCs w:val="20"/>
          <w:color w:val="auto"/>
        </w:rPr>
      </w:pPr>
    </w:p>
    <w:p>
      <w:pPr>
        <w:ind w:left="780" w:right="280" w:hanging="777"/>
        <w:spacing w:after="0" w:line="280" w:lineRule="auto"/>
        <w:tabs>
          <w:tab w:leader="none" w:pos="760" w:val="left"/>
        </w:tabs>
        <w:rPr>
          <w:sz w:val="20"/>
          <w:szCs w:val="20"/>
          <w:color w:val="auto"/>
        </w:rPr>
      </w:pPr>
      <w:r>
        <w:rPr>
          <w:rFonts w:ascii="Arial" w:cs="Arial" w:eastAsia="Arial" w:hAnsi="Arial"/>
          <w:sz w:val="17"/>
          <w:szCs w:val="17"/>
          <w:color w:val="auto"/>
        </w:rPr>
        <w:t>10.38#</w:t>
      </w:r>
      <w:r>
        <w:rPr>
          <w:sz w:val="20"/>
          <w:szCs w:val="20"/>
          <w:color w:val="auto"/>
        </w:rPr>
        <w:tab/>
      </w:r>
      <w:r>
        <w:rPr>
          <w:rFonts w:ascii="Arial" w:cs="Arial" w:eastAsia="Arial" w:hAnsi="Arial"/>
          <w:sz w:val="16"/>
          <w:szCs w:val="16"/>
          <w:color w:val="auto"/>
        </w:rPr>
        <w:t>Side Letter to Loan Agreement, dated as of February 27, 2022, between Lucid LLC and Saudi Industrial Development Fund (English version only)</w:t>
      </w:r>
    </w:p>
    <w:p>
      <w:pPr>
        <w:spacing w:after="0" w:line="46" w:lineRule="exact"/>
        <w:rPr>
          <w:sz w:val="20"/>
          <w:szCs w:val="20"/>
          <w:color w:val="auto"/>
        </w:rPr>
      </w:pPr>
    </w:p>
    <w:p>
      <w:pPr>
        <w:ind w:left="780" w:right="460" w:hanging="734"/>
        <w:spacing w:after="0" w:line="280" w:lineRule="auto"/>
        <w:tabs>
          <w:tab w:leader="none" w:pos="760"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6"/>
          <w:szCs w:val="16"/>
          <w:color w:val="auto"/>
        </w:rPr>
        <w:t>Letter of Undertaking, dated as of April 20, 2022, between Lucid LLC and Ministry of Finance of the Kingdom of Saudi Arabia (English version only)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Arial" w:cs="Arial" w:eastAsia="Arial" w:hAnsi="Arial"/>
                <w:sz w:val="17"/>
                <w:szCs w:val="17"/>
                <w:color w:val="auto"/>
              </w:rPr>
              <w:t>8-K</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001-39408</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March 29,</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6"/>
        </w:trPr>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40" w:type="dxa"/>
            <w:vAlign w:val="bottom"/>
          </w:tcPr>
          <w:p>
            <w:pPr>
              <w:spacing w:after="0"/>
              <w:rPr>
                <w:sz w:val="19"/>
                <w:szCs w:val="19"/>
                <w:color w:val="auto"/>
              </w:rPr>
            </w:pPr>
          </w:p>
        </w:tc>
      </w:tr>
      <w:tr>
        <w:trPr>
          <w:trHeight w:val="422"/>
        </w:trPr>
        <w:tc>
          <w:tcPr>
            <w:tcW w:w="400" w:type="dxa"/>
            <w:vAlign w:val="bottom"/>
          </w:tcPr>
          <w:p>
            <w:pPr>
              <w:spacing w:after="0"/>
              <w:rPr>
                <w:sz w:val="20"/>
                <w:szCs w:val="20"/>
                <w:color w:val="auto"/>
              </w:rPr>
            </w:pPr>
            <w:r>
              <w:rPr>
                <w:rFonts w:ascii="Arial" w:cs="Arial" w:eastAsia="Arial" w:hAnsi="Arial"/>
                <w:sz w:val="17"/>
                <w:szCs w:val="17"/>
                <w:color w:val="auto"/>
              </w:rPr>
              <w:t>8-K</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001-39408</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August 19,</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6"/>
        </w:trPr>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40" w:type="dxa"/>
            <w:vAlign w:val="bottom"/>
          </w:tcPr>
          <w:p>
            <w:pPr>
              <w:spacing w:after="0"/>
              <w:rPr>
                <w:sz w:val="19"/>
                <w:szCs w:val="19"/>
                <w:color w:val="auto"/>
              </w:rPr>
            </w:pPr>
          </w:p>
        </w:tc>
      </w:tr>
    </w:tbl>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jc w:val="center"/>
              <w:spacing w:after="0"/>
              <w:rPr>
                <w:sz w:val="20"/>
                <w:szCs w:val="20"/>
                <w:color w:val="auto"/>
              </w:rPr>
            </w:pPr>
            <w:r>
              <w:rPr>
                <w:rFonts w:ascii="Arial" w:cs="Arial" w:eastAsia="Arial" w:hAnsi="Arial"/>
                <w:sz w:val="17"/>
                <w:szCs w:val="17"/>
                <w:color w:val="auto"/>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10.2</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10.3</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595"/>
        </w:trPr>
        <w:tc>
          <w:tcPr>
            <w:tcW w:w="460" w:type="dxa"/>
            <w:vAlign w:val="bottom"/>
          </w:tcPr>
          <w:p>
            <w:pPr>
              <w:jc w:val="center"/>
              <w:spacing w:after="0"/>
              <w:rPr>
                <w:sz w:val="20"/>
                <w:szCs w:val="20"/>
                <w:color w:val="auto"/>
              </w:rPr>
            </w:pPr>
            <w:r>
              <w:rPr>
                <w:rFonts w:ascii="Arial" w:cs="Arial" w:eastAsia="Arial" w:hAnsi="Arial"/>
                <w:sz w:val="17"/>
                <w:szCs w:val="17"/>
                <w:color w:val="auto"/>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10.4</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10.6</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10.7</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10.8</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10.9</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10.10</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10.11</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10.12</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10.13</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10.14</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10.15</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78"/>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10.16</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w w:val="90"/>
              </w:rPr>
              <w:t>S-4</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March 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10.19</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560" w:type="dxa"/>
            <w:vAlign w:val="bottom"/>
          </w:tcPr>
          <w:p>
            <w:pPr>
              <w:spacing w:after="0"/>
              <w:rPr>
                <w:sz w:val="19"/>
                <w:szCs w:val="19"/>
                <w:color w:val="auto"/>
              </w:rPr>
            </w:pPr>
          </w:p>
        </w:tc>
      </w:tr>
      <w:tr>
        <w:trPr>
          <w:trHeight w:val="301"/>
        </w:trPr>
        <w:tc>
          <w:tcPr>
            <w:tcW w:w="1460" w:type="dxa"/>
            <w:vAlign w:val="bottom"/>
            <w:gridSpan w:val="2"/>
          </w:tcPr>
          <w:p>
            <w:pPr>
              <w:spacing w:after="0"/>
              <w:rPr>
                <w:sz w:val="20"/>
                <w:szCs w:val="20"/>
                <w:color w:val="auto"/>
              </w:rPr>
            </w:pPr>
            <w:r>
              <w:rPr>
                <w:rFonts w:ascii="Arial" w:cs="Arial" w:eastAsia="Arial" w:hAnsi="Arial"/>
                <w:sz w:val="17"/>
                <w:szCs w:val="17"/>
                <w:color w:val="auto"/>
              </w:rPr>
              <w:t>S-4/A  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May 14, 2021</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10.23</w:t>
            </w:r>
          </w:p>
        </w:tc>
      </w:tr>
      <w:tr>
        <w:trPr>
          <w:trHeight w:val="303"/>
        </w:trPr>
        <w:tc>
          <w:tcPr>
            <w:tcW w:w="1460" w:type="dxa"/>
            <w:vAlign w:val="bottom"/>
            <w:gridSpan w:val="2"/>
          </w:tcPr>
          <w:p>
            <w:pPr>
              <w:spacing w:after="0"/>
              <w:rPr>
                <w:sz w:val="20"/>
                <w:szCs w:val="20"/>
                <w:color w:val="auto"/>
              </w:rPr>
            </w:pPr>
            <w:r>
              <w:rPr>
                <w:rFonts w:ascii="Arial" w:cs="Arial" w:eastAsia="Arial" w:hAnsi="Arial"/>
                <w:sz w:val="17"/>
                <w:szCs w:val="17"/>
                <w:color w:val="auto"/>
              </w:rPr>
              <w:t>S-4/A  333-254543</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May 14, 2021</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10.24</w:t>
            </w:r>
          </w:p>
        </w:tc>
      </w:tr>
      <w:tr>
        <w:trPr>
          <w:trHeight w:val="251"/>
        </w:trPr>
        <w:tc>
          <w:tcPr>
            <w:tcW w:w="460" w:type="dxa"/>
            <w:vAlign w:val="bottom"/>
          </w:tcPr>
          <w:p>
            <w:pPr>
              <w:jc w:val="center"/>
              <w:spacing w:after="0"/>
              <w:rPr>
                <w:sz w:val="20"/>
                <w:szCs w:val="20"/>
                <w:color w:val="auto"/>
              </w:rPr>
            </w:pPr>
            <w:r>
              <w:rPr>
                <w:rFonts w:ascii="Arial" w:cs="Arial" w:eastAsia="Arial" w:hAnsi="Arial"/>
                <w:sz w:val="17"/>
                <w:szCs w:val="17"/>
                <w:color w:val="auto"/>
              </w:rPr>
              <w:t>10-K</w:t>
            </w: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10.27</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2022</w:t>
            </w:r>
          </w:p>
        </w:tc>
        <w:tc>
          <w:tcPr>
            <w:tcW w:w="560" w:type="dxa"/>
            <w:vAlign w:val="bottom"/>
          </w:tcPr>
          <w:p>
            <w:pPr>
              <w:spacing w:after="0"/>
              <w:rPr>
                <w:sz w:val="19"/>
                <w:szCs w:val="19"/>
                <w:color w:val="auto"/>
              </w:rPr>
            </w:pPr>
          </w:p>
        </w:tc>
      </w:tr>
      <w:tr>
        <w:trPr>
          <w:trHeight w:val="249"/>
        </w:trPr>
        <w:tc>
          <w:tcPr>
            <w:tcW w:w="460" w:type="dxa"/>
            <w:vAlign w:val="bottom"/>
          </w:tcPr>
          <w:p>
            <w:pPr>
              <w:jc w:val="center"/>
              <w:spacing w:after="0"/>
              <w:rPr>
                <w:sz w:val="20"/>
                <w:szCs w:val="20"/>
                <w:color w:val="auto"/>
              </w:rPr>
            </w:pPr>
            <w:r>
              <w:rPr>
                <w:rFonts w:ascii="Arial" w:cs="Arial" w:eastAsia="Arial" w:hAnsi="Arial"/>
                <w:sz w:val="17"/>
                <w:szCs w:val="17"/>
                <w:color w:val="auto"/>
              </w:rPr>
              <w:t>10-K</w:t>
            </w: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February 27,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10.31</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bl>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440" w:type="dxa"/>
            <w:vAlign w:val="bottom"/>
            <w:gridSpan w:val="2"/>
          </w:tcPr>
          <w:p>
            <w:pPr>
              <w:spacing w:after="0"/>
              <w:rPr>
                <w:sz w:val="20"/>
                <w:szCs w:val="20"/>
                <w:color w:val="auto"/>
              </w:rPr>
            </w:pPr>
            <w:r>
              <w:rPr>
                <w:rFonts w:ascii="Arial" w:cs="Arial" w:eastAsia="Arial" w:hAnsi="Arial"/>
                <w:sz w:val="17"/>
                <w:szCs w:val="17"/>
                <w:color w:val="auto"/>
              </w:rPr>
              <w:t>10-Q   001-39408</w:t>
            </w:r>
          </w:p>
        </w:tc>
        <w:tc>
          <w:tcPr>
            <w:tcW w:w="1200" w:type="dxa"/>
            <w:vAlign w:val="bottom"/>
          </w:tcPr>
          <w:p>
            <w:pPr>
              <w:ind w:left="120"/>
              <w:spacing w:after="0"/>
              <w:rPr>
                <w:sz w:val="20"/>
                <w:szCs w:val="20"/>
                <w:color w:val="auto"/>
              </w:rPr>
            </w:pPr>
            <w:r>
              <w:rPr>
                <w:rFonts w:ascii="Arial" w:cs="Arial" w:eastAsia="Arial" w:hAnsi="Arial"/>
                <w:sz w:val="17"/>
                <w:szCs w:val="17"/>
                <w:color w:val="auto"/>
              </w:rPr>
              <w:t>May 5, 2022</w:t>
            </w:r>
          </w:p>
        </w:tc>
        <w:tc>
          <w:tcPr>
            <w:tcW w:w="5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475"/>
        </w:trPr>
        <w:tc>
          <w:tcPr>
            <w:tcW w:w="460" w:type="dxa"/>
            <w:vAlign w:val="bottom"/>
          </w:tcPr>
          <w:p>
            <w:pPr>
              <w:spacing w:after="0"/>
              <w:rPr>
                <w:sz w:val="20"/>
                <w:szCs w:val="20"/>
                <w:color w:val="auto"/>
              </w:rPr>
            </w:pPr>
            <w:r>
              <w:rPr>
                <w:rFonts w:ascii="Arial" w:cs="Arial" w:eastAsia="Arial" w:hAnsi="Arial"/>
                <w:sz w:val="17"/>
                <w:szCs w:val="17"/>
                <w:color w:val="auto"/>
              </w:rPr>
              <w:t>10-Q</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001-39408</w:t>
            </w:r>
          </w:p>
        </w:tc>
        <w:tc>
          <w:tcPr>
            <w:tcW w:w="1200" w:type="dxa"/>
            <w:vAlign w:val="bottom"/>
          </w:tcPr>
          <w:p>
            <w:pPr>
              <w:ind w:left="120"/>
              <w:spacing w:after="0"/>
              <w:rPr>
                <w:sz w:val="20"/>
                <w:szCs w:val="20"/>
                <w:color w:val="auto"/>
              </w:rPr>
            </w:pPr>
            <w:r>
              <w:rPr>
                <w:rFonts w:ascii="Arial" w:cs="Arial" w:eastAsia="Arial" w:hAnsi="Arial"/>
                <w:sz w:val="17"/>
                <w:szCs w:val="17"/>
                <w:color w:val="auto"/>
              </w:rPr>
              <w:t>May 5, 2022</w:t>
            </w:r>
          </w:p>
        </w:tc>
        <w:tc>
          <w:tcPr>
            <w:tcW w:w="5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475"/>
        </w:trPr>
        <w:tc>
          <w:tcPr>
            <w:tcW w:w="460" w:type="dxa"/>
            <w:vAlign w:val="bottom"/>
          </w:tcPr>
          <w:p>
            <w:pPr>
              <w:spacing w:after="0"/>
              <w:rPr>
                <w:sz w:val="20"/>
                <w:szCs w:val="20"/>
                <w:color w:val="auto"/>
              </w:rPr>
            </w:pPr>
            <w:r>
              <w:rPr>
                <w:rFonts w:ascii="Arial" w:cs="Arial" w:eastAsia="Arial" w:hAnsi="Arial"/>
                <w:sz w:val="17"/>
                <w:szCs w:val="17"/>
                <w:color w:val="auto"/>
              </w:rPr>
              <w:t>10-Q</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001-39408</w:t>
            </w:r>
          </w:p>
        </w:tc>
        <w:tc>
          <w:tcPr>
            <w:tcW w:w="1200" w:type="dxa"/>
            <w:vAlign w:val="bottom"/>
          </w:tcPr>
          <w:p>
            <w:pPr>
              <w:ind w:left="120"/>
              <w:spacing w:after="0"/>
              <w:rPr>
                <w:sz w:val="20"/>
                <w:szCs w:val="20"/>
                <w:color w:val="auto"/>
              </w:rPr>
            </w:pPr>
            <w:r>
              <w:rPr>
                <w:rFonts w:ascii="Arial" w:cs="Arial" w:eastAsia="Arial" w:hAnsi="Arial"/>
                <w:sz w:val="17"/>
                <w:szCs w:val="17"/>
                <w:color w:val="auto"/>
              </w:rPr>
              <w:t>May 5, 2022</w:t>
            </w:r>
          </w:p>
        </w:tc>
        <w:tc>
          <w:tcPr>
            <w:tcW w:w="520" w:type="dxa"/>
            <w:vAlign w:val="bottom"/>
          </w:tcPr>
          <w:p>
            <w:pPr>
              <w:jc w:val="right"/>
              <w:spacing w:after="0"/>
              <w:rPr>
                <w:sz w:val="20"/>
                <w:szCs w:val="20"/>
                <w:color w:val="auto"/>
              </w:rPr>
            </w:pPr>
            <w:r>
              <w:rPr>
                <w:rFonts w:ascii="Arial" w:cs="Arial" w:eastAsia="Arial" w:hAnsi="Arial"/>
                <w:sz w:val="17"/>
                <w:szCs w:val="17"/>
                <w:color w:val="auto"/>
              </w:rPr>
              <w:t>10.3</w:t>
            </w:r>
          </w:p>
        </w:tc>
      </w:tr>
    </w:tbl>
    <w:p>
      <w:pPr>
        <w:spacing w:after="0" w:line="403" w:lineRule="exact"/>
        <w:rPr>
          <w:sz w:val="20"/>
          <w:szCs w:val="20"/>
          <w:color w:val="auto"/>
        </w:rPr>
      </w:pPr>
    </w:p>
    <w:p>
      <w:pPr>
        <w:sectPr>
          <w:pgSz w:w="11880" w:h="15480" w:orient="portrait"/>
          <w:cols w:equalWidth="0" w:num="2">
            <w:col w:w="6480" w:space="140"/>
            <w:col w:w="3920"/>
          </w:cols>
          <w:pgMar w:left="600" w:top="798" w:right="740" w:bottom="0" w:gutter="0" w:footer="0" w:header="0"/>
        </w:sect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145</w:t>
      </w:r>
    </w:p>
    <w:p>
      <w:pPr>
        <w:sectPr>
          <w:pgSz w:w="11880" w:h="15480" w:orient="portrait"/>
          <w:cols w:equalWidth="0" w:num="1">
            <w:col w:w="10540"/>
          </w:cols>
          <w:pgMar w:left="600" w:top="798" w:right="740" w:bottom="0" w:gutter="0" w:footer="0" w:header="0"/>
          <w:type w:val="continuous"/>
        </w:sectPr>
      </w:pPr>
    </w:p>
    <w:bookmarkStart w:id="266" w:name="page267"/>
    <w:bookmarkEnd w:id="266"/>
    <w:p>
      <w:pPr>
        <w:ind w:left="740" w:right="40" w:hanging="734"/>
        <w:spacing w:after="0" w:line="228" w:lineRule="auto"/>
        <w:tabs>
          <w:tab w:leader="none" w:pos="720"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79" w:lineRule="exact"/>
        <w:rPr>
          <w:sz w:val="20"/>
          <w:szCs w:val="20"/>
          <w:color w:val="auto"/>
        </w:rPr>
      </w:pPr>
    </w:p>
    <w:p>
      <w:pPr>
        <w:ind w:left="740" w:right="100" w:hanging="734"/>
        <w:spacing w:after="0" w:line="234" w:lineRule="auto"/>
        <w:tabs>
          <w:tab w:leader="none" w:pos="72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7"/>
          <w:szCs w:val="17"/>
          <w:color w:val="auto"/>
        </w:rPr>
        <w:t>Amendment No. 1 to Credit Agreement, dated as of June 7, 2024, between Lucid Group, Inc., as the Borrower Representative, and Bank of America, N.A., as Administrative Agent</w:t>
      </w:r>
    </w:p>
    <w:p>
      <w:pPr>
        <w:spacing w:after="0" w:line="77" w:lineRule="exact"/>
        <w:rPr>
          <w:sz w:val="20"/>
          <w:szCs w:val="20"/>
          <w:color w:val="auto"/>
        </w:rPr>
      </w:pPr>
    </w:p>
    <w:p>
      <w:pPr>
        <w:jc w:val="right"/>
        <w:ind w:right="300"/>
        <w:spacing w:after="0" w:line="249" w:lineRule="auto"/>
        <w:rPr>
          <w:sz w:val="20"/>
          <w:szCs w:val="20"/>
          <w:color w:val="auto"/>
        </w:rPr>
      </w:pPr>
      <w:r>
        <w:rPr>
          <w:rFonts w:ascii="Arial" w:cs="Arial" w:eastAsia="Arial" w:hAnsi="Arial"/>
          <w:sz w:val="17"/>
          <w:szCs w:val="17"/>
          <w:color w:val="auto"/>
        </w:rPr>
        <w:t>10.42    Credit Agreement, dated as of August 4, 2024, between Lucid Group, Inc. and Ayar Third Investment Company, as the sole lender and Administrative Agent</w:t>
      </w:r>
    </w:p>
    <w:p>
      <w:pPr>
        <w:spacing w:after="0" w:line="84" w:lineRule="exact"/>
        <w:rPr>
          <w:sz w:val="20"/>
          <w:szCs w:val="20"/>
          <w:color w:val="auto"/>
        </w:rPr>
      </w:pPr>
    </w:p>
    <w:p>
      <w:pPr>
        <w:ind w:left="740" w:right="160" w:hanging="734"/>
        <w:spacing w:after="0" w:line="249" w:lineRule="auto"/>
        <w:tabs>
          <w:tab w:leader="none" w:pos="720" w:val="left"/>
        </w:tabs>
        <w:rPr>
          <w:sz w:val="20"/>
          <w:szCs w:val="20"/>
          <w:color w:val="auto"/>
        </w:rPr>
      </w:pPr>
      <w:r>
        <w:rPr>
          <w:rFonts w:ascii="Arial" w:cs="Arial" w:eastAsia="Arial" w:hAnsi="Arial"/>
          <w:sz w:val="17"/>
          <w:szCs w:val="17"/>
          <w:color w:val="auto"/>
        </w:rPr>
        <w:t>10.43</w:t>
      </w:r>
      <w:r>
        <w:rPr>
          <w:sz w:val="20"/>
          <w:szCs w:val="20"/>
          <w:color w:val="auto"/>
        </w:rPr>
        <w:tab/>
      </w:r>
      <w:r>
        <w:rPr>
          <w:rFonts w:ascii="Arial" w:cs="Arial" w:eastAsia="Arial" w:hAnsi="Arial"/>
          <w:sz w:val="17"/>
          <w:szCs w:val="17"/>
          <w:color w:val="auto"/>
        </w:rPr>
        <w:t>Facilities Letter, entered into as of April 29, 2022, between Lucid LLC and Gulf International Bank Saudi Arabia (English version only)</w:t>
      </w:r>
    </w:p>
    <w:p>
      <w:pPr>
        <w:spacing w:after="0" w:line="70" w:lineRule="exact"/>
        <w:rPr>
          <w:sz w:val="20"/>
          <w:szCs w:val="20"/>
          <w:color w:val="auto"/>
        </w:rPr>
      </w:pPr>
    </w:p>
    <w:p>
      <w:pPr>
        <w:ind w:left="740" w:right="20" w:hanging="734"/>
        <w:spacing w:after="0" w:line="249" w:lineRule="auto"/>
        <w:tabs>
          <w:tab w:leader="none" w:pos="720" w:val="left"/>
        </w:tabs>
        <w:rPr>
          <w:sz w:val="20"/>
          <w:szCs w:val="20"/>
          <w:color w:val="auto"/>
        </w:rPr>
      </w:pPr>
      <w:r>
        <w:rPr>
          <w:rFonts w:ascii="Arial" w:cs="Arial" w:eastAsia="Arial" w:hAnsi="Arial"/>
          <w:sz w:val="17"/>
          <w:szCs w:val="17"/>
          <w:color w:val="auto"/>
        </w:rPr>
        <w:t>10.44</w:t>
      </w:r>
      <w:r>
        <w:rPr>
          <w:sz w:val="20"/>
          <w:szCs w:val="20"/>
          <w:color w:val="auto"/>
        </w:rPr>
        <w:tab/>
      </w:r>
      <w:r>
        <w:rPr>
          <w:rFonts w:ascii="Arial" w:cs="Arial" w:eastAsia="Arial" w:hAnsi="Arial"/>
          <w:sz w:val="17"/>
          <w:szCs w:val="17"/>
          <w:color w:val="auto"/>
        </w:rPr>
        <w:t>Lease and Option to Purchase between Pinal County, as landlord, and Lucid USA, Inc., as tenant, dated August 10, 2022</w:t>
      </w:r>
    </w:p>
    <w:p>
      <w:pPr>
        <w:spacing w:after="0" w:line="70" w:lineRule="exact"/>
        <w:rPr>
          <w:sz w:val="20"/>
          <w:szCs w:val="20"/>
          <w:color w:val="auto"/>
        </w:rPr>
      </w:pPr>
    </w:p>
    <w:p>
      <w:pPr>
        <w:ind w:left="740" w:hanging="734"/>
        <w:spacing w:after="0" w:line="249" w:lineRule="auto"/>
        <w:tabs>
          <w:tab w:leader="none" w:pos="720" w:val="left"/>
        </w:tabs>
        <w:rPr>
          <w:sz w:val="20"/>
          <w:szCs w:val="20"/>
          <w:color w:val="auto"/>
        </w:rPr>
      </w:pPr>
      <w:r>
        <w:rPr>
          <w:rFonts w:ascii="Arial" w:cs="Arial" w:eastAsia="Arial" w:hAnsi="Arial"/>
          <w:sz w:val="17"/>
          <w:szCs w:val="17"/>
          <w:color w:val="auto"/>
        </w:rPr>
        <w:t>10.45</w:t>
      </w:r>
      <w:r>
        <w:rPr>
          <w:sz w:val="20"/>
          <w:szCs w:val="20"/>
          <w:color w:val="auto"/>
        </w:rPr>
        <w:tab/>
      </w:r>
      <w:r>
        <w:rPr>
          <w:rFonts w:ascii="Arial" w:cs="Arial" w:eastAsia="Arial" w:hAnsi="Arial"/>
          <w:sz w:val="17"/>
          <w:szCs w:val="17"/>
          <w:color w:val="auto"/>
        </w:rPr>
        <w:t>Subscription Agreement, dated November 8, 2022, between Lucid Group, Inc. and Ayar Third Investment Company</w:t>
      </w:r>
    </w:p>
    <w:p>
      <w:pPr>
        <w:spacing w:after="0" w:line="70" w:lineRule="exact"/>
        <w:rPr>
          <w:sz w:val="20"/>
          <w:szCs w:val="20"/>
          <w:color w:val="auto"/>
        </w:rPr>
      </w:pPr>
    </w:p>
    <w:p>
      <w:pPr>
        <w:ind w:left="740" w:right="320" w:hanging="734"/>
        <w:spacing w:after="0" w:line="249" w:lineRule="auto"/>
        <w:tabs>
          <w:tab w:leader="none" w:pos="720" w:val="left"/>
        </w:tabs>
        <w:rPr>
          <w:sz w:val="20"/>
          <w:szCs w:val="20"/>
          <w:color w:val="auto"/>
        </w:rPr>
      </w:pPr>
      <w:r>
        <w:rPr>
          <w:rFonts w:ascii="Arial" w:cs="Arial" w:eastAsia="Arial" w:hAnsi="Arial"/>
          <w:sz w:val="17"/>
          <w:szCs w:val="17"/>
          <w:color w:val="auto"/>
        </w:rPr>
        <w:t>10.46</w:t>
      </w:r>
      <w:r>
        <w:rPr>
          <w:sz w:val="20"/>
          <w:szCs w:val="20"/>
          <w:color w:val="auto"/>
        </w:rPr>
        <w:tab/>
      </w:r>
      <w:r>
        <w:rPr>
          <w:rFonts w:ascii="Arial" w:cs="Arial" w:eastAsia="Arial" w:hAnsi="Arial"/>
          <w:sz w:val="17"/>
          <w:szCs w:val="17"/>
          <w:color w:val="auto"/>
        </w:rPr>
        <w:t>Subscription Agreement, dated May 31, 2023, between Lucid Group, Inc. and Ayar Third Investment Company</w:t>
      </w:r>
    </w:p>
    <w:p>
      <w:pPr>
        <w:spacing w:after="0" w:line="70" w:lineRule="exact"/>
        <w:rPr>
          <w:sz w:val="20"/>
          <w:szCs w:val="20"/>
          <w:color w:val="auto"/>
        </w:rPr>
      </w:pPr>
    </w:p>
    <w:p>
      <w:pPr>
        <w:jc w:val="both"/>
        <w:ind w:left="740" w:right="200" w:hanging="734"/>
        <w:spacing w:after="0" w:line="249" w:lineRule="auto"/>
        <w:tabs>
          <w:tab w:leader="none" w:pos="720" w:val="left"/>
        </w:tabs>
        <w:rPr>
          <w:sz w:val="20"/>
          <w:szCs w:val="20"/>
          <w:color w:val="auto"/>
        </w:rPr>
      </w:pPr>
      <w:r>
        <w:rPr>
          <w:rFonts w:ascii="Arial" w:cs="Arial" w:eastAsia="Arial" w:hAnsi="Arial"/>
          <w:sz w:val="17"/>
          <w:szCs w:val="17"/>
          <w:color w:val="auto"/>
        </w:rPr>
        <w:t>10.47</w:t>
      </w:r>
      <w:r>
        <w:rPr>
          <w:sz w:val="20"/>
          <w:szCs w:val="20"/>
          <w:color w:val="auto"/>
        </w:rPr>
        <w:tab/>
      </w:r>
      <w:r>
        <w:rPr>
          <w:rFonts w:ascii="Arial" w:cs="Arial" w:eastAsia="Arial" w:hAnsi="Arial"/>
          <w:sz w:val="17"/>
          <w:szCs w:val="17"/>
          <w:color w:val="auto"/>
        </w:rPr>
        <w:t>Subscription Agreement, dated March 24, 2024, between Lucid Group, Inc. and Ayar Third Investment Company</w:t>
      </w:r>
    </w:p>
    <w:p>
      <w:pPr>
        <w:spacing w:after="0" w:line="70" w:lineRule="exact"/>
        <w:rPr>
          <w:sz w:val="20"/>
          <w:szCs w:val="20"/>
          <w:color w:val="auto"/>
        </w:rPr>
      </w:pPr>
    </w:p>
    <w:p>
      <w:pPr>
        <w:ind w:left="740" w:right="240" w:hanging="734"/>
        <w:spacing w:after="0" w:line="249" w:lineRule="auto"/>
        <w:tabs>
          <w:tab w:leader="none" w:pos="720" w:val="left"/>
        </w:tabs>
        <w:rPr>
          <w:sz w:val="20"/>
          <w:szCs w:val="20"/>
          <w:color w:val="auto"/>
        </w:rPr>
      </w:pPr>
      <w:r>
        <w:rPr>
          <w:rFonts w:ascii="Arial" w:cs="Arial" w:eastAsia="Arial" w:hAnsi="Arial"/>
          <w:sz w:val="17"/>
          <w:szCs w:val="17"/>
          <w:color w:val="auto"/>
        </w:rPr>
        <w:t>10.48</w:t>
      </w:r>
      <w:r>
        <w:rPr>
          <w:sz w:val="20"/>
          <w:szCs w:val="20"/>
          <w:color w:val="auto"/>
        </w:rPr>
        <w:tab/>
      </w:r>
      <w:r>
        <w:rPr>
          <w:rFonts w:ascii="Arial" w:cs="Arial" w:eastAsia="Arial" w:hAnsi="Arial"/>
          <w:sz w:val="17"/>
          <w:szCs w:val="17"/>
          <w:color w:val="auto"/>
        </w:rPr>
        <w:t>Subscription Agreement, dated August 4, 2024, between Lucid Group, Inc. and Ayar Third Investment Company</w:t>
      </w:r>
    </w:p>
    <w:p>
      <w:pPr>
        <w:spacing w:after="0" w:line="70" w:lineRule="exact"/>
        <w:rPr>
          <w:sz w:val="20"/>
          <w:szCs w:val="20"/>
          <w:color w:val="auto"/>
        </w:rPr>
      </w:pPr>
    </w:p>
    <w:p>
      <w:pPr>
        <w:ind w:left="740" w:right="80" w:hanging="734"/>
        <w:spacing w:after="0" w:line="249" w:lineRule="auto"/>
        <w:tabs>
          <w:tab w:leader="none" w:pos="720" w:val="left"/>
        </w:tabs>
        <w:rPr>
          <w:sz w:val="20"/>
          <w:szCs w:val="20"/>
          <w:color w:val="auto"/>
        </w:rPr>
      </w:pPr>
      <w:r>
        <w:rPr>
          <w:rFonts w:ascii="Arial" w:cs="Arial" w:eastAsia="Arial" w:hAnsi="Arial"/>
          <w:sz w:val="17"/>
          <w:szCs w:val="17"/>
          <w:color w:val="auto"/>
        </w:rPr>
        <w:t>10.49</w:t>
      </w:r>
      <w:r>
        <w:rPr>
          <w:sz w:val="20"/>
          <w:szCs w:val="20"/>
          <w:color w:val="auto"/>
        </w:rPr>
        <w:tab/>
      </w:r>
      <w:r>
        <w:rPr>
          <w:rFonts w:ascii="Arial" w:cs="Arial" w:eastAsia="Arial" w:hAnsi="Arial"/>
          <w:sz w:val="17"/>
          <w:szCs w:val="17"/>
          <w:color w:val="auto"/>
        </w:rPr>
        <w:t>Subscription Agreement, dated October 16, 2024, between Lucid Group, Inc. and Ayar Third Investment Company</w:t>
      </w:r>
    </w:p>
    <w:p>
      <w:pPr>
        <w:spacing w:after="0" w:line="70" w:lineRule="exact"/>
        <w:rPr>
          <w:sz w:val="20"/>
          <w:szCs w:val="20"/>
          <w:color w:val="auto"/>
        </w:rPr>
      </w:pPr>
    </w:p>
    <w:p>
      <w:pPr>
        <w:jc w:val="both"/>
        <w:ind w:left="740" w:right="200" w:hanging="734"/>
        <w:spacing w:after="0" w:line="234" w:lineRule="auto"/>
        <w:tabs>
          <w:tab w:leader="none" w:pos="720" w:val="left"/>
        </w:tabs>
        <w:rPr>
          <w:sz w:val="20"/>
          <w:szCs w:val="20"/>
          <w:color w:val="auto"/>
        </w:rPr>
      </w:pPr>
      <w:r>
        <w:rPr>
          <w:rFonts w:ascii="Arial" w:cs="Arial" w:eastAsia="Arial" w:hAnsi="Arial"/>
          <w:sz w:val="17"/>
          <w:szCs w:val="17"/>
          <w:color w:val="auto"/>
        </w:rPr>
        <w:t>10.50</w:t>
      </w:r>
      <w:r>
        <w:rPr>
          <w:sz w:val="20"/>
          <w:szCs w:val="20"/>
          <w:color w:val="auto"/>
        </w:rPr>
        <w:tab/>
      </w:r>
      <w:r>
        <w:rPr>
          <w:rFonts w:ascii="Arial" w:cs="Arial" w:eastAsia="Arial" w:hAnsi="Arial"/>
          <w:sz w:val="17"/>
          <w:szCs w:val="17"/>
          <w:color w:val="auto"/>
        </w:rPr>
        <w:t>Amendment to the Credit Facility Agreement, entered into on March 12, 2023, between Lucid LLC and Gulf International Bank Saudi Arabia (English version only)</w:t>
      </w:r>
    </w:p>
    <w:p>
      <w:pPr>
        <w:spacing w:after="0" w:line="77" w:lineRule="exact"/>
        <w:rPr>
          <w:sz w:val="20"/>
          <w:szCs w:val="20"/>
          <w:color w:val="auto"/>
        </w:rPr>
      </w:pPr>
    </w:p>
    <w:p>
      <w:pPr>
        <w:ind w:left="740" w:right="20" w:hanging="777"/>
        <w:spacing w:after="0" w:line="234" w:lineRule="auto"/>
        <w:tabs>
          <w:tab w:leader="none" w:pos="720" w:val="left"/>
        </w:tabs>
        <w:rPr>
          <w:sz w:val="20"/>
          <w:szCs w:val="20"/>
          <w:color w:val="auto"/>
        </w:rPr>
      </w:pPr>
      <w:r>
        <w:rPr>
          <w:rFonts w:ascii="Arial" w:cs="Arial" w:eastAsia="Arial" w:hAnsi="Arial"/>
          <w:sz w:val="17"/>
          <w:szCs w:val="17"/>
          <w:color w:val="auto"/>
        </w:rPr>
        <w:t>10.51#</w:t>
      </w:r>
      <w:r>
        <w:rPr>
          <w:sz w:val="20"/>
          <w:szCs w:val="20"/>
          <w:color w:val="auto"/>
        </w:rPr>
        <w:tab/>
      </w:r>
      <w:r>
        <w:rPr>
          <w:rFonts w:ascii="Arial" w:cs="Arial" w:eastAsia="Arial" w:hAnsi="Arial"/>
          <w:sz w:val="17"/>
          <w:szCs w:val="17"/>
          <w:color w:val="auto"/>
        </w:rPr>
        <w:t>Implementation Agreement, dated June 26, 2023, by and among Lucid Group, Inc., Atieva, Inc., Lucid Group Technologies, LLC, Aston Martin Lagonda Global Holdings plc and Aston Martin Lagonda Limited</w:t>
      </w:r>
    </w:p>
    <w:p>
      <w:pPr>
        <w:spacing w:after="0" w:line="77" w:lineRule="exact"/>
        <w:rPr>
          <w:sz w:val="20"/>
          <w:szCs w:val="20"/>
          <w:color w:val="auto"/>
        </w:rPr>
      </w:pPr>
    </w:p>
    <w:p>
      <w:pPr>
        <w:ind w:left="740" w:right="140" w:hanging="734"/>
        <w:spacing w:after="0" w:line="234" w:lineRule="auto"/>
        <w:tabs>
          <w:tab w:leader="none" w:pos="720" w:val="left"/>
        </w:tabs>
        <w:rPr>
          <w:sz w:val="20"/>
          <w:szCs w:val="20"/>
          <w:color w:val="auto"/>
        </w:rPr>
      </w:pPr>
      <w:r>
        <w:rPr>
          <w:rFonts w:ascii="Arial" w:cs="Arial" w:eastAsia="Arial" w:hAnsi="Arial"/>
          <w:sz w:val="17"/>
          <w:szCs w:val="17"/>
          <w:color w:val="auto"/>
        </w:rPr>
        <w:t>10.52</w:t>
      </w:r>
      <w:r>
        <w:rPr>
          <w:sz w:val="20"/>
          <w:szCs w:val="20"/>
          <w:color w:val="auto"/>
        </w:rPr>
        <w:tab/>
      </w:r>
      <w:r>
        <w:rPr>
          <w:rFonts w:ascii="Arial" w:cs="Arial" w:eastAsia="Arial" w:hAnsi="Arial"/>
          <w:sz w:val="17"/>
          <w:szCs w:val="17"/>
          <w:color w:val="auto"/>
        </w:rPr>
        <w:t>Electric Vehicle Purchase Agreement, dated August 7, 2023, between the Government of the Kingdom of Saudi Arabia (as Represented by the Ministry of Finance) and Lucid LLC.</w:t>
      </w:r>
    </w:p>
    <w:p>
      <w:pPr>
        <w:spacing w:after="0" w:line="77" w:lineRule="exact"/>
        <w:rPr>
          <w:sz w:val="20"/>
          <w:szCs w:val="20"/>
          <w:color w:val="auto"/>
        </w:rPr>
      </w:pPr>
    </w:p>
    <w:p>
      <w:pPr>
        <w:ind w:left="740" w:right="40" w:hanging="777"/>
        <w:spacing w:after="0" w:line="234" w:lineRule="auto"/>
        <w:tabs>
          <w:tab w:leader="none" w:pos="720" w:val="left"/>
        </w:tabs>
        <w:rPr>
          <w:sz w:val="20"/>
          <w:szCs w:val="20"/>
          <w:color w:val="auto"/>
        </w:rPr>
      </w:pPr>
      <w:r>
        <w:rPr>
          <w:rFonts w:ascii="Arial" w:cs="Arial" w:eastAsia="Arial" w:hAnsi="Arial"/>
          <w:sz w:val="17"/>
          <w:szCs w:val="17"/>
          <w:color w:val="auto"/>
        </w:rPr>
        <w:t>10.53#</w:t>
      </w:r>
      <w:r>
        <w:rPr>
          <w:sz w:val="20"/>
          <w:szCs w:val="20"/>
          <w:color w:val="auto"/>
        </w:rPr>
        <w:tab/>
      </w:r>
      <w:r>
        <w:rPr>
          <w:rFonts w:ascii="Arial" w:cs="Arial" w:eastAsia="Arial" w:hAnsi="Arial"/>
          <w:sz w:val="17"/>
          <w:szCs w:val="17"/>
          <w:color w:val="auto"/>
        </w:rPr>
        <w:t>General Terms and Conditions for Prototype and Production Parts and Services, effective as of December 1, 2022, by and between Lucid USA, Inc. and Panasonic Energy Co., Ltd.</w:t>
      </w:r>
    </w:p>
    <w:p>
      <w:pPr>
        <w:spacing w:after="0" w:line="77" w:lineRule="exact"/>
        <w:rPr>
          <w:sz w:val="20"/>
          <w:szCs w:val="20"/>
          <w:color w:val="auto"/>
        </w:rPr>
      </w:pPr>
    </w:p>
    <w:p>
      <w:pPr>
        <w:jc w:val="both"/>
        <w:ind w:left="740" w:right="140" w:hanging="777"/>
        <w:spacing w:after="0" w:line="253" w:lineRule="auto"/>
        <w:tabs>
          <w:tab w:leader="none" w:pos="720" w:val="left"/>
        </w:tabs>
        <w:rPr>
          <w:sz w:val="20"/>
          <w:szCs w:val="20"/>
          <w:color w:val="auto"/>
        </w:rPr>
      </w:pPr>
      <w:r>
        <w:rPr>
          <w:rFonts w:ascii="Arial" w:cs="Arial" w:eastAsia="Arial" w:hAnsi="Arial"/>
          <w:sz w:val="17"/>
          <w:szCs w:val="17"/>
          <w:color w:val="auto"/>
        </w:rPr>
        <w:t>10.54#</w:t>
      </w:r>
      <w:r>
        <w:rPr>
          <w:sz w:val="20"/>
          <w:szCs w:val="20"/>
          <w:color w:val="auto"/>
        </w:rPr>
        <w:tab/>
      </w:r>
      <w:r>
        <w:rPr>
          <w:rFonts w:ascii="Arial" w:cs="Arial" w:eastAsia="Arial" w:hAnsi="Arial"/>
          <w:sz w:val="16"/>
          <w:szCs w:val="16"/>
          <w:color w:val="auto"/>
        </w:rPr>
        <w:t>Production Pricing Agreement, effective as of October 1, 2024, by and between Lucid USA, Inc. and Panasonic Corporation of North America doing business as Panasonic Industrial Devices Sales Company of America</w:t>
      </w:r>
    </w:p>
    <w:p>
      <w:pPr>
        <w:spacing w:after="0" w:line="67" w:lineRule="exact"/>
        <w:rPr>
          <w:sz w:val="20"/>
          <w:szCs w:val="20"/>
          <w:color w:val="auto"/>
        </w:rPr>
      </w:pPr>
    </w:p>
    <w:p>
      <w:pPr>
        <w:ind w:left="740" w:right="200" w:hanging="777"/>
        <w:spacing w:after="0" w:line="315" w:lineRule="auto"/>
        <w:tabs>
          <w:tab w:leader="none" w:pos="720" w:val="left"/>
        </w:tabs>
        <w:rPr>
          <w:sz w:val="20"/>
          <w:szCs w:val="20"/>
          <w:color w:val="auto"/>
        </w:rPr>
      </w:pPr>
      <w:r>
        <w:rPr>
          <w:rFonts w:ascii="Arial" w:cs="Arial" w:eastAsia="Arial" w:hAnsi="Arial"/>
          <w:sz w:val="17"/>
          <w:szCs w:val="17"/>
          <w:color w:val="auto"/>
        </w:rPr>
        <w:t>10.55#</w:t>
      </w:r>
      <w:r>
        <w:rPr>
          <w:sz w:val="20"/>
          <w:szCs w:val="20"/>
          <w:color w:val="auto"/>
        </w:rPr>
        <w:tab/>
      </w:r>
      <w:r>
        <w:rPr>
          <w:rFonts w:ascii="Arial" w:cs="Arial" w:eastAsia="Arial" w:hAnsi="Arial"/>
          <w:sz w:val="15"/>
          <w:szCs w:val="15"/>
          <w:color w:val="auto"/>
        </w:rPr>
        <w:t>Production Pricing Agreement, effective as of October 1, 2024, by and between Lucid USA, Inc. and Panasonic Energy Corporation of North America</w:t>
      </w:r>
    </w:p>
    <w:p>
      <w:pPr>
        <w:spacing w:after="0" w:line="23" w:lineRule="exact"/>
        <w:rPr>
          <w:sz w:val="20"/>
          <w:szCs w:val="20"/>
          <w:color w:val="auto"/>
        </w:rPr>
      </w:pPr>
    </w:p>
    <w:p>
      <w:pPr>
        <w:ind w:left="740" w:right="260" w:hanging="734"/>
        <w:spacing w:after="0" w:line="277" w:lineRule="auto"/>
        <w:tabs>
          <w:tab w:leader="none" w:pos="720" w:val="left"/>
        </w:tabs>
        <w:rPr>
          <w:sz w:val="20"/>
          <w:szCs w:val="20"/>
          <w:color w:val="auto"/>
        </w:rPr>
      </w:pPr>
      <w:r>
        <w:rPr>
          <w:rFonts w:ascii="Arial" w:cs="Arial" w:eastAsia="Arial" w:hAnsi="Arial"/>
          <w:sz w:val="17"/>
          <w:szCs w:val="17"/>
          <w:color w:val="auto"/>
        </w:rPr>
        <w:t>10.56</w:t>
      </w:r>
      <w:r>
        <w:rPr>
          <w:sz w:val="20"/>
          <w:szCs w:val="20"/>
          <w:color w:val="auto"/>
        </w:rPr>
        <w:tab/>
      </w:r>
      <w:r>
        <w:rPr>
          <w:rFonts w:ascii="Arial" w:cs="Arial" w:eastAsia="Arial" w:hAnsi="Arial"/>
          <w:sz w:val="15"/>
          <w:szCs w:val="15"/>
          <w:color w:val="auto"/>
        </w:rPr>
        <w:t>Affiliate Participation Agreement, effective as of December 1, 2022, by and between Panasonic Corporation of North America doing business as Panasonic Industrial Devices Sales Company of America and Lucid USA, Inc.</w:t>
      </w:r>
    </w:p>
    <w:p>
      <w:pPr>
        <w:spacing w:after="0" w:line="51" w:lineRule="exact"/>
        <w:rPr>
          <w:sz w:val="20"/>
          <w:szCs w:val="20"/>
          <w:color w:val="auto"/>
        </w:rPr>
      </w:pPr>
    </w:p>
    <w:p>
      <w:pPr>
        <w:ind w:left="740" w:right="220" w:hanging="734"/>
        <w:spacing w:after="0" w:line="315" w:lineRule="auto"/>
        <w:tabs>
          <w:tab w:leader="none" w:pos="720" w:val="left"/>
        </w:tabs>
        <w:rPr>
          <w:sz w:val="20"/>
          <w:szCs w:val="20"/>
          <w:color w:val="auto"/>
        </w:rPr>
      </w:pPr>
      <w:r>
        <w:rPr>
          <w:rFonts w:ascii="Arial" w:cs="Arial" w:eastAsia="Arial" w:hAnsi="Arial"/>
          <w:sz w:val="17"/>
          <w:szCs w:val="17"/>
          <w:color w:val="auto"/>
        </w:rPr>
        <w:t>10.57</w:t>
      </w:r>
      <w:r>
        <w:rPr>
          <w:sz w:val="20"/>
          <w:szCs w:val="20"/>
          <w:color w:val="auto"/>
        </w:rPr>
        <w:tab/>
      </w:r>
      <w:r>
        <w:rPr>
          <w:rFonts w:ascii="Arial" w:cs="Arial" w:eastAsia="Arial" w:hAnsi="Arial"/>
          <w:sz w:val="15"/>
          <w:szCs w:val="15"/>
          <w:color w:val="auto"/>
        </w:rPr>
        <w:t>Affiliate Participation Agreement, effective as of December 1, 2022, by and between Panasonic Energy Corporation of North America and Lucid USA, Inc.</w:t>
      </w:r>
    </w:p>
    <w:p>
      <w:pPr>
        <w:spacing w:after="0" w:line="23" w:lineRule="exact"/>
        <w:rPr>
          <w:sz w:val="20"/>
          <w:szCs w:val="20"/>
          <w:color w:val="auto"/>
        </w:rPr>
      </w:pPr>
    </w:p>
    <w:p>
      <w:pPr>
        <w:ind w:left="740" w:right="400" w:hanging="777"/>
        <w:spacing w:after="0" w:line="280" w:lineRule="auto"/>
        <w:tabs>
          <w:tab w:leader="none" w:pos="720" w:val="left"/>
        </w:tabs>
        <w:rPr>
          <w:sz w:val="20"/>
          <w:szCs w:val="20"/>
          <w:color w:val="auto"/>
        </w:rPr>
      </w:pPr>
      <w:r>
        <w:rPr>
          <w:rFonts w:ascii="Arial" w:cs="Arial" w:eastAsia="Arial" w:hAnsi="Arial"/>
          <w:sz w:val="17"/>
          <w:szCs w:val="17"/>
          <w:color w:val="auto"/>
        </w:rPr>
        <w:t>10.58#</w:t>
      </w:r>
      <w:r>
        <w:rPr>
          <w:sz w:val="20"/>
          <w:szCs w:val="20"/>
          <w:color w:val="auto"/>
        </w:rPr>
        <w:tab/>
      </w:r>
      <w:r>
        <w:rPr>
          <w:rFonts w:ascii="Arial" w:cs="Arial" w:eastAsia="Arial" w:hAnsi="Arial"/>
          <w:sz w:val="16"/>
          <w:szCs w:val="16"/>
          <w:color w:val="auto"/>
        </w:rPr>
        <w:t>Interim Supply Agreement, dated June 26, 2023, by and among Lucid Group Technologies, LLC, Atieva, Inc., and Aston Martin Lagonda Limited.</w:t>
      </w:r>
    </w:p>
    <w:p>
      <w:pPr>
        <w:spacing w:after="0" w:line="4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6"/>
          <w:szCs w:val="16"/>
          <w:color w:val="auto"/>
        </w:rPr>
        <w:t>Lucid Group, Inc. Insider Trading Policy</w:t>
      </w:r>
    </w:p>
    <w:p>
      <w:pPr>
        <w:spacing w:after="0" w:line="165"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List of Significant Subsidiaries of Lucid Group, Inc.</w:t>
      </w:r>
    </w:p>
    <w:p>
      <w:pPr>
        <w:spacing w:after="0" w:line="165"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Independent Registered Public Accounting Firm (KPMG LLP).</w:t>
      </w:r>
    </w:p>
    <w:p>
      <w:pPr>
        <w:spacing w:after="0" w:line="179" w:lineRule="exact"/>
        <w:rPr>
          <w:sz w:val="20"/>
          <w:szCs w:val="20"/>
          <w:color w:val="auto"/>
        </w:rPr>
      </w:pPr>
    </w:p>
    <w:p>
      <w:pPr>
        <w:ind w:left="740" w:right="380" w:hanging="691"/>
        <w:spacing w:after="0" w:line="249" w:lineRule="auto"/>
        <w:tabs>
          <w:tab w:leader="none" w:pos="72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Consent of Independent Registered Public Accounting Firm (Grant Thornton LLP).</w:t>
      </w:r>
    </w:p>
    <w:p>
      <w:pPr>
        <w:spacing w:after="0" w:line="47"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Principal Executive Officer Required Under Rule 13a-14(a) and</w:t>
      </w:r>
    </w:p>
    <w:p>
      <w:pPr>
        <w:ind w:left="740"/>
        <w:spacing w:after="0"/>
        <w:rPr>
          <w:sz w:val="20"/>
          <w:szCs w:val="20"/>
          <w:color w:val="auto"/>
        </w:rPr>
      </w:pPr>
      <w:r>
        <w:rPr>
          <w:rFonts w:ascii="Arial" w:cs="Arial" w:eastAsia="Arial" w:hAnsi="Arial"/>
          <w:sz w:val="17"/>
          <w:szCs w:val="17"/>
          <w:color w:val="auto"/>
        </w:rPr>
        <w:t>15d-14(a) of the Securities Exchange Act of 1934, as amended</w:t>
      </w:r>
    </w:p>
    <w:p>
      <w:pPr>
        <w:spacing w:after="0" w:line="85"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Principal Financial Officer Required Under Rule 13a-14(a) and</w:t>
      </w:r>
    </w:p>
    <w:p>
      <w:pPr>
        <w:ind w:left="740"/>
        <w:spacing w:after="0"/>
        <w:rPr>
          <w:sz w:val="20"/>
          <w:szCs w:val="20"/>
          <w:color w:val="auto"/>
        </w:rPr>
      </w:pPr>
      <w:r>
        <w:rPr>
          <w:rFonts w:ascii="Arial" w:cs="Arial" w:eastAsia="Arial" w:hAnsi="Arial"/>
          <w:sz w:val="17"/>
          <w:szCs w:val="17"/>
          <w:color w:val="auto"/>
        </w:rPr>
        <w:t>15d-14(a) of the Securities Exchange Act of 1934, as amended</w:t>
      </w:r>
    </w:p>
    <w:p>
      <w:pPr>
        <w:spacing w:after="0" w:line="107" w:lineRule="exact"/>
        <w:rPr>
          <w:sz w:val="20"/>
          <w:szCs w:val="20"/>
          <w:color w:val="auto"/>
        </w:rPr>
      </w:pPr>
    </w:p>
    <w:p>
      <w:pPr>
        <w:ind w:left="740" w:right="240" w:hanging="691"/>
        <w:spacing w:after="0" w:line="280" w:lineRule="auto"/>
        <w:tabs>
          <w:tab w:leader="none" w:pos="72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June 15, 2022</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769"/>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August 5,</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10.2</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August 5,</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10.2</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264"/>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August 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10.2</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2022</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November 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2022</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November 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2022</w:t>
            </w:r>
          </w:p>
        </w:tc>
        <w:tc>
          <w:tcPr>
            <w:tcW w:w="560" w:type="dxa"/>
            <w:vAlign w:val="bottom"/>
          </w:tcPr>
          <w:p>
            <w:pPr>
              <w:spacing w:after="0"/>
              <w:rPr>
                <w:sz w:val="19"/>
                <w:szCs w:val="19"/>
                <w:color w:val="auto"/>
              </w:rPr>
            </w:pPr>
          </w:p>
        </w:tc>
      </w:tr>
      <w:tr>
        <w:trPr>
          <w:trHeight w:val="301"/>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June 5, 2023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423"/>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March 25,</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August 5,</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8-K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0"/>
              </w:rPr>
              <w:t>October 18,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301"/>
        </w:trPr>
        <w:tc>
          <w:tcPr>
            <w:tcW w:w="1420" w:type="dxa"/>
            <w:vAlign w:val="bottom"/>
            <w:gridSpan w:val="2"/>
          </w:tcPr>
          <w:p>
            <w:pPr>
              <w:jc w:val="right"/>
              <w:ind w:right="14"/>
              <w:spacing w:after="0"/>
              <w:rPr>
                <w:sz w:val="20"/>
                <w:szCs w:val="20"/>
                <w:color w:val="auto"/>
              </w:rPr>
            </w:pPr>
            <w:r>
              <w:rPr>
                <w:rFonts w:ascii="Arial" w:cs="Arial" w:eastAsia="Arial" w:hAnsi="Arial"/>
                <w:sz w:val="17"/>
                <w:szCs w:val="17"/>
                <w:color w:val="auto"/>
                <w:w w:val="97"/>
              </w:rPr>
              <w:t>10-Q   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May 8, 2023</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596"/>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August 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10.4</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10-K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February 28,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10.34</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10.1</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w w:val="95"/>
              </w:rPr>
              <w:t>10-Q</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4"/>
              </w:rPr>
              <w:t>November 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90"/>
              </w:rPr>
              <w:t>10.2</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10-K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February 28,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10.37</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560" w:type="dxa"/>
            <w:vAlign w:val="bottom"/>
          </w:tcPr>
          <w:p>
            <w:pPr>
              <w:spacing w:after="0"/>
              <w:rPr>
                <w:sz w:val="19"/>
                <w:szCs w:val="19"/>
                <w:color w:val="auto"/>
              </w:rPr>
            </w:pPr>
          </w:p>
        </w:tc>
      </w:tr>
      <w:tr>
        <w:trPr>
          <w:trHeight w:val="422"/>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10-K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February 28,</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10.38</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560" w:type="dxa"/>
            <w:vAlign w:val="bottom"/>
          </w:tcPr>
          <w:p>
            <w:pPr>
              <w:spacing w:after="0"/>
              <w:rPr>
                <w:sz w:val="19"/>
                <w:szCs w:val="19"/>
                <w:color w:val="auto"/>
              </w:rPr>
            </w:pPr>
          </w:p>
        </w:tc>
      </w:tr>
      <w:tr>
        <w:trPr>
          <w:trHeight w:val="249"/>
        </w:trPr>
        <w:tc>
          <w:tcPr>
            <w:tcW w:w="460" w:type="dxa"/>
            <w:vAlign w:val="bottom"/>
          </w:tcPr>
          <w:p>
            <w:pPr>
              <w:jc w:val="center"/>
              <w:ind w:right="14"/>
              <w:spacing w:after="0"/>
              <w:rPr>
                <w:sz w:val="20"/>
                <w:szCs w:val="20"/>
                <w:color w:val="auto"/>
              </w:rPr>
            </w:pPr>
            <w:r>
              <w:rPr>
                <w:rFonts w:ascii="Arial" w:cs="Arial" w:eastAsia="Arial" w:hAnsi="Arial"/>
                <w:sz w:val="17"/>
                <w:szCs w:val="17"/>
                <w:color w:val="auto"/>
              </w:rPr>
              <w:t>10-K</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001-39408</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February 27,</w:t>
            </w:r>
          </w:p>
        </w:tc>
        <w:tc>
          <w:tcPr>
            <w:tcW w:w="560" w:type="dxa"/>
            <w:vAlign w:val="bottom"/>
          </w:tcPr>
          <w:p>
            <w:pPr>
              <w:jc w:val="center"/>
              <w:ind w:left="94"/>
              <w:spacing w:after="0"/>
              <w:rPr>
                <w:sz w:val="20"/>
                <w:szCs w:val="20"/>
                <w:color w:val="auto"/>
              </w:rPr>
            </w:pPr>
            <w:r>
              <w:rPr>
                <w:rFonts w:ascii="Arial" w:cs="Arial" w:eastAsia="Arial" w:hAnsi="Arial"/>
                <w:sz w:val="17"/>
                <w:szCs w:val="17"/>
                <w:color w:val="auto"/>
                <w:w w:val="89"/>
              </w:rPr>
              <w:t>10.49</w:t>
            </w:r>
          </w:p>
        </w:tc>
      </w:tr>
      <w:tr>
        <w:trPr>
          <w:trHeight w:val="226"/>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560" w:type="dxa"/>
            <w:vAlign w:val="bottom"/>
          </w:tcPr>
          <w:p>
            <w:pPr>
              <w:spacing w:after="0"/>
              <w:rPr>
                <w:sz w:val="19"/>
                <w:szCs w:val="19"/>
                <w:color w:val="auto"/>
              </w:rPr>
            </w:pPr>
          </w:p>
        </w:tc>
      </w:tr>
    </w:tbl>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433" w:lineRule="exact"/>
        <w:rPr>
          <w:sz w:val="20"/>
          <w:szCs w:val="20"/>
          <w:color w:val="auto"/>
        </w:rPr>
      </w:pPr>
    </w:p>
    <w:p>
      <w:pPr>
        <w:sectPr>
          <w:pgSz w:w="11880" w:h="15480" w:orient="portrait"/>
          <w:cols w:equalWidth="0" w:num="2">
            <w:col w:w="6460" w:space="140"/>
            <w:col w:w="3900"/>
          </w:cols>
          <w:pgMar w:left="640" w:top="819" w:right="740" w:bottom="0" w:gutter="0" w:footer="0" w:header="0"/>
        </w:sect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146</w:t>
      </w:r>
    </w:p>
    <w:p>
      <w:pPr>
        <w:sectPr>
          <w:pgSz w:w="11880" w:h="15480" w:orient="portrait"/>
          <w:cols w:equalWidth="0" w:num="1">
            <w:col w:w="10500"/>
          </w:cols>
          <w:pgMar w:left="640" w:top="819" w:right="740" w:bottom="0" w:gutter="0" w:footer="0" w:header="0"/>
          <w:type w:val="continuous"/>
        </w:sectPr>
      </w:pPr>
    </w:p>
    <w:bookmarkStart w:id="267" w:name="page268"/>
    <w:bookmarkEnd w:id="267"/>
    <w:tbl>
      <w:tblPr>
        <w:tblLayout w:type="fixed"/>
        <w:tblInd w:w="120" w:type="dxa"/>
        <w:tblCellMar>
          <w:top w:w="0" w:type="dxa"/>
          <w:left w:w="0" w:type="dxa"/>
          <w:bottom w:w="0" w:type="dxa"/>
          <w:right w:w="0" w:type="dxa"/>
        </w:tblCellMar>
      </w:tblPr>
      <w:tr>
        <w:trPr>
          <w:trHeight w:val="195"/>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6"/>
              </w:rPr>
              <w:t>32.2</w:t>
            </w:r>
          </w:p>
        </w:tc>
        <w:tc>
          <w:tcPr>
            <w:tcW w:w="5780" w:type="dxa"/>
            <w:vAlign w:val="bottom"/>
          </w:tcPr>
          <w:p>
            <w:pPr>
              <w:ind w:left="100"/>
              <w:spacing w:after="0"/>
              <w:rPr>
                <w:sz w:val="20"/>
                <w:szCs w:val="20"/>
                <w:color w:val="auto"/>
              </w:rPr>
            </w:pPr>
            <w:r>
              <w:rPr>
                <w:rFonts w:ascii="Arial" w:cs="Arial" w:eastAsia="Arial" w:hAnsi="Arial"/>
                <w:sz w:val="17"/>
                <w:szCs w:val="17"/>
                <w:color w:val="auto"/>
                <w:w w:val="97"/>
              </w:rPr>
              <w:t>Certification of Chief Financial Officer pursuant to 18 U.S.C. Section 1350, as</w:t>
            </w:r>
          </w:p>
        </w:tc>
        <w:tc>
          <w:tcPr>
            <w:tcW w:w="282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26"/>
        </w:trPr>
        <w:tc>
          <w:tcPr>
            <w:tcW w:w="760" w:type="dxa"/>
            <w:vAlign w:val="bottom"/>
          </w:tcPr>
          <w:p>
            <w:pPr>
              <w:spacing w:after="0"/>
              <w:rPr>
                <w:sz w:val="19"/>
                <w:szCs w:val="19"/>
                <w:color w:val="auto"/>
              </w:rPr>
            </w:pPr>
          </w:p>
        </w:tc>
        <w:tc>
          <w:tcPr>
            <w:tcW w:w="5780" w:type="dxa"/>
            <w:vAlign w:val="bottom"/>
          </w:tcPr>
          <w:p>
            <w:pPr>
              <w:ind w:left="100"/>
              <w:spacing w:after="0"/>
              <w:rPr>
                <w:sz w:val="20"/>
                <w:szCs w:val="20"/>
                <w:color w:val="auto"/>
              </w:rPr>
            </w:pPr>
            <w:r>
              <w:rPr>
                <w:rFonts w:ascii="Arial" w:cs="Arial" w:eastAsia="Arial" w:hAnsi="Arial"/>
                <w:sz w:val="17"/>
                <w:szCs w:val="17"/>
                <w:color w:val="auto"/>
              </w:rPr>
              <w:t>adopted pursuant to Section 906 of the Sarbanes-Oxley Act of 2002</w:t>
            </w:r>
          </w:p>
        </w:tc>
        <w:tc>
          <w:tcPr>
            <w:tcW w:w="2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9"/>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6"/>
              </w:rPr>
              <w:t>97.1</w:t>
            </w:r>
          </w:p>
        </w:tc>
        <w:tc>
          <w:tcPr>
            <w:tcW w:w="5780" w:type="dxa"/>
            <w:vAlign w:val="bottom"/>
          </w:tcPr>
          <w:p>
            <w:pPr>
              <w:ind w:left="100"/>
              <w:spacing w:after="0"/>
              <w:rPr>
                <w:sz w:val="20"/>
                <w:szCs w:val="20"/>
                <w:color w:val="auto"/>
              </w:rPr>
            </w:pPr>
            <w:r>
              <w:rPr>
                <w:rFonts w:ascii="Arial" w:cs="Arial" w:eastAsia="Arial" w:hAnsi="Arial"/>
                <w:sz w:val="17"/>
                <w:szCs w:val="17"/>
                <w:color w:val="auto"/>
              </w:rPr>
              <w:t>Lucid Group, Inc. Compensation Recoupment Policy</w:t>
            </w:r>
          </w:p>
        </w:tc>
        <w:tc>
          <w:tcPr>
            <w:tcW w:w="2820" w:type="dxa"/>
            <w:vAlign w:val="bottom"/>
          </w:tcPr>
          <w:p>
            <w:pPr>
              <w:jc w:val="right"/>
              <w:ind w:right="114"/>
              <w:spacing w:after="0"/>
              <w:rPr>
                <w:sz w:val="20"/>
                <w:szCs w:val="20"/>
                <w:color w:val="auto"/>
              </w:rPr>
            </w:pPr>
            <w:r>
              <w:rPr>
                <w:rFonts w:ascii="Arial" w:cs="Arial" w:eastAsia="Arial" w:hAnsi="Arial"/>
                <w:sz w:val="17"/>
                <w:szCs w:val="17"/>
                <w:color w:val="auto"/>
              </w:rPr>
              <w:t>10-K   001-39408   February 27,</w:t>
            </w:r>
          </w:p>
        </w:tc>
        <w:tc>
          <w:tcPr>
            <w:tcW w:w="1260" w:type="dxa"/>
            <w:vAlign w:val="bottom"/>
          </w:tcPr>
          <w:p>
            <w:pPr>
              <w:ind w:left="220"/>
              <w:spacing w:after="0"/>
              <w:rPr>
                <w:sz w:val="20"/>
                <w:szCs w:val="20"/>
                <w:color w:val="auto"/>
              </w:rPr>
            </w:pPr>
            <w:r>
              <w:rPr>
                <w:rFonts w:ascii="Arial" w:cs="Arial" w:eastAsia="Arial" w:hAnsi="Arial"/>
                <w:sz w:val="17"/>
                <w:szCs w:val="17"/>
                <w:color w:val="auto"/>
              </w:rPr>
              <w:t>97.1</w:t>
            </w:r>
          </w:p>
        </w:tc>
      </w:tr>
      <w:tr>
        <w:trPr>
          <w:trHeight w:val="226"/>
        </w:trPr>
        <w:tc>
          <w:tcPr>
            <w:tcW w:w="7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820" w:type="dxa"/>
            <w:vAlign w:val="bottom"/>
          </w:tcPr>
          <w:p>
            <w:pPr>
              <w:jc w:val="right"/>
              <w:ind w:right="374"/>
              <w:spacing w:after="0"/>
              <w:rPr>
                <w:sz w:val="20"/>
                <w:szCs w:val="20"/>
                <w:color w:val="auto"/>
              </w:rPr>
            </w:pPr>
            <w:r>
              <w:rPr>
                <w:rFonts w:ascii="Arial" w:cs="Arial" w:eastAsia="Arial" w:hAnsi="Arial"/>
                <w:sz w:val="17"/>
                <w:szCs w:val="17"/>
                <w:color w:val="auto"/>
              </w:rPr>
              <w:t>2024</w:t>
            </w:r>
          </w:p>
        </w:tc>
        <w:tc>
          <w:tcPr>
            <w:tcW w:w="1260" w:type="dxa"/>
            <w:vAlign w:val="bottom"/>
          </w:tcPr>
          <w:p>
            <w:pPr>
              <w:spacing w:after="0"/>
              <w:rPr>
                <w:sz w:val="19"/>
                <w:szCs w:val="19"/>
                <w:color w:val="auto"/>
              </w:rPr>
            </w:pPr>
          </w:p>
        </w:tc>
      </w:tr>
      <w:tr>
        <w:trPr>
          <w:trHeight w:val="249"/>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7"/>
              </w:rPr>
              <w:t>101.INS</w:t>
            </w:r>
          </w:p>
        </w:tc>
        <w:tc>
          <w:tcPr>
            <w:tcW w:w="5780" w:type="dxa"/>
            <w:vAlign w:val="bottom"/>
          </w:tcPr>
          <w:p>
            <w:pPr>
              <w:ind w:left="100"/>
              <w:spacing w:after="0"/>
              <w:rPr>
                <w:sz w:val="20"/>
                <w:szCs w:val="20"/>
                <w:color w:val="auto"/>
              </w:rPr>
            </w:pPr>
            <w:r>
              <w:rPr>
                <w:rFonts w:ascii="Arial" w:cs="Arial" w:eastAsia="Arial" w:hAnsi="Arial"/>
                <w:sz w:val="17"/>
                <w:szCs w:val="17"/>
                <w:color w:val="auto"/>
                <w:w w:val="94"/>
              </w:rPr>
              <w:t>Inline XBRL Instance Document (the instance document does not appear in the</w:t>
            </w:r>
          </w:p>
        </w:tc>
        <w:tc>
          <w:tcPr>
            <w:tcW w:w="282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73"/>
        </w:trPr>
        <w:tc>
          <w:tcPr>
            <w:tcW w:w="760" w:type="dxa"/>
            <w:vAlign w:val="bottom"/>
          </w:tcPr>
          <w:p>
            <w:pPr>
              <w:spacing w:after="0"/>
              <w:rPr>
                <w:sz w:val="15"/>
                <w:szCs w:val="15"/>
                <w:color w:val="auto"/>
              </w:rPr>
            </w:pPr>
          </w:p>
        </w:tc>
        <w:tc>
          <w:tcPr>
            <w:tcW w:w="5780" w:type="dxa"/>
            <w:vAlign w:val="bottom"/>
          </w:tcPr>
          <w:p>
            <w:pPr>
              <w:ind w:left="100"/>
              <w:spacing w:after="0" w:line="173" w:lineRule="exact"/>
              <w:rPr>
                <w:sz w:val="20"/>
                <w:szCs w:val="20"/>
                <w:color w:val="auto"/>
              </w:rPr>
            </w:pPr>
            <w:r>
              <w:rPr>
                <w:rFonts w:ascii="Arial" w:cs="Arial" w:eastAsia="Arial" w:hAnsi="Arial"/>
                <w:sz w:val="17"/>
                <w:szCs w:val="17"/>
                <w:color w:val="auto"/>
              </w:rPr>
              <w:t>Interactive Data File because its XBRL tags are embedded within the Inline</w:t>
            </w:r>
          </w:p>
        </w:tc>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6"/>
        </w:trPr>
        <w:tc>
          <w:tcPr>
            <w:tcW w:w="760" w:type="dxa"/>
            <w:vAlign w:val="bottom"/>
          </w:tcPr>
          <w:p>
            <w:pPr>
              <w:spacing w:after="0"/>
              <w:rPr>
                <w:sz w:val="19"/>
                <w:szCs w:val="19"/>
                <w:color w:val="auto"/>
              </w:rPr>
            </w:pPr>
          </w:p>
        </w:tc>
        <w:tc>
          <w:tcPr>
            <w:tcW w:w="5780" w:type="dxa"/>
            <w:vAlign w:val="bottom"/>
          </w:tcPr>
          <w:p>
            <w:pPr>
              <w:ind w:left="100"/>
              <w:spacing w:after="0"/>
              <w:rPr>
                <w:sz w:val="20"/>
                <w:szCs w:val="20"/>
                <w:color w:val="auto"/>
              </w:rPr>
            </w:pPr>
            <w:r>
              <w:rPr>
                <w:rFonts w:ascii="Arial" w:cs="Arial" w:eastAsia="Arial" w:hAnsi="Arial"/>
                <w:sz w:val="17"/>
                <w:szCs w:val="17"/>
                <w:color w:val="auto"/>
              </w:rPr>
              <w:t>XBRL document)</w:t>
            </w:r>
          </w:p>
        </w:tc>
        <w:tc>
          <w:tcPr>
            <w:tcW w:w="2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1"/>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2"/>
              </w:rPr>
              <w:t>101.SCH</w:t>
            </w:r>
          </w:p>
        </w:tc>
        <w:tc>
          <w:tcPr>
            <w:tcW w:w="5780" w:type="dxa"/>
            <w:vAlign w:val="bottom"/>
          </w:tcPr>
          <w:p>
            <w:pPr>
              <w:ind w:left="100"/>
              <w:spacing w:after="0"/>
              <w:rPr>
                <w:sz w:val="20"/>
                <w:szCs w:val="20"/>
                <w:color w:val="auto"/>
              </w:rPr>
            </w:pPr>
            <w:r>
              <w:rPr>
                <w:rFonts w:ascii="Arial" w:cs="Arial" w:eastAsia="Arial" w:hAnsi="Arial"/>
                <w:sz w:val="17"/>
                <w:szCs w:val="17"/>
                <w:color w:val="auto"/>
              </w:rPr>
              <w:t>Inline XBRL Taxonomy Schema Linkbase Document</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360"/>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6"/>
              </w:rPr>
              <w:t>101.CAL</w:t>
            </w:r>
          </w:p>
        </w:tc>
        <w:tc>
          <w:tcPr>
            <w:tcW w:w="5780" w:type="dxa"/>
            <w:vAlign w:val="bottom"/>
          </w:tcPr>
          <w:p>
            <w:pPr>
              <w:ind w:left="100"/>
              <w:spacing w:after="0"/>
              <w:rPr>
                <w:sz w:val="20"/>
                <w:szCs w:val="20"/>
                <w:color w:val="auto"/>
              </w:rPr>
            </w:pPr>
            <w:r>
              <w:rPr>
                <w:rFonts w:ascii="Arial" w:cs="Arial" w:eastAsia="Arial" w:hAnsi="Arial"/>
                <w:sz w:val="17"/>
                <w:szCs w:val="17"/>
                <w:color w:val="auto"/>
              </w:rPr>
              <w:t>Inline XBRL Taxonomy Calculation Linkbase Document</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360"/>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5"/>
              </w:rPr>
              <w:t>101.DEF</w:t>
            </w:r>
          </w:p>
        </w:tc>
        <w:tc>
          <w:tcPr>
            <w:tcW w:w="5780" w:type="dxa"/>
            <w:vAlign w:val="bottom"/>
          </w:tcPr>
          <w:p>
            <w:pPr>
              <w:ind w:left="100"/>
              <w:spacing w:after="0"/>
              <w:rPr>
                <w:sz w:val="20"/>
                <w:szCs w:val="20"/>
                <w:color w:val="auto"/>
              </w:rPr>
            </w:pPr>
            <w:r>
              <w:rPr>
                <w:rFonts w:ascii="Arial" w:cs="Arial" w:eastAsia="Arial" w:hAnsi="Arial"/>
                <w:sz w:val="17"/>
                <w:szCs w:val="17"/>
                <w:color w:val="auto"/>
              </w:rPr>
              <w:t>Inline XBRL Taxonomy Definition Linkbase Document</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360"/>
        </w:trPr>
        <w:tc>
          <w:tcPr>
            <w:tcW w:w="760" w:type="dxa"/>
            <w:vAlign w:val="bottom"/>
          </w:tcPr>
          <w:p>
            <w:pPr>
              <w:jc w:val="center"/>
              <w:ind w:right="34"/>
              <w:spacing w:after="0"/>
              <w:rPr>
                <w:sz w:val="20"/>
                <w:szCs w:val="20"/>
                <w:color w:val="auto"/>
              </w:rPr>
            </w:pPr>
            <w:r>
              <w:rPr>
                <w:rFonts w:ascii="Arial" w:cs="Arial" w:eastAsia="Arial" w:hAnsi="Arial"/>
                <w:sz w:val="17"/>
                <w:szCs w:val="17"/>
                <w:color w:val="auto"/>
                <w:w w:val="98"/>
              </w:rPr>
              <w:t>101.LAB</w:t>
            </w:r>
          </w:p>
        </w:tc>
        <w:tc>
          <w:tcPr>
            <w:tcW w:w="5780" w:type="dxa"/>
            <w:vAlign w:val="bottom"/>
          </w:tcPr>
          <w:p>
            <w:pPr>
              <w:ind w:left="100"/>
              <w:spacing w:after="0"/>
              <w:rPr>
                <w:sz w:val="20"/>
                <w:szCs w:val="20"/>
                <w:color w:val="auto"/>
              </w:rPr>
            </w:pPr>
            <w:r>
              <w:rPr>
                <w:rFonts w:ascii="Arial" w:cs="Arial" w:eastAsia="Arial" w:hAnsi="Arial"/>
                <w:sz w:val="17"/>
                <w:szCs w:val="17"/>
                <w:color w:val="auto"/>
              </w:rPr>
              <w:t>Inline XBRL Taxonomy Labels Linkbase Document</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360"/>
        </w:trPr>
        <w:tc>
          <w:tcPr>
            <w:tcW w:w="760" w:type="dxa"/>
            <w:vAlign w:val="bottom"/>
          </w:tcPr>
          <w:p>
            <w:pPr>
              <w:jc w:val="center"/>
              <w:ind w:right="54"/>
              <w:spacing w:after="0"/>
              <w:rPr>
                <w:sz w:val="20"/>
                <w:szCs w:val="20"/>
                <w:color w:val="auto"/>
              </w:rPr>
            </w:pPr>
            <w:r>
              <w:rPr>
                <w:rFonts w:ascii="Arial" w:cs="Arial" w:eastAsia="Arial" w:hAnsi="Arial"/>
                <w:sz w:val="17"/>
                <w:szCs w:val="17"/>
                <w:color w:val="auto"/>
                <w:w w:val="91"/>
              </w:rPr>
              <w:t>101.PRE</w:t>
            </w:r>
          </w:p>
        </w:tc>
        <w:tc>
          <w:tcPr>
            <w:tcW w:w="5780" w:type="dxa"/>
            <w:vAlign w:val="bottom"/>
          </w:tcPr>
          <w:p>
            <w:pPr>
              <w:ind w:left="100"/>
              <w:spacing w:after="0"/>
              <w:rPr>
                <w:sz w:val="20"/>
                <w:szCs w:val="20"/>
                <w:color w:val="auto"/>
              </w:rPr>
            </w:pPr>
            <w:r>
              <w:rPr>
                <w:rFonts w:ascii="Arial" w:cs="Arial" w:eastAsia="Arial" w:hAnsi="Arial"/>
                <w:sz w:val="17"/>
                <w:szCs w:val="17"/>
                <w:color w:val="auto"/>
              </w:rPr>
              <w:t>Inline XBRL Taxonomy Presentation Linkbase Document</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308"/>
        </w:trPr>
        <w:tc>
          <w:tcPr>
            <w:tcW w:w="760" w:type="dxa"/>
            <w:vAlign w:val="bottom"/>
          </w:tcPr>
          <w:p>
            <w:pPr>
              <w:jc w:val="center"/>
              <w:ind w:right="54"/>
              <w:spacing w:after="0"/>
              <w:rPr>
                <w:sz w:val="20"/>
                <w:szCs w:val="20"/>
                <w:color w:val="auto"/>
              </w:rPr>
            </w:pPr>
            <w:r>
              <w:rPr>
                <w:rFonts w:ascii="Arial" w:cs="Arial" w:eastAsia="Arial" w:hAnsi="Arial"/>
                <w:sz w:val="17"/>
                <w:szCs w:val="17"/>
                <w:color w:val="auto"/>
                <w:w w:val="91"/>
              </w:rPr>
              <w:t>104</w:t>
            </w:r>
          </w:p>
        </w:tc>
        <w:tc>
          <w:tcPr>
            <w:tcW w:w="5780" w:type="dxa"/>
            <w:vAlign w:val="bottom"/>
          </w:tcPr>
          <w:p>
            <w:pPr>
              <w:ind w:left="100"/>
              <w:spacing w:after="0"/>
              <w:rPr>
                <w:sz w:val="20"/>
                <w:szCs w:val="20"/>
                <w:color w:val="auto"/>
              </w:rPr>
            </w:pPr>
            <w:r>
              <w:rPr>
                <w:rFonts w:ascii="Arial" w:cs="Arial" w:eastAsia="Arial" w:hAnsi="Arial"/>
                <w:sz w:val="17"/>
                <w:szCs w:val="17"/>
                <w:color w:val="auto"/>
                <w:w w:val="98"/>
              </w:rPr>
              <w:t>Cover Page Interactive Data File (formatted as inline XBRL and contained in</w:t>
            </w:r>
          </w:p>
        </w:tc>
        <w:tc>
          <w:tcPr>
            <w:tcW w:w="282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26"/>
        </w:trPr>
        <w:tc>
          <w:tcPr>
            <w:tcW w:w="760" w:type="dxa"/>
            <w:vAlign w:val="bottom"/>
          </w:tcPr>
          <w:p>
            <w:pPr>
              <w:spacing w:after="0"/>
              <w:rPr>
                <w:sz w:val="19"/>
                <w:szCs w:val="19"/>
                <w:color w:val="auto"/>
              </w:rPr>
            </w:pPr>
          </w:p>
        </w:tc>
        <w:tc>
          <w:tcPr>
            <w:tcW w:w="5780" w:type="dxa"/>
            <w:vAlign w:val="bottom"/>
          </w:tcPr>
          <w:p>
            <w:pPr>
              <w:ind w:left="100"/>
              <w:spacing w:after="0"/>
              <w:rPr>
                <w:sz w:val="20"/>
                <w:szCs w:val="20"/>
                <w:color w:val="auto"/>
              </w:rPr>
            </w:pPr>
            <w:r>
              <w:rPr>
                <w:rFonts w:ascii="Arial" w:cs="Arial" w:eastAsia="Arial" w:hAnsi="Arial"/>
                <w:sz w:val="17"/>
                <w:szCs w:val="17"/>
                <w:color w:val="auto"/>
              </w:rPr>
              <w:t>Exhibit 101)</w:t>
            </w:r>
          </w:p>
        </w:tc>
        <w:tc>
          <w:tcPr>
            <w:tcW w:w="282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15" w:lineRule="exact"/>
        <w:rPr>
          <w:sz w:val="20"/>
          <w:szCs w:val="20"/>
          <w:color w:val="auto"/>
        </w:rPr>
      </w:pPr>
    </w:p>
    <w:p>
      <w:pPr>
        <w:ind w:left="700" w:hanging="693"/>
        <w:spacing w:after="0"/>
        <w:tabs>
          <w:tab w:leader="none" w:pos="7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Indicates management contract or compensatory plan</w:t>
      </w:r>
    </w:p>
    <w:p>
      <w:pPr>
        <w:spacing w:after="0" w:line="70" w:lineRule="exact"/>
        <w:rPr>
          <w:sz w:val="20"/>
          <w:szCs w:val="20"/>
          <w:color w:val="auto"/>
        </w:rPr>
      </w:pPr>
    </w:p>
    <w:p>
      <w:pPr>
        <w:ind w:left="700" w:hanging="693"/>
        <w:spacing w:after="0"/>
        <w:tabs>
          <w:tab w:leader="none" w:pos="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Portions of this exhibit have been redacted in compliance with Regulation S-K Item 601(b)(10)(iv).</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10740"/>
          </w:cols>
          <w:pgMar w:left="400" w:top="79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147</w:t>
      </w:r>
    </w:p>
    <w:p>
      <w:pPr>
        <w:sectPr>
          <w:pgSz w:w="11880" w:h="15480" w:orient="portrait"/>
          <w:cols w:equalWidth="0" w:num="1">
            <w:col w:w="10740"/>
          </w:cols>
          <w:pgMar w:left="400" w:top="798" w:right="740" w:bottom="0" w:gutter="0" w:footer="0" w:header="0"/>
          <w:type w:val="continuous"/>
        </w:sectPr>
      </w:pPr>
    </w:p>
    <w:bookmarkStart w:id="268" w:name="page269"/>
    <w:bookmarkEnd w:id="268"/>
    <w:p>
      <w:pPr>
        <w:jc w:val="center"/>
        <w:spacing w:after="0"/>
        <w:rPr>
          <w:sz w:val="20"/>
          <w:szCs w:val="20"/>
          <w:color w:val="auto"/>
        </w:rPr>
      </w:pPr>
      <w:r>
        <w:rPr>
          <w:rFonts w:ascii="Arial" w:cs="Arial" w:eastAsia="Arial" w:hAnsi="Arial"/>
          <w:sz w:val="19"/>
          <w:szCs w:val="19"/>
          <w:b w:val="1"/>
          <w:bCs w:val="1"/>
          <w:color w:val="auto"/>
        </w:rPr>
        <w:t>SIGNATURES</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9"/>
          <w:szCs w:val="19"/>
          <w:b w:val="1"/>
          <w:bCs w:val="1"/>
          <w:color w:val="auto"/>
        </w:rPr>
        <w:t>LUCID GROUP, INC.</w:t>
      </w:r>
    </w:p>
    <w:p>
      <w:pPr>
        <w:spacing w:after="0" w:line="333" w:lineRule="exact"/>
        <w:rPr>
          <w:sz w:val="20"/>
          <w:szCs w:val="20"/>
          <w:color w:val="auto"/>
        </w:rPr>
      </w:pPr>
    </w:p>
    <w:p>
      <w:pPr>
        <w:ind w:left="60"/>
        <w:spacing w:after="0"/>
        <w:tabs>
          <w:tab w:leader="none" w:pos="4600" w:val="left"/>
        </w:tabs>
        <w:rPr>
          <w:sz w:val="20"/>
          <w:szCs w:val="20"/>
          <w:color w:val="auto"/>
        </w:rPr>
      </w:pPr>
      <w:r>
        <w:rPr>
          <w:rFonts w:ascii="Arial" w:cs="Arial" w:eastAsia="Arial" w:hAnsi="Arial"/>
          <w:sz w:val="19"/>
          <w:szCs w:val="19"/>
          <w:color w:val="auto"/>
        </w:rPr>
        <w:t>Date: February 25, 2025</w:t>
      </w:r>
      <w:r>
        <w:rPr>
          <w:sz w:val="20"/>
          <w:szCs w:val="20"/>
          <w:color w:val="auto"/>
        </w:rPr>
        <w:tab/>
      </w:r>
      <w:r>
        <w:rPr>
          <w:rFonts w:ascii="Arial" w:cs="Arial" w:eastAsia="Arial" w:hAnsi="Arial"/>
          <w:sz w:val="18"/>
          <w:szCs w:val="18"/>
          <w:color w:val="auto"/>
        </w:rPr>
        <w:t>By: /s/ Gagan Dhingra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3142615</wp:posOffset>
                </wp:positionH>
                <wp:positionV relativeFrom="paragraph">
                  <wp:posOffset>28575</wp:posOffset>
                </wp:positionV>
                <wp:extent cx="324802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025" cy="4763"/>
                        </a:xfrm>
                        <a:prstGeom prst="line">
                          <a:avLst/>
                        </a:prstGeom>
                        <a:solidFill>
                          <a:srgbClr val="FFFFFF"/>
                        </a:solidFill>
                        <a:ln w="12204">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45pt,2.25pt" to="503.2pt,2.25pt" o:allowincell="f" strokecolor="#000000" strokeweight="0.9609pt"/>
            </w:pict>
          </mc:Fallback>
        </mc:AlternateContent>
      </w:r>
    </w:p>
    <w:p>
      <w:pPr>
        <w:spacing w:after="0" w:line="35"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Gagan Dhingra</w:t>
      </w:r>
    </w:p>
    <w:p>
      <w:pPr>
        <w:spacing w:after="0" w:line="55"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Interim Chief Financial Officer</w:t>
      </w:r>
    </w:p>
    <w:p>
      <w:pPr>
        <w:spacing w:after="0" w:line="311"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Marc Winterhoff</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Marc Winterhoff</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Interim Chief Executive Officer (Principal Executive Officer)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Gagan Dhingra</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Gagan Dhingra</w:t>
            </w:r>
          </w:p>
        </w:tc>
      </w:tr>
      <w:tr>
        <w:trPr>
          <w:trHeight w:val="197"/>
        </w:trPr>
        <w:tc>
          <w:tcPr>
            <w:tcW w:w="3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120" w:type="dxa"/>
            <w:vAlign w:val="bottom"/>
          </w:tcPr>
          <w:p>
            <w:pPr>
              <w:ind w:left="60"/>
              <w:spacing w:after="0" w:line="196" w:lineRule="exact"/>
              <w:rPr>
                <w:sz w:val="20"/>
                <w:szCs w:val="20"/>
                <w:color w:val="auto"/>
              </w:rPr>
            </w:pPr>
            <w:r>
              <w:rPr>
                <w:rFonts w:ascii="Arial" w:cs="Arial" w:eastAsia="Arial" w:hAnsi="Arial"/>
                <w:sz w:val="19"/>
                <w:szCs w:val="19"/>
                <w:color w:val="auto"/>
                <w:w w:val="98"/>
              </w:rPr>
              <w:t>Interim Chief Financial Officer (Principal Financial Officer and</w:t>
            </w:r>
          </w:p>
        </w:tc>
      </w:tr>
      <w:tr>
        <w:trPr>
          <w:trHeight w:val="251"/>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Principal Accounting Officer)</w:t>
            </w:r>
          </w:p>
        </w:tc>
      </w:tr>
      <w:tr>
        <w:trPr>
          <w:trHeight w:val="601"/>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Turqi Alnowaiser</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Turqi Alnowaiser</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Lisa M. Lambert</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Lisa M. Lambert</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Andrew Liveris</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Andrew Liveris</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Sherif Marakby</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Sherif Marakby</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Nichelle Maynard-Elliott</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Nichelle Maynard-Elliott</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Chabi Nouri</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Chabi Nouri</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r>
        <w:trPr>
          <w:trHeight w:val="602"/>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Ori Winitzer</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Ori Winitzer</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bl>
    <w:p>
      <w:pPr>
        <w:spacing w:after="0" w:line="200" w:lineRule="exact"/>
        <w:rPr>
          <w:sz w:val="20"/>
          <w:szCs w:val="20"/>
          <w:color w:val="auto"/>
        </w:rPr>
      </w:pPr>
    </w:p>
    <w:p>
      <w:pPr>
        <w:sectPr>
          <w:pgSz w:w="11880" w:h="15480" w:orient="portrait"/>
          <w:cols w:equalWidth="0" w:num="1">
            <w:col w:w="11080"/>
          </w:cols>
          <w:pgMar w:left="400" w:top="756" w:right="400" w:bottom="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880" w:h="15480" w:orient="portrait"/>
          <w:cols w:equalWidth="0" w:num="1">
            <w:col w:w="11080"/>
          </w:cols>
          <w:pgMar w:left="400" w:top="756" w:right="400" w:bottom="0" w:gutter="0" w:footer="0" w:header="0"/>
          <w:type w:val="continuous"/>
        </w:sectPr>
      </w:pPr>
    </w:p>
    <w:bookmarkStart w:id="269" w:name="page270"/>
    <w:bookmarkEnd w:id="269"/>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0"/>
                <w:szCs w:val="20"/>
                <w:color w:val="auto"/>
              </w:rPr>
            </w:pPr>
            <w:r>
              <w:rPr>
                <w:rFonts w:ascii="Arial" w:cs="Arial" w:eastAsia="Arial" w:hAnsi="Arial"/>
                <w:sz w:val="19"/>
                <w:szCs w:val="19"/>
                <w:color w:val="auto"/>
              </w:rPr>
              <w:t>Date: February 25, 2025</w:t>
            </w:r>
          </w:p>
        </w:tc>
        <w:tc>
          <w:tcPr>
            <w:tcW w:w="6780" w:type="dxa"/>
            <w:vAlign w:val="bottom"/>
            <w:gridSpan w:val="2"/>
          </w:tcPr>
          <w:p>
            <w:pPr>
              <w:ind w:left="1340"/>
              <w:spacing w:after="0"/>
              <w:rPr>
                <w:sz w:val="20"/>
                <w:szCs w:val="20"/>
                <w:color w:val="auto"/>
              </w:rPr>
            </w:pPr>
            <w:r>
              <w:rPr>
                <w:rFonts w:ascii="Arial" w:cs="Arial" w:eastAsia="Arial" w:hAnsi="Arial"/>
                <w:sz w:val="19"/>
                <w:szCs w:val="19"/>
                <w:color w:val="auto"/>
              </w:rPr>
              <w:t>By:  /s/ Janet S. Wong</w:t>
            </w:r>
          </w:p>
        </w:tc>
      </w:tr>
      <w:tr>
        <w:trPr>
          <w:trHeight w:val="252"/>
        </w:trPr>
        <w:tc>
          <w:tcPr>
            <w:tcW w:w="3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2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Janet S. Wong</w:t>
            </w:r>
          </w:p>
        </w:tc>
      </w:tr>
      <w:tr>
        <w:trPr>
          <w:trHeight w:val="274"/>
        </w:trPr>
        <w:tc>
          <w:tcPr>
            <w:tcW w:w="3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120" w:type="dxa"/>
            <w:vAlign w:val="bottom"/>
          </w:tcPr>
          <w:p>
            <w:pPr>
              <w:ind w:left="60"/>
              <w:spacing w:after="0"/>
              <w:rPr>
                <w:sz w:val="20"/>
                <w:szCs w:val="20"/>
                <w:color w:val="auto"/>
              </w:rPr>
            </w:pPr>
            <w:r>
              <w:rPr>
                <w:rFonts w:ascii="Arial" w:cs="Arial" w:eastAsia="Arial" w:hAnsi="Arial"/>
                <w:sz w:val="19"/>
                <w:szCs w:val="19"/>
                <w:color w:val="auto"/>
              </w:rPr>
              <w:t>Director</w:t>
            </w:r>
          </w:p>
        </w:tc>
      </w:tr>
    </w:tbl>
    <w:p>
      <w:pPr>
        <w:spacing w:after="0" w:line="200" w:lineRule="exact"/>
        <w:rPr>
          <w:sz w:val="20"/>
          <w:szCs w:val="20"/>
          <w:color w:val="auto"/>
        </w:rPr>
      </w:pPr>
    </w:p>
    <w:p>
      <w:pPr>
        <w:sectPr>
          <w:pgSz w:w="11880" w:h="15480" w:orient="portrait"/>
          <w:cols w:equalWidth="0" w:num="1">
            <w:col w:w="10000"/>
          </w:cols>
          <w:pgMar w:left="460" w:top="833"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149</w:t>
      </w:r>
    </w:p>
    <w:sectPr>
      <w:pgSz w:w="11880" w:h="15480" w:orient="portrait"/>
      <w:cols w:equalWidth="0" w:num="1">
        <w:col w:w="10000"/>
      </w:cols>
      <w:pgMar w:left="460" w:top="833" w:right="142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 "/>
      <w:numFmt w:val="bullet"/>
      <w:start w:val="1"/>
    </w:lvl>
  </w:abstractNum>
  <w:abstractNum w:abstractNumId="2">
    <w:nsid w:val="14E17E33"/>
    <w:multiLevelType w:val="hybridMultilevel"/>
    <w:lvl w:ilvl="0">
      <w:lvlJc w:val="left"/>
      <w:lvlText w:val=" "/>
      <w:numFmt w:val="bullet"/>
      <w:start w:val="1"/>
    </w:lvl>
  </w:abstractNum>
  <w:abstractNum w:abstractNumId="3">
    <w:nsid w:val="3222E7CD"/>
    <w:multiLevelType w:val="hybridMultilevel"/>
    <w:lvl w:ilvl="0">
      <w:lvlJc w:val="left"/>
      <w:lvlText w:val=" "/>
      <w:numFmt w:val="bullet"/>
      <w:start w:val="1"/>
    </w:lvl>
  </w:abstractNum>
  <w:abstractNum w:abstractNumId="4">
    <w:nsid w:val="74DE0EE3"/>
    <w:multiLevelType w:val="hybridMultilevel"/>
    <w:lvl w:ilvl="0">
      <w:lvlJc w:val="left"/>
      <w:lvlText w:val=" "/>
      <w:numFmt w:val="bullet"/>
      <w:start w:val="1"/>
    </w:lvl>
  </w:abstractNum>
  <w:abstractNum w:abstractNumId="5">
    <w:nsid w:val="68EBC550"/>
    <w:multiLevelType w:val="hybridMultilevel"/>
    <w:lvl w:ilvl="0">
      <w:lvlJc w:val="left"/>
      <w:lvlText w:val=" "/>
      <w:numFmt w:val="bullet"/>
      <w:start w:val="1"/>
    </w:lvl>
  </w:abstractNum>
  <w:abstractNum w:abstractNumId="6">
    <w:nsid w:val="2DF6D648"/>
    <w:multiLevelType w:val="hybridMultilevel"/>
    <w:lvl w:ilvl="0">
      <w:lvlJc w:val="left"/>
      <w:lvlText w:val=" "/>
      <w:numFmt w:val="bullet"/>
      <w:start w:val="1"/>
    </w:lvl>
  </w:abstractNum>
  <w:abstractNum w:abstractNumId="7">
    <w:nsid w:val="46B7D447"/>
    <w:multiLevelType w:val="hybridMultilevel"/>
    <w:lvl w:ilvl="0">
      <w:lvlJc w:val="left"/>
      <w:lvlText w:val=" "/>
      <w:numFmt w:val="bullet"/>
      <w:start w:val="1"/>
    </w:lvl>
  </w:abstractNum>
  <w:abstractNum w:abstractNumId="8">
    <w:nsid w:val="4A2AC315"/>
    <w:multiLevelType w:val="hybridMultilevel"/>
    <w:lvl w:ilvl="0">
      <w:lvlJc w:val="left"/>
      <w:lvlText w:val=" "/>
      <w:numFmt w:val="bullet"/>
      <w:start w:val="1"/>
    </w:lvl>
  </w:abstractNum>
  <w:abstractNum w:abstractNumId="9">
    <w:nsid w:val="39EE015C"/>
    <w:multiLevelType w:val="hybridMultilevel"/>
    <w:lvl w:ilvl="0">
      <w:lvlJc w:val="left"/>
      <w:lvlText w:val=" "/>
      <w:numFmt w:val="bullet"/>
      <w:start w:val="1"/>
    </w:lvl>
  </w:abstractNum>
  <w:abstractNum w:abstractNumId="10">
    <w:nsid w:val="57FC4FBB"/>
    <w:multiLevelType w:val="hybridMultilevel"/>
    <w:lvl w:ilvl="0">
      <w:lvlJc w:val="left"/>
      <w:lvlText w:val="(%1)"/>
      <w:numFmt w:val="decimal"/>
      <w:start w:val="1"/>
    </w:lvl>
  </w:abstractNum>
  <w:abstractNum w:abstractNumId="11">
    <w:nsid w:val="CC1016F"/>
    <w:multiLevelType w:val="hybridMultilevel"/>
    <w:lvl w:ilvl="0">
      <w:lvlJc w:val="left"/>
      <w:lvlText w:val="(%1)"/>
      <w:numFmt w:val="decimal"/>
      <w:start w:val="1"/>
    </w:lvl>
  </w:abstractNum>
  <w:abstractNum w:abstractNumId="12">
    <w:nsid w:val="43F18422"/>
    <w:multiLevelType w:val="hybridMultilevel"/>
    <w:lvl w:ilvl="0">
      <w:lvlJc w:val="left"/>
      <w:lvlText w:val="(%1)"/>
      <w:numFmt w:val="decimal"/>
      <w:start w:val="1"/>
    </w:lvl>
  </w:abstractNum>
  <w:abstractNum w:abstractNumId="13">
    <w:nsid w:val="60EF0119"/>
    <w:multiLevelType w:val="hybridMultilevel"/>
    <w:lvl w:ilvl="0">
      <w:lvlJc w:val="left"/>
      <w:lvlText w:val="(%1)"/>
      <w:numFmt w:val="decimal"/>
      <w:start w:val="1"/>
    </w:lvl>
  </w:abstractNum>
  <w:abstractNum w:abstractNumId="14">
    <w:nsid w:val="26F324BA"/>
    <w:multiLevelType w:val="hybridMultilevel"/>
    <w:lvl w:ilvl="0">
      <w:lvlJc w:val="left"/>
      <w:lvlText w:val="(%1)"/>
      <w:numFmt w:val="decimal"/>
      <w:start w:val="1"/>
    </w:lvl>
  </w:abstractNum>
  <w:abstractNum w:abstractNumId="15">
    <w:nsid w:val="7F01579B"/>
    <w:multiLevelType w:val="hybridMultilevel"/>
    <w:lvl w:ilvl="0">
      <w:lvlJc w:val="left"/>
      <w:lvlText w:val=" "/>
      <w:numFmt w:val="bullet"/>
      <w:start w:val="1"/>
    </w:lvl>
  </w:abstractNum>
  <w:abstractNum w:abstractNumId="16">
    <w:nsid w:val="49DA307D"/>
    <w:multiLevelType w:val="hybridMultilevel"/>
    <w:lvl w:ilvl="0">
      <w:lvlJc w:val="left"/>
      <w:lvlText w:val=" "/>
      <w:numFmt w:val="bullet"/>
      <w:start w:val="1"/>
    </w:lvl>
  </w:abstractNum>
  <w:abstractNum w:abstractNumId="17">
    <w:nsid w:val="7055A5F5"/>
    <w:multiLevelType w:val="hybridMultilevel"/>
    <w:lvl w:ilvl="0">
      <w:lvlJc w:val="left"/>
      <w:lvlText w:val="(%1)"/>
      <w:numFmt w:val="decimal"/>
      <w:start w:val="1"/>
    </w:lvl>
  </w:abstractNum>
  <w:abstractNum w:abstractNumId="18">
    <w:nsid w:val="5FB8370B"/>
    <w:multiLevelType w:val="hybridMultilevel"/>
    <w:lvl w:ilvl="0">
      <w:lvlJc w:val="left"/>
      <w:lvlText w:val=" "/>
      <w:numFmt w:val="bullet"/>
      <w:start w:val="1"/>
    </w:lvl>
  </w:abstractNum>
  <w:abstractNum w:abstractNumId="19">
    <w:nsid w:val="50801EE1"/>
    <w:multiLevelType w:val="hybridMultilevel"/>
    <w:lvl w:ilvl="0">
      <w:lvlJc w:val="left"/>
      <w:lvlText w:val="(%1)"/>
      <w:numFmt w:val="lowerRoman"/>
      <w:start w:val="2"/>
    </w:lvl>
  </w:abstractNum>
  <w:abstractNum w:abstractNumId="20">
    <w:nsid w:val="488AC1A"/>
    <w:multiLevelType w:val="hybridMultilevel"/>
    <w:lvl w:ilvl="0">
      <w:lvlJc w:val="left"/>
      <w:lvlText w:val=" "/>
      <w:numFmt w:val="bullet"/>
      <w:start w:val="1"/>
    </w:lvl>
  </w:abstractNum>
  <w:abstractNum w:abstractNumId="21">
    <w:nsid w:val="5FB8011C"/>
    <w:multiLevelType w:val="hybridMultilevel"/>
    <w:lvl w:ilvl="0">
      <w:lvlJc w:val="left"/>
      <w:lvlText w:val=" "/>
      <w:numFmt w:val="bullet"/>
      <w:start w:val="1"/>
    </w:lvl>
  </w:abstractNum>
  <w:abstractNum w:abstractNumId="22">
    <w:nsid w:val="6AA78F7F"/>
    <w:multiLevelType w:val="hybridMultilevel"/>
    <w:lvl w:ilvl="0">
      <w:lvlJc w:val="left"/>
      <w:lvlText w:val=" "/>
      <w:numFmt w:val="bullet"/>
      <w:start w:val="1"/>
    </w:lvl>
  </w:abstractNum>
  <w:abstractNum w:abstractNumId="23">
    <w:nsid w:val="7672BD23"/>
    <w:multiLevelType w:val="hybridMultilevel"/>
    <w:lvl w:ilvl="0">
      <w:lvlJc w:val="left"/>
      <w:lvlText w:val=" "/>
      <w:numFmt w:val="bullet"/>
      <w:start w:val="1"/>
    </w:lvl>
  </w:abstractNum>
  <w:abstractNum w:abstractNumId="24">
    <w:nsid w:val="6FC75AF8"/>
    <w:multiLevelType w:val="hybridMultilevel"/>
    <w:lvl w:ilvl="0">
      <w:lvlJc w:val="left"/>
      <w:lvlText w:val=" "/>
      <w:numFmt w:val="bullet"/>
      <w:start w:val="1"/>
    </w:lvl>
  </w:abstractNum>
  <w:abstractNum w:abstractNumId="25">
    <w:nsid w:val="6A5F7029"/>
    <w:multiLevelType w:val="hybridMultilevel"/>
    <w:lvl w:ilvl="0">
      <w:lvlJc w:val="left"/>
      <w:lvlText w:val=" "/>
      <w:numFmt w:val="bullet"/>
      <w:start w:val="1"/>
    </w:lvl>
  </w:abstractNum>
  <w:abstractNum w:abstractNumId="26">
    <w:nsid w:val="7D5E18F8"/>
    <w:multiLevelType w:val="hybridMultilevel"/>
    <w:lvl w:ilvl="0">
      <w:lvlJc w:val="left"/>
      <w:lvlText w:val=" "/>
      <w:numFmt w:val="bullet"/>
      <w:start w:val="1"/>
    </w:lvl>
  </w:abstractNum>
  <w:abstractNum w:abstractNumId="27">
    <w:nsid w:val="5F3534A4"/>
    <w:multiLevelType w:val="hybridMultilevel"/>
    <w:lvl w:ilvl="0">
      <w:lvlJc w:val="left"/>
      <w:lvlText w:val="(%1)"/>
      <w:numFmt w:val="decimal"/>
      <w:start w:val="1"/>
    </w:lvl>
  </w:abstractNum>
  <w:abstractNum w:abstractNumId="28">
    <w:nsid w:val="73A1821B"/>
    <w:multiLevelType w:val="hybridMultilevel"/>
    <w:lvl w:ilvl="0">
      <w:lvlJc w:val="left"/>
      <w:lvlText w:val=" "/>
      <w:numFmt w:val="bullet"/>
      <w:start w:val="1"/>
    </w:lvl>
  </w:abstractNum>
  <w:abstractNum w:abstractNumId="29">
    <w:nsid w:val="7DE67713"/>
    <w:multiLevelType w:val="hybridMultilevel"/>
    <w:lvl w:ilvl="0">
      <w:lvlJc w:val="left"/>
      <w:lvlText w:val="(%1)"/>
      <w:numFmt w:val="lowerRoman"/>
      <w:start w:val="2"/>
    </w:lvl>
  </w:abstractNum>
  <w:abstractNum w:abstractNumId="30">
    <w:nsid w:val="555C55B5"/>
    <w:multiLevelType w:val="hybridMultilevel"/>
    <w:lvl w:ilvl="0">
      <w:lvlJc w:val="left"/>
      <w:lvlText w:val="(%1)"/>
      <w:numFmt w:val="decimal"/>
      <w:start w:val="1"/>
    </w:lvl>
  </w:abstractNum>
  <w:abstractNum w:abstractNumId="31">
    <w:nsid w:val="3FA62ACA"/>
    <w:multiLevelType w:val="hybridMultilevel"/>
    <w:lvl w:ilvl="0">
      <w:lvlJc w:val="left"/>
      <w:lvlText w:val="(%1)"/>
      <w:numFmt w:val="decimal"/>
      <w:start w:val="1"/>
    </w:lvl>
  </w:abstractNum>
  <w:abstractNum w:abstractNumId="32">
    <w:nsid w:val="14FCE74E"/>
    <w:multiLevelType w:val="hybridMultilevel"/>
    <w:lvl w:ilvl="0">
      <w:lvlJc w:val="left"/>
      <w:lvlText w:val="(%1)"/>
      <w:numFmt w:val="decimal"/>
      <w:start w:val="1"/>
    </w:lvl>
  </w:abstractNum>
  <w:abstractNum w:abstractNumId="33">
    <w:nsid w:val="6A3DD3E8"/>
    <w:multiLevelType w:val="hybridMultilevel"/>
    <w:lvl w:ilvl="0">
      <w:lvlJc w:val="left"/>
      <w:lvlText w:val="(%1)"/>
      <w:numFmt w:val="decimal"/>
      <w:start w:val="1"/>
    </w:lvl>
  </w:abstractNum>
  <w:abstractNum w:abstractNumId="34">
    <w:nsid w:val="71C91298"/>
    <w:multiLevelType w:val="hybridMultilevel"/>
    <w:lvl w:ilvl="0">
      <w:lvlJc w:val="left"/>
      <w:lvlText w:val="(%1)"/>
      <w:numFmt w:val="decimal"/>
      <w:start w:val="1"/>
    </w:lvl>
  </w:abstractNum>
  <w:abstractNum w:abstractNumId="35">
    <w:nsid w:val="9DAF632"/>
    <w:multiLevelType w:val="hybridMultilevel"/>
    <w:lvl w:ilvl="0">
      <w:lvlJc w:val="left"/>
      <w:lvlText w:val="(%1)"/>
      <w:numFmt w:val="decimal"/>
      <w:start w:val="1"/>
    </w:lvl>
  </w:abstractNum>
  <w:abstractNum w:abstractNumId="36">
    <w:nsid w:val="53299938"/>
    <w:multiLevelType w:val="hybridMultilevel"/>
    <w:lvl w:ilvl="0">
      <w:lvlJc w:val="left"/>
      <w:lvlText w:val="(%1)"/>
      <w:numFmt w:val="lowerRoman"/>
      <w:start w:val="3"/>
    </w:lvl>
  </w:abstractNum>
  <w:abstractNum w:abstractNumId="37">
    <w:nsid w:val="1FBFE8E0"/>
    <w:multiLevelType w:val="hybridMultilevel"/>
    <w:lvl w:ilvl="0">
      <w:lvlJc w:val="left"/>
      <w:lvlText w:val="(%1)"/>
      <w:numFmt w:val="decimal"/>
      <w:start w:val="1"/>
    </w:lvl>
  </w:abstractNum>
  <w:abstractNum w:abstractNumId="38">
    <w:nsid w:val="5092CA79"/>
    <w:multiLevelType w:val="hybridMultilevel"/>
    <w:lvl w:ilvl="0">
      <w:lvlJc w:val="left"/>
      <w:lvlText w:val="(%1)"/>
      <w:numFmt w:val="decimal"/>
      <w:start w:val="2"/>
    </w:lvl>
  </w:abstractNum>
  <w:abstractNum w:abstractNumId="39">
    <w:nsid w:val="1D545C4D"/>
    <w:multiLevelType w:val="hybridMultilevel"/>
    <w:lvl w:ilvl="0">
      <w:lvlJc w:val="left"/>
      <w:lvlText w:val="(%1)"/>
      <w:numFmt w:val="lowerRoman"/>
      <w:start w:val="3"/>
    </w:lvl>
  </w:abstractNum>
  <w:abstractNum w:abstractNumId="40">
    <w:nsid w:val="59ADEA3D"/>
    <w:multiLevelType w:val="hybridMultilevel"/>
    <w:lvl w:ilvl="0">
      <w:lvlJc w:val="left"/>
      <w:lvlText w:val="(%1)"/>
      <w:numFmt w:val="decimal"/>
      <w:start w:val="1"/>
    </w:lvl>
  </w:abstractNum>
  <w:abstractNum w:abstractNumId="41">
    <w:nsid w:val="288F1A34"/>
    <w:multiLevelType w:val="hybridMultilevel"/>
    <w:lvl w:ilvl="0">
      <w:lvlJc w:val="left"/>
      <w:lvlText w:val="(%1)"/>
      <w:numFmt w:val="decimal"/>
      <w:start w:val="1"/>
    </w:lvl>
  </w:abstractNum>
  <w:abstractNum w:abstractNumId="42">
    <w:nsid w:val="2A155DBC"/>
    <w:multiLevelType w:val="hybridMultilevel"/>
    <w:lvl w:ilvl="0">
      <w:lvlJc w:val="left"/>
      <w:lvlText w:val="(%1)"/>
      <w:numFmt w:val="decimal"/>
      <w:start w:val="5"/>
    </w:lvl>
  </w:abstractNum>
  <w:abstractNum w:abstractNumId="43">
    <w:nsid w:val="1D9F6E5F"/>
    <w:multiLevelType w:val="hybridMultilevel"/>
    <w:lvl w:ilvl="0">
      <w:lvlJc w:val="left"/>
      <w:lvlText w:val="%1"/>
      <w:numFmt w:val="decimal"/>
      <w:start w:val="1"/>
    </w:lvl>
    <w:lvl w:ilvl="1">
      <w:lvlJc w:val="left"/>
      <w:lvlText w:val="(%2)"/>
      <w:numFmt w:val="lowerLetter"/>
      <w:start w:val="1"/>
    </w:lvl>
  </w:abstractNum>
  <w:abstractNum w:abstractNumId="44">
    <w:nsid w:val="97E1B4E"/>
    <w:multiLevelType w:val="hybridMultilevel"/>
    <w:lvl w:ilvl="0">
      <w:lvlJc w:val="left"/>
      <w:lvlText w:val="(%1)"/>
      <w:numFmt w:val="decimal"/>
      <w:start w:val="6"/>
    </w:lvl>
    <w:lvl w:ilvl="1">
      <w:lvlJc w:val="left"/>
      <w:lvlText w:val="%2"/>
      <w:numFmt w:val="lowerLetter"/>
      <w:start w:val="1"/>
    </w:lvl>
  </w:abstractNum>
  <w:abstractNum w:abstractNumId="45">
    <w:nsid w:val="51088277"/>
    <w:multiLevelType w:val="hybridMultilevel"/>
    <w:lvl w:ilvl="0">
      <w:lvlJc w:val="left"/>
      <w:lvlText w:val="(%1)"/>
      <w:numFmt w:val="decimal"/>
      <w:start w:val="1"/>
    </w:lvl>
  </w:abstractNum>
  <w:abstractNum w:abstractNumId="46">
    <w:nsid w:val="1CA0C5FA"/>
    <w:multiLevelType w:val="hybridMultilevel"/>
    <w:lvl w:ilvl="0">
      <w:lvlJc w:val="left"/>
      <w:lvlText w:val="(%1)"/>
      <w:numFmt w:val="decimal"/>
      <w:start w:val="1"/>
    </w:lvl>
  </w:abstractNum>
  <w:abstractNum w:abstractNumId="47">
    <w:nsid w:val="53584BCB"/>
    <w:multiLevelType w:val="hybridMultilevel"/>
    <w:lvl w:ilvl="0">
      <w:lvlJc w:val="left"/>
      <w:lvlText w:val="(%1)"/>
      <w:numFmt w:val="decimal"/>
      <w:start w:val="3"/>
    </w:lvl>
  </w:abstractNum>
  <w:abstractNum w:abstractNumId="48">
    <w:nsid w:val="415E286C"/>
    <w:multiLevelType w:val="hybridMultilevel"/>
    <w:lvl w:ilvl="0">
      <w:lvlJc w:val="left"/>
      <w:lvlText w:val="%1"/>
      <w:numFmt w:val="decimal"/>
      <w:start w:val="1"/>
    </w:lvl>
    <w:lvl w:ilvl="1">
      <w:lvlJc w:val="left"/>
      <w:lvlText w:val="(%2)"/>
      <w:numFmt w:val="lowerLetter"/>
      <w:start w:val="1"/>
    </w:lvl>
  </w:abstractNum>
  <w:abstractNum w:abstractNumId="49">
    <w:nsid w:val="7C58FD05"/>
    <w:multiLevelType w:val="hybridMultilevel"/>
    <w:lvl w:ilvl="0">
      <w:lvlJc w:val="left"/>
      <w:lvlText w:val="(%1)"/>
      <w:numFmt w:val="decimal"/>
      <w:start w:val="15"/>
    </w:lvl>
    <w:lvl w:ilvl="1">
      <w:lvlJc w:val="left"/>
      <w:lvlText w:val="%2"/>
      <w:numFmt w:val="lowerLetter"/>
      <w:start w:val="1"/>
    </w:lvl>
  </w:abstractNum>
  <w:abstractNum w:abstractNumId="50">
    <w:nsid w:val="23D86AAC"/>
    <w:multiLevelType w:val="hybridMultilevel"/>
    <w:lvl w:ilvl="0">
      <w:lvlJc w:val="left"/>
      <w:lvlText w:val="(%1)"/>
      <w:numFmt w:val="decimal"/>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1)"/>
      <w:numFmt w:val="decimal"/>
      <w:start w:val="1"/>
    </w:lvl>
  </w:abstractNum>
  <w:abstractNum w:abstractNumId="54">
    <w:nsid w:val="3C5991AA"/>
    <w:multiLevelType w:val="hybridMultilevel"/>
    <w:lvl w:ilvl="0">
      <w:lvlJc w:val="left"/>
      <w:lvlText w:val="(%1)"/>
      <w:numFmt w:val="decimal"/>
      <w:start w:val="5"/>
    </w:lvl>
  </w:abstractNum>
  <w:abstractNum w:abstractNumId="55">
    <w:nsid w:val="4BD8591A"/>
    <w:multiLevelType w:val="hybridMultilevel"/>
    <w:lvl w:ilvl="0">
      <w:lvlJc w:val="left"/>
      <w:lvlText w:val=" "/>
      <w:numFmt w:val="bullet"/>
      <w:start w:val="1"/>
    </w:lvl>
  </w:abstractNum>
  <w:abstractNum w:abstractNumId="56">
    <w:nsid w:val="78DF6A55"/>
    <w:multiLevelType w:val="hybridMultilevel"/>
    <w:lvl w:ilvl="0">
      <w:lvlJc w:val="left"/>
      <w:lvlText w:val="(%1)"/>
      <w:numFmt w:val="decimal"/>
      <w:start w:val="1"/>
    </w:lvl>
  </w:abstractNum>
  <w:abstractNum w:abstractNumId="57">
    <w:nsid w:val="39B7AAA2"/>
    <w:multiLevelType w:val="hybridMultilevel"/>
    <w:lvl w:ilvl="0">
      <w:lvlJc w:val="left"/>
      <w:lvlText w:val=" "/>
      <w:numFmt w:val="bullet"/>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 "/>
      <w:numFmt w:val="bullet"/>
      <w:start w:val="1"/>
    </w:lvl>
  </w:abstractNum>
  <w:abstractNum w:abstractNumId="60">
    <w:nsid w:val="379E21B5"/>
    <w:multiLevelType w:val="hybridMultilevel"/>
    <w:lvl w:ilvl="0">
      <w:lvlJc w:val="left"/>
      <w:lvlText w:val="(%1)"/>
      <w:numFmt w:val="decimal"/>
      <w:start w:val="1"/>
    </w:lvl>
  </w:abstractNum>
  <w:abstractNum w:abstractNumId="61">
    <w:nsid w:val="69E373"/>
    <w:multiLevelType w:val="hybridMultilevel"/>
    <w:lvl w:ilvl="0">
      <w:lvlJc w:val="left"/>
      <w:lvlText w:val=" "/>
      <w:numFmt w:val="bullet"/>
      <w:start w:val="1"/>
    </w:lvl>
  </w:abstractNum>
  <w:abstractNum w:abstractNumId="62">
    <w:nsid w:val="2C27173B"/>
    <w:multiLevelType w:val="hybridMultilevel"/>
    <w:lvl w:ilvl="0">
      <w:lvlJc w:val="left"/>
      <w:lvlText w:val=" "/>
      <w:numFmt w:val="bullet"/>
      <w:start w:val="1"/>
    </w:lvl>
  </w:abstractNum>
  <w:abstractNum w:abstractNumId="63">
    <w:nsid w:val="4C9B0904"/>
    <w:multiLevelType w:val="hybridMultilevel"/>
    <w:lvl w:ilvl="0">
      <w:lvlJc w:val="left"/>
      <w:lvlText w:val="(%1)"/>
      <w:numFmt w:val="lowerLetter"/>
      <w:start w:val="1"/>
    </w:lvl>
  </w:abstractNum>
  <w:abstractNum w:abstractNumId="64">
    <w:nsid w:val="6AA7B75C"/>
    <w:multiLevelType w:val="hybridMultilevel"/>
    <w:lvl w:ilvl="0">
      <w:lvlJc w:val="left"/>
      <w:lvlText w:val="(%1)"/>
      <w:numFmt w:val="lowerLetter"/>
      <w:start w:val="9"/>
    </w:lvl>
  </w:abstractNum>
  <w:abstractNum w:abstractNumId="65">
    <w:nsid w:val="1DF029D3"/>
    <w:multiLevelType w:val="hybridMultilevel"/>
    <w:lvl w:ilvl="0">
      <w:lvlJc w:val="left"/>
      <w:lvlText w:val="(%1)"/>
      <w:numFmt w:val="lowerLetter"/>
      <w:start w:val="22"/>
    </w:lvl>
  </w:abstractNum>
  <w:abstractNum w:abstractNumId="66">
    <w:nsid w:val="5675FF36"/>
    <w:multiLevelType w:val="hybridMultilevel"/>
    <w:lvl w:ilvl="0">
      <w:lvlJc w:val="left"/>
      <w:lvlText w:val="(%1)"/>
      <w:numFmt w:val="lowerRoman"/>
      <w:start w:val="7"/>
    </w:lvl>
  </w:abstractNum>
  <w:abstractNum w:abstractNumId="67">
    <w:nsid w:val="3DD15094"/>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68">
    <w:nsid w:val="3DB012B3"/>
    <w:multiLevelType w:val="hybridMultilevel"/>
    <w:lvl w:ilvl="0">
      <w:lvlJc w:val="left"/>
      <w:lvlText w:val="(%1)"/>
      <w:numFmt w:val="lowerRoman"/>
      <w:start w:val="2"/>
    </w:lvl>
  </w:abstractNum>
  <w:abstractNum w:abstractNumId="69">
    <w:nsid w:val="2708C9AF"/>
    <w:multiLevelType w:val="hybridMultilevel"/>
    <w:lvl w:ilvl="0">
      <w:lvlJc w:val="left"/>
      <w:lvlText w:val="(%1)"/>
      <w:numFmt w:val="lowerLetter"/>
      <w:start w:val="11"/>
    </w:lvl>
    <w:lvl w:ilvl="1">
      <w:lvlJc w:val="left"/>
      <w:lvlText w:val="(%2)"/>
      <w:numFmt w:val="lowerRoman"/>
      <w:start w:val="1"/>
    </w:lvl>
  </w:abstractNum>
  <w:abstractNum w:abstractNumId="70">
    <w:nsid w:val="5B25ACE2"/>
    <w:multiLevelType w:val="hybridMultilevel"/>
    <w:lvl w:ilvl="0">
      <w:lvlJc w:val="left"/>
      <w:lvlText w:val="(%1)"/>
      <w:numFmt w:val="lowerLetter"/>
      <w:start w:val="22"/>
    </w:lvl>
  </w:abstractNum>
  <w:abstractNum w:abstractNumId="71">
    <w:nsid w:val="175DFCF0"/>
    <w:multiLevelType w:val="hybridMultilevel"/>
    <w:lvl w:ilvl="0">
      <w:lvlJc w:val="left"/>
      <w:lvlText w:val="(%1)"/>
      <w:numFmt w:val="lowerLetter"/>
      <w:start w:val="24"/>
    </w:lvl>
  </w:abstractNum>
  <w:abstractNum w:abstractNumId="72">
    <w:nsid w:val="4F97E3E4"/>
    <w:multiLevelType w:val="hybridMultilevel"/>
    <w:lvl w:ilvl="0">
      <w:lvlJc w:val="left"/>
      <w:lvlText w:val="(%1)"/>
      <w:numFmt w:val="lowerLetter"/>
      <w:start w:val="27"/>
    </w:lvl>
  </w:abstractNum>
  <w:abstractNum w:abstractNumId="73">
    <w:nsid w:val="53B0A9E"/>
    <w:multiLevelType w:val="hybridMultilevel"/>
    <w:lvl w:ilvl="0">
      <w:lvlJc w:val="left"/>
      <w:lvlText w:val="(%1)"/>
      <w:numFmt w:val="lowerLetter"/>
      <w:start w:val="9"/>
    </w:lvl>
  </w:abstractNum>
  <w:abstractNum w:abstractNumId="74">
    <w:nsid w:val="34FD6B4F"/>
    <w:multiLevelType w:val="hybridMultilevel"/>
    <w:lvl w:ilvl="0">
      <w:lvlJc w:val="left"/>
      <w:lvlText w:val="(%1)"/>
      <w:numFmt w:val="lowerLetter"/>
      <w:start w:val="30"/>
    </w:lvl>
  </w:abstractNum>
  <w:abstractNum w:abstractNumId="75">
    <w:nsid w:val="5915FF32"/>
    <w:multiLevelType w:val="hybridMultilevel"/>
    <w:lvl w:ilvl="0">
      <w:lvlJc w:val="left"/>
      <w:lvlText w:val="(%1)"/>
      <w:numFmt w:val="lowerLetter"/>
      <w:start w:val="1"/>
    </w:lvl>
    <w:lvl w:ilvl="1">
      <w:lvlJc w:val="left"/>
      <w:lvlText w:val="(%2)"/>
      <w:numFmt w:val="lowerRoman"/>
      <w:start w:val="1"/>
    </w:lvl>
  </w:abstractNum>
  <w:abstractNum w:abstractNumId="76">
    <w:nsid w:val="56438D15"/>
    <w:multiLevelType w:val="hybridMultilevel"/>
    <w:lvl w:ilvl="0">
      <w:lvlJc w:val="left"/>
      <w:lvlText w:val="(%1)"/>
      <w:numFmt w:val="lowerRoman"/>
      <w:start w:val="12"/>
    </w:lvl>
  </w:abstractNum>
  <w:abstractNum w:abstractNumId="77">
    <w:nsid w:val="519E3149"/>
    <w:multiLevelType w:val="hybridMultilevel"/>
    <w:lvl w:ilvl="0">
      <w:lvlJc w:val="left"/>
      <w:lvlText w:val="(%1)"/>
      <w:numFmt w:val="lowerLetter"/>
      <w:start w:val="1"/>
    </w:lvl>
  </w:abstractNum>
  <w:abstractNum w:abstractNumId="78">
    <w:nsid w:val="2C6E4AFD"/>
    <w:multiLevelType w:val="hybridMultilevel"/>
    <w:lvl w:ilvl="0">
      <w:lvlJc w:val="left"/>
      <w:lvlText w:val="(%1)"/>
      <w:numFmt w:val="lowerLetter"/>
      <w:start w:val="1"/>
    </w:lvl>
  </w:abstractNum>
  <w:abstractNum w:abstractNumId="79">
    <w:nsid w:val="17A1B582"/>
    <w:multiLevelType w:val="hybridMultilevel"/>
    <w:lvl w:ilvl="0">
      <w:lvlJc w:val="left"/>
      <w:lvlText w:val="(%1)"/>
      <w:numFmt w:val="lowerLetter"/>
      <w:start w:val="22"/>
    </w:lvl>
  </w:abstractNum>
  <w:abstractNum w:abstractNumId="80">
    <w:nsid w:val="4DF72E4E"/>
    <w:multiLevelType w:val="hybridMultilevel"/>
    <w:lvl w:ilvl="0">
      <w:lvlJc w:val="left"/>
      <w:lvlText w:val="(%1)"/>
      <w:numFmt w:val="lowerLetter"/>
      <w:start w:val="25"/>
    </w:lvl>
  </w:abstractNum>
  <w:abstractNum w:abstractNumId="81">
    <w:nsid w:val="5046B5A9"/>
    <w:multiLevelType w:val="hybridMultilevel"/>
    <w:lvl w:ilvl="0">
      <w:lvlJc w:val="left"/>
      <w:lvlText w:val="(%1)"/>
      <w:numFmt w:val="lowerLetter"/>
      <w:start w:val="2"/>
    </w:lvl>
  </w:abstractNum>
  <w:abstractNum w:abstractNumId="82">
    <w:nsid w:val="5D888A08"/>
    <w:multiLevelType w:val="hybridMultilevel"/>
    <w:lvl w:ilvl="0">
      <w:lvlJc w:val="left"/>
      <w:lvlText w:val="(%1)"/>
      <w:numFmt w:val="lowerLetter"/>
      <w:start w:val="1"/>
    </w:lvl>
  </w:abstractNum>
  <w:abstractNum w:abstractNumId="83">
    <w:nsid w:val="2A082C70"/>
    <w:multiLevelType w:val="hybridMultilevel"/>
    <w:lvl w:ilvl="0">
      <w:lvlJc w:val="left"/>
      <w:lvlText w:val="(%1)"/>
      <w:numFmt w:val="lowerLetter"/>
      <w:start w:val="1"/>
    </w:lvl>
  </w:abstractNum>
  <w:abstractNum w:abstractNumId="84">
    <w:nsid w:val="5EC6AFD4"/>
    <w:multiLevelType w:val="hybridMultilevel"/>
    <w:lvl w:ilvl="0">
      <w:lvlJc w:val="left"/>
      <w:lvlText w:val="(%1)"/>
      <w:numFmt w:val="lowerLetter"/>
      <w:start w:val="5"/>
    </w:lvl>
  </w:abstractNum>
  <w:abstractNum w:abstractNumId="85">
    <w:nsid w:val="19E21BB2"/>
    <w:multiLevelType w:val="hybridMultilevel"/>
    <w:lvl w:ilvl="0">
      <w:lvlJc w:val="left"/>
      <w:lvlText w:val="(%1)"/>
      <w:numFmt w:val="lowerLetter"/>
      <w:start w:val="1"/>
    </w:lvl>
  </w:abstractNum>
  <w:abstractNum w:abstractNumId="86">
    <w:nsid w:val="75E0858A"/>
    <w:multiLevelType w:val="hybridMultilevel"/>
    <w:lvl w:ilvl="0">
      <w:lvlJc w:val="left"/>
      <w:lvlText w:val="(%1)"/>
      <w:numFmt w:val="lowerLetter"/>
      <w:start w:val="3"/>
    </w:lvl>
  </w:abstractNum>
  <w:abstractNum w:abstractNumId="87">
    <w:nsid w:val="57A61A29"/>
    <w:multiLevelType w:val="hybridMultilevel"/>
    <w:lvl w:ilvl="0">
      <w:lvlJc w:val="left"/>
      <w:lvlText w:val="(%1)"/>
      <w:numFmt w:val="lowerLetter"/>
      <w:start w:val="1"/>
    </w:lvl>
  </w:abstractNum>
  <w:abstractNum w:abstractNumId="88">
    <w:nsid w:val="5399C654"/>
    <w:multiLevelType w:val="hybridMultilevel"/>
    <w:lvl w:ilvl="0">
      <w:lvlJc w:val="left"/>
      <w:lvlText w:val="(%1)"/>
      <w:numFmt w:val="lowerLetter"/>
      <w:start w:val="5"/>
    </w:lvl>
  </w:abstractNum>
  <w:abstractNum w:abstractNumId="89">
    <w:nsid w:val="20EE1348"/>
    <w:multiLevelType w:val="hybridMultilevel"/>
    <w:lvl w:ilvl="0">
      <w:lvlJc w:val="left"/>
      <w:lvlText w:val="(%1)"/>
      <w:numFmt w:val="lowerLetter"/>
      <w:start w:val="1"/>
    </w:lvl>
  </w:abstractNum>
  <w:abstractNum w:abstractNumId="90">
    <w:nsid w:val="4427069A"/>
    <w:multiLevelType w:val="hybridMultilevel"/>
    <w:lvl w:ilvl="0">
      <w:lvlJc w:val="left"/>
      <w:lvlText w:val="(%1)"/>
      <w:numFmt w:val="lowerLetter"/>
      <w:start w:val="6"/>
    </w:lvl>
  </w:abstractNum>
  <w:abstractNum w:abstractNumId="91">
    <w:nsid w:val="B37E80A"/>
    <w:multiLevelType w:val="hybridMultilevel"/>
    <w:lvl w:ilvl="0">
      <w:lvlJc w:val="left"/>
      <w:lvlText w:val="(%1)"/>
      <w:numFmt w:val="lowerLetter"/>
      <w:start w:val="1"/>
    </w:lvl>
    <w:lvl w:ilvl="1">
      <w:lvlJc w:val="left"/>
      <w:lvlText w:val="(%2)"/>
      <w:numFmt w:val="lowerLetter"/>
      <w:start w:val="9"/>
    </w:lvl>
  </w:abstractNum>
  <w:abstractNum w:abstractNumId="92">
    <w:nsid w:val="2157F6BC"/>
    <w:multiLevelType w:val="hybridMultilevel"/>
    <w:lvl w:ilvl="0">
      <w:lvlJc w:val="left"/>
      <w:lvlText w:val="(%1)"/>
      <w:numFmt w:val="lowerRoman"/>
      <w:start w:val="2"/>
    </w:lvl>
  </w:abstractNum>
  <w:abstractNum w:abstractNumId="93">
    <w:nsid w:val="704E1DD5"/>
    <w:multiLevelType w:val="hybridMultilevel"/>
    <w:lvl w:ilvl="0">
      <w:lvlJc w:val="left"/>
      <w:lvlText w:val="(%1)"/>
      <w:numFmt w:val="lowerLetter"/>
      <w:start w:val="2"/>
    </w:lvl>
    <w:lvl w:ilvl="1">
      <w:lvlJc w:val="left"/>
      <w:lvlText w:val="(%2)"/>
      <w:numFmt w:val="lowerRoman"/>
      <w:start w:val="1"/>
    </w:lvl>
  </w:abstractNum>
  <w:abstractNum w:abstractNumId="94">
    <w:nsid w:val="57D2F10E"/>
    <w:multiLevelType w:val="hybridMultilevel"/>
    <w:lvl w:ilvl="0">
      <w:lvlJc w:val="left"/>
      <w:lvlText w:val="(%1)"/>
      <w:numFmt w:val="lowerLetter"/>
      <w:start w:val="4"/>
    </w:lvl>
  </w:abstractNum>
  <w:abstractNum w:abstractNumId="95">
    <w:nsid w:val="BFFAE18"/>
    <w:multiLevelType w:val="hybridMultilevel"/>
    <w:lvl w:ilvl="0">
      <w:lvlJc w:val="left"/>
      <w:lvlText w:val="(%1)"/>
      <w:numFmt w:val="lowerLetter"/>
      <w:start w:val="5"/>
    </w:lvl>
  </w:abstractNum>
  <w:abstractNum w:abstractNumId="96">
    <w:nsid w:val="E3E47A8"/>
    <w:multiLevelType w:val="hybridMultilevel"/>
    <w:lvl w:ilvl="0">
      <w:lvlJc w:val="left"/>
      <w:lvlText w:val="(%1)"/>
      <w:numFmt w:val="lowerLetter"/>
      <w:start w:val="1"/>
    </w:lvl>
    <w:lvl w:ilvl="1">
      <w:lvlJc w:val="left"/>
      <w:lvlText w:val="(%2)"/>
      <w:numFmt w:val="lowerRoman"/>
      <w:start w:val="1"/>
    </w:lvl>
  </w:abstractNum>
  <w:abstractNum w:abstractNumId="97">
    <w:nsid w:val="2E48F044"/>
    <w:multiLevelType w:val="hybridMultilevel"/>
    <w:lvl w:ilvl="0">
      <w:lvlJc w:val="left"/>
      <w:lvlText w:val="(%1)"/>
      <w:numFmt w:val="lowerLetter"/>
      <w:start w:val="2"/>
    </w:lvl>
  </w:abstractNum>
  <w:abstractNum w:abstractNumId="98">
    <w:nsid w:val="49D0FEAC"/>
    <w:multiLevelType w:val="hybridMultilevel"/>
    <w:lvl w:ilvl="0">
      <w:lvlJc w:val="left"/>
      <w:lvlText w:val="(%1)"/>
      <w:numFmt w:val="lowerLetter"/>
      <w:start w:val="1"/>
    </w:lvl>
  </w:abstractNum>
  <w:abstractNum w:abstractNumId="99">
    <w:nsid w:val="4BEE5A5B"/>
    <w:multiLevelType w:val="hybridMultilevel"/>
    <w:lvl w:ilvl="0">
      <w:lvlJc w:val="left"/>
      <w:lvlText w:val="(%1)"/>
      <w:numFmt w:val="lowerLetter"/>
      <w:start w:val="2"/>
    </w:lvl>
  </w:abstractNum>
  <w:abstractNum w:abstractNumId="100">
    <w:nsid w:val="5551B9F3"/>
    <w:multiLevelType w:val="hybridMultilevel"/>
    <w:lvl w:ilvl="0">
      <w:lvlJc w:val="left"/>
      <w:lvlText w:val="(%1)"/>
      <w:numFmt w:val="lowerLetter"/>
      <w:start w:val="1"/>
    </w:lvl>
  </w:abstractNum>
  <w:abstractNum w:abstractNumId="101">
    <w:nsid w:val="24F6AB8E"/>
    <w:multiLevelType w:val="hybridMultilevel"/>
    <w:lvl w:ilvl="0">
      <w:lvlJc w:val="left"/>
      <w:lvlText w:val="(%1)"/>
      <w:numFmt w:val="lowerLetter"/>
      <w:start w:val="9"/>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lowerLetter"/>
      <w:start w:val="3"/>
    </w:lvl>
  </w:abstractNum>
  <w:abstractNum w:abstractNumId="104">
    <w:nsid w:val="2A31B62D"/>
    <w:multiLevelType w:val="hybridMultilevel"/>
    <w:lvl w:ilvl="0">
      <w:lvlJc w:val="left"/>
      <w:lvlText w:val="(%1)"/>
      <w:numFmt w:val="lowerLetter"/>
      <w:start w:val="1"/>
    </w:lvl>
    <w:lvl w:ilvl="1">
      <w:lvlJc w:val="left"/>
      <w:lvlText w:val="(%2)"/>
      <w:numFmt w:val="lowerRoman"/>
      <w:start w:val="1"/>
    </w:lvl>
  </w:abstractNum>
  <w:abstractNum w:abstractNumId="105">
    <w:nsid w:val="1849C29B"/>
    <w:multiLevelType w:val="hybridMultilevel"/>
    <w:lvl w:ilvl="0">
      <w:lvlJc w:val="left"/>
      <w:lvlText w:val="(%1)"/>
      <w:numFmt w:val="lowerLetter"/>
      <w:start w:val="5"/>
    </w:lvl>
    <w:lvl w:ilvl="1">
      <w:lvlJc w:val="left"/>
      <w:lvlText w:val="(%2)"/>
      <w:numFmt w:val="lowerRoman"/>
      <w:start w:val="1"/>
    </w:lvl>
  </w:abstractNum>
  <w:abstractNum w:abstractNumId="106">
    <w:nsid w:val="7DFF9D09"/>
    <w:multiLevelType w:val="hybridMultilevel"/>
    <w:lvl w:ilvl="0">
      <w:lvlJc w:val="left"/>
      <w:lvlText w:val="(%1)"/>
      <w:numFmt w:val="lowerLetter"/>
      <w:start w:val="6"/>
    </w:lvl>
  </w:abstractNum>
  <w:abstractNum w:abstractNumId="107">
    <w:nsid w:val="754342"/>
    <w:multiLevelType w:val="hybridMultilevel"/>
    <w:lvl w:ilvl="0">
      <w:lvlJc w:val="left"/>
      <w:lvlText w:val="(%1)"/>
      <w:numFmt w:val="lowerLetter"/>
      <w:start w:val="1"/>
    </w:lvl>
  </w:abstractNum>
  <w:abstractNum w:abstractNumId="108">
    <w:nsid w:val="69E7F3E5"/>
    <w:multiLevelType w:val="hybridMultilevel"/>
    <w:lvl w:ilvl="0">
      <w:lvlJc w:val="left"/>
      <w:lvlText w:val="(%1)"/>
      <w:numFmt w:val="lowerLetter"/>
      <w:start w:val="2"/>
    </w:lvl>
  </w:abstractNum>
  <w:abstractNum w:abstractNumId="109">
    <w:nsid w:val="2A6DE806"/>
    <w:multiLevelType w:val="hybridMultilevel"/>
    <w:lvl w:ilvl="0">
      <w:lvlJc w:val="left"/>
      <w:lvlText w:val="(%1)"/>
      <w:numFmt w:val="lowerLetter"/>
      <w:start w:val="1"/>
    </w:lvl>
  </w:abstractNum>
  <w:abstractNum w:abstractNumId="110">
    <w:nsid w:val="1816F8C4"/>
    <w:multiLevelType w:val="hybridMultilevel"/>
    <w:lvl w:ilvl="0">
      <w:lvlJc w:val="left"/>
      <w:lvlText w:val="(%1)"/>
      <w:numFmt w:val="lowerLetter"/>
      <w:start w:val="1"/>
    </w:lvl>
  </w:abstractNum>
  <w:abstractNum w:abstractNumId="111">
    <w:nsid w:val="37DF2233"/>
    <w:multiLevelType w:val="hybridMultilevel"/>
    <w:lvl w:ilvl="0">
      <w:lvlJc w:val="left"/>
      <w:lvlText w:val="(%1)"/>
      <w:numFmt w:val="lowerLetter"/>
      <w:start w:val="3"/>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lowerLetter"/>
      <w:start w:val="1"/>
    </w:lvl>
  </w:abstractNum>
  <w:abstractNum w:abstractNumId="114">
    <w:nsid w:val="61E74EA3"/>
    <w:multiLevelType w:val="hybridMultilevel"/>
    <w:lvl w:ilvl="0">
      <w:lvlJc w:val="left"/>
      <w:lvlText w:val="(%1)"/>
      <w:numFmt w:val="lowerLetter"/>
      <w:start w:val="1"/>
    </w:lvl>
    <w:lvl w:ilvl="1">
      <w:lvlJc w:val="left"/>
      <w:lvlText w:val="(%2)"/>
      <w:numFmt w:val="lowerRoman"/>
      <w:start w:val="1"/>
    </w:lvl>
  </w:abstractNum>
  <w:abstractNum w:abstractNumId="115">
    <w:nsid w:val="597B4D84"/>
    <w:multiLevelType w:val="hybridMultilevel"/>
    <w:lvl w:ilvl="0">
      <w:lvlJc w:val="left"/>
      <w:lvlText w:val="(%1)"/>
      <w:numFmt w:val="lowerLetter"/>
      <w:start w:val="3"/>
    </w:lvl>
  </w:abstractNum>
  <w:abstractNum w:abstractNumId="116">
    <w:nsid w:val="F819E7F"/>
    <w:multiLevelType w:val="hybridMultilevel"/>
    <w:lvl w:ilvl="0">
      <w:lvlJc w:val="left"/>
      <w:lvlText w:val="(%1)"/>
      <w:numFmt w:val="lowerLetter"/>
      <w:start w:val="1"/>
    </w:lvl>
    <w:lvl w:ilvl="1">
      <w:lvlJc w:val="left"/>
      <w:lvlText w:val="(%2)"/>
      <w:numFmt w:val="lowerRoman"/>
      <w:start w:val="1"/>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x"/>
      <w:numFmt w:val="bullet"/>
      <w:start w:val="1"/>
    </w:lvl>
  </w:abstractNum>
  <w:abstractNum w:abstractNumId="119">
    <w:nsid w:val="631B64D4"/>
    <w:multiLevelType w:val="hybridMultilevel"/>
    <w:lvl w:ilvl="0">
      <w:lvlJc w:val="left"/>
      <w:lvlText w:val="o"/>
      <w:numFmt w:val="bullet"/>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
      <w:numFmt w:val="bullet"/>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1)"/>
      <w:numFmt w:val="lowerRoman"/>
      <w:start w:val="2"/>
    </w:lvl>
  </w:abstractNum>
  <w:abstractNum w:abstractNumId="126">
    <w:nsid w:val="260D8C4A"/>
    <w:multiLevelType w:val="hybridMultilevel"/>
    <w:lvl w:ilvl="0">
      <w:lvlJc w:val="left"/>
      <w:lvlText w:val="•"/>
      <w:numFmt w:val="bullet"/>
      <w:start w:val="1"/>
    </w:lvl>
  </w:abstractNum>
  <w:abstractNum w:abstractNumId="127">
    <w:nsid w:val="73D4D3C4"/>
    <w:multiLevelType w:val="hybridMultilevel"/>
    <w:lvl w:ilvl="0">
      <w:lvlJc w:val="left"/>
      <w:lvlText w:val="•"/>
      <w:numFmt w:val="bullet"/>
      <w:start w:val="1"/>
    </w:lvl>
  </w:abstractNum>
  <w:abstractNum w:abstractNumId="128">
    <w:nsid w:val="746F2E30"/>
    <w:multiLevelType w:val="hybridMultilevel"/>
    <w:lvl w:ilvl="0">
      <w:lvlJc w:val="left"/>
      <w:lvlText w:val="•"/>
      <w:numFmt w:val="bullet"/>
      <w:start w:val="1"/>
    </w:lvl>
  </w:abstractNum>
  <w:abstractNum w:abstractNumId="129">
    <w:nsid w:val="6FDE8AF6"/>
    <w:multiLevelType w:val="hybridMultilevel"/>
    <w:lvl w:ilvl="0">
      <w:lvlJc w:val="left"/>
      <w:lvlText w:val="•"/>
      <w:numFmt w:val="bullet"/>
      <w:start w:val="1"/>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
      <w:numFmt w:val="bullet"/>
      <w:start w:val="1"/>
    </w:lvl>
  </w:abstractNum>
  <w:abstractNum w:abstractNumId="132">
    <w:nsid w:val="14D53685"/>
    <w:multiLevelType w:val="hybridMultilevel"/>
    <w:lvl w:ilvl="0">
      <w:lvlJc w:val="left"/>
      <w:lvlText w:val="•"/>
      <w:numFmt w:val="bullet"/>
      <w:start w:val="1"/>
    </w:lvl>
  </w:abstractNum>
  <w:abstractNum w:abstractNumId="133">
    <w:nsid w:val="230F856C"/>
    <w:multiLevelType w:val="hybridMultilevel"/>
    <w:lvl w:ilvl="0">
      <w:lvlJc w:val="left"/>
      <w:lvlText w:val="•"/>
      <w:numFmt w:val="bullet"/>
      <w:start w:val="1"/>
    </w:lvl>
  </w:abstractNum>
  <w:abstractNum w:abstractNumId="134">
    <w:nsid w:val="6EAA85FB"/>
    <w:multiLevelType w:val="hybridMultilevel"/>
    <w:lvl w:ilvl="0">
      <w:lvlJc w:val="left"/>
      <w:lvlText w:val="•"/>
      <w:numFmt w:val="bullet"/>
      <w:start w:val="1"/>
    </w:lvl>
  </w:abstractNum>
  <w:abstractNum w:abstractNumId="135">
    <w:nsid w:val="3F06ECB2"/>
    <w:multiLevelType w:val="hybridMultilevel"/>
    <w:lvl w:ilvl="0">
      <w:lvlJc w:val="left"/>
      <w:lvlText w:val="%1."/>
      <w:numFmt w:val="decimal"/>
      <w:start w:val="1"/>
    </w:lvl>
  </w:abstractNum>
  <w:abstractNum w:abstractNumId="136">
    <w:nsid w:val="3B594807"/>
    <w:multiLevelType w:val="hybridMultilevel"/>
    <w:lvl w:ilvl="0">
      <w:lvlJc w:val="left"/>
      <w:lvlText w:val="•"/>
      <w:numFmt w:val="bullet"/>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
      <w:numFmt w:val="bullet"/>
      <w:start w:val="1"/>
    </w:lvl>
  </w:abstractNum>
  <w:abstractNum w:abstractNumId="139">
    <w:nsid w:val="25413BEC"/>
    <w:multiLevelType w:val="hybridMultilevel"/>
    <w:lvl w:ilvl="0">
      <w:lvlJc w:val="left"/>
      <w:lvlText w:val="•"/>
      <w:numFmt w:val="bullet"/>
      <w:start w:val="1"/>
    </w:lvl>
  </w:abstractNum>
  <w:abstractNum w:abstractNumId="140">
    <w:nsid w:val="17180B0B"/>
    <w:multiLevelType w:val="hybridMultilevel"/>
    <w:lvl w:ilvl="0">
      <w:lvlJc w:val="left"/>
      <w:lvlText w:val="•"/>
      <w:numFmt w:val="bullet"/>
      <w:start w:val="1"/>
    </w:lvl>
  </w:abstractNum>
  <w:abstractNum w:abstractNumId="141">
    <w:nsid w:val="579328B9"/>
    <w:multiLevelType w:val="hybridMultilevel"/>
    <w:lvl w:ilvl="0">
      <w:lvlJc w:val="left"/>
      <w:lvlText w:val="•"/>
      <w:numFmt w:val="bullet"/>
      <w:start w:val="1"/>
    </w:lvl>
  </w:abstractNum>
  <w:abstractNum w:abstractNumId="142">
    <w:nsid w:val="5D205E20"/>
    <w:multiLevelType w:val="hybridMultilevel"/>
    <w:lvl w:ilvl="0">
      <w:lvlJc w:val="left"/>
      <w:lvlText w:val="•"/>
      <w:numFmt w:val="bullet"/>
      <w:start w:val="1"/>
    </w:lvl>
  </w:abstractNum>
  <w:abstractNum w:abstractNumId="143">
    <w:nsid w:val="11CCA8BA"/>
    <w:multiLevelType w:val="hybridMultilevel"/>
    <w:lvl w:ilvl="0">
      <w:lvlJc w:val="left"/>
      <w:lvlText w:val="•"/>
      <w:numFmt w:val="bullet"/>
      <w:start w:val="1"/>
    </w:lvl>
  </w:abstractNum>
  <w:abstractNum w:abstractNumId="144">
    <w:nsid w:val="4D32AB86"/>
    <w:multiLevelType w:val="hybridMultilevel"/>
    <w:lvl w:ilvl="0">
      <w:lvlJc w:val="left"/>
      <w:lvlText w:val="•"/>
      <w:numFmt w:val="bullet"/>
      <w:start w:val="1"/>
    </w:lvl>
  </w:abstractNum>
  <w:abstractNum w:abstractNumId="145">
    <w:nsid w:val="3F07ACC3"/>
    <w:multiLevelType w:val="hybridMultilevel"/>
    <w:lvl w:ilvl="0">
      <w:lvlJc w:val="left"/>
      <w:lvlText w:val="•"/>
      <w:numFmt w:val="bullet"/>
      <w:start w:val="1"/>
    </w:lvl>
  </w:abstractNum>
  <w:abstractNum w:abstractNumId="146">
    <w:nsid w:val="6B47F63E"/>
    <w:multiLevelType w:val="hybridMultilevel"/>
    <w:lvl w:ilvl="0">
      <w:lvlJc w:val="left"/>
      <w:lvlText w:val="•"/>
      <w:numFmt w:val="bullet"/>
      <w:start w:val="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
      <w:numFmt w:val="bullet"/>
      <w:start w:val="1"/>
    </w:lvl>
  </w:abstractNum>
  <w:abstractNum w:abstractNumId="149">
    <w:nsid w:val="1C695DEC"/>
    <w:multiLevelType w:val="hybridMultilevel"/>
    <w:lvl w:ilvl="0">
      <w:lvlJc w:val="left"/>
      <w:lvlText w:val="•"/>
      <w:numFmt w:val="bullet"/>
      <w:start w:val="1"/>
    </w:lvl>
  </w:abstractNum>
  <w:abstractNum w:abstractNumId="150">
    <w:nsid w:val="3FCFAED9"/>
    <w:multiLevelType w:val="hybridMultilevel"/>
    <w:lvl w:ilvl="0">
      <w:lvlJc w:val="left"/>
      <w:lvlText w:val="•"/>
      <w:numFmt w:val="bullet"/>
      <w:start w:val="1"/>
    </w:lvl>
  </w:abstractNum>
  <w:abstractNum w:abstractNumId="151">
    <w:nsid w:val="F856867"/>
    <w:multiLevelType w:val="hybridMultilevel"/>
    <w:lvl w:ilvl="0">
      <w:lvlJc w:val="left"/>
      <w:lvlText w:val="•"/>
      <w:numFmt w:val="bullet"/>
      <w:start w:val="1"/>
    </w:lvl>
  </w:abstractNum>
  <w:abstractNum w:abstractNumId="152">
    <w:nsid w:val="11B1CC33"/>
    <w:multiLevelType w:val="hybridMultilevel"/>
    <w:lvl w:ilvl="0">
      <w:lvlJc w:val="left"/>
      <w:lvlText w:val="•"/>
      <w:numFmt w:val="bullet"/>
      <w:start w:val="1"/>
    </w:lvl>
  </w:abstractNum>
  <w:abstractNum w:abstractNumId="153">
    <w:nsid w:val="2E22FBB7"/>
    <w:multiLevelType w:val="hybridMultilevel"/>
    <w:lvl w:ilvl="0">
      <w:lvlJc w:val="left"/>
      <w:lvlText w:val="•"/>
      <w:numFmt w:val="bullet"/>
      <w:start w:val="1"/>
    </w:lvl>
  </w:abstractNum>
  <w:abstractNum w:abstractNumId="154">
    <w:nsid w:val="29934699"/>
    <w:multiLevelType w:val="hybridMultilevel"/>
    <w:lvl w:ilvl="0">
      <w:lvlJc w:val="left"/>
      <w:lvlText w:val="•"/>
      <w:numFmt w:val="bullet"/>
      <w:start w:val="1"/>
    </w:lvl>
  </w:abstractNum>
  <w:abstractNum w:abstractNumId="155">
    <w:nsid w:val="77485850"/>
    <w:multiLevelType w:val="hybridMultilevel"/>
    <w:lvl w:ilvl="0">
      <w:lvlJc w:val="left"/>
      <w:lvlText w:val="•"/>
      <w:numFmt w:val="bullet"/>
      <w:start w:val="1"/>
    </w:lvl>
  </w:abstractNum>
  <w:abstractNum w:abstractNumId="156">
    <w:nsid w:val="744939A3"/>
    <w:multiLevelType w:val="hybridMultilevel"/>
    <w:lvl w:ilvl="0">
      <w:lvlJc w:val="left"/>
      <w:lvlText w:val="•"/>
      <w:numFmt w:val="bullet"/>
      <w:start w:val="1"/>
    </w:lvl>
  </w:abstractNum>
  <w:abstractNum w:abstractNumId="157">
    <w:nsid w:val="4FA0D2E3"/>
    <w:multiLevelType w:val="hybridMultilevel"/>
    <w:lvl w:ilvl="0">
      <w:lvlJc w:val="left"/>
      <w:lvlText w:val="•"/>
      <w:numFmt w:val="bullet"/>
      <w:start w:val="1"/>
    </w:lvl>
  </w:abstractNum>
  <w:abstractNum w:abstractNumId="158">
    <w:nsid w:val="6B1D2C14"/>
    <w:multiLevelType w:val="hybridMultilevel"/>
    <w:lvl w:ilvl="0">
      <w:lvlJc w:val="left"/>
      <w:lvlText w:val="•"/>
      <w:numFmt w:val="bullet"/>
      <w:start w:val="1"/>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lowerRoman"/>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1)"/>
      <w:numFmt w:val="decimal"/>
      <w:start w:val="1"/>
    </w:lvl>
  </w:abstractNum>
  <w:abstractNum w:abstractNumId="163">
    <w:nsid w:val="5454945E"/>
    <w:multiLevelType w:val="hybridMultilevel"/>
    <w:lvl w:ilvl="0">
      <w:lvlJc w:val="left"/>
      <w:lvlText w:val="(%1)"/>
      <w:numFmt w:val="decimal"/>
      <w:start w:val="1"/>
    </w:lvl>
  </w:abstractNum>
  <w:abstractNum w:abstractNumId="164">
    <w:nsid w:val="4DEFDFA0"/>
    <w:multiLevelType w:val="hybridMultilevel"/>
    <w:lvl w:ilvl="0">
      <w:lvlJc w:val="left"/>
      <w:lvlText w:val="(%1)"/>
      <w:numFmt w:val="decimal"/>
      <w:start w:val="1"/>
    </w:lvl>
  </w:abstractNum>
  <w:abstractNum w:abstractNumId="165">
    <w:nsid w:val="2123D5F2"/>
    <w:multiLevelType w:val="hybridMultilevel"/>
    <w:lvl w:ilvl="0">
      <w:lvlJc w:val="left"/>
      <w:lvlText w:val="(%1)"/>
      <w:numFmt w:val="decimal"/>
      <w:start w:val="1"/>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
      <w:numFmt w:val="bullet"/>
      <w:start w:val="1"/>
    </w:lvl>
  </w:abstractNum>
  <w:abstractNum w:abstractNumId="168">
    <w:nsid w:val="DCDF8F6"/>
    <w:multiLevelType w:val="hybridMultilevel"/>
    <w:lvl w:ilvl="0">
      <w:lvlJc w:val="left"/>
      <w:lvlText w:val="(%1)"/>
      <w:numFmt w:val="decimal"/>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1"/>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2025-04-25T00:43:55Z</dcterms:created>
  <dcterms:modified xsi:type="dcterms:W3CDTF">2025-04-25T00:43:55Z</dcterms:modified>
</cp:coreProperties>
</file>