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333-258348</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5</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August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142875</wp:posOffset>
            </wp:positionV>
            <wp:extent cx="4277360"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77360"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85,750,000 Shares of Class A 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1,336,329,949 Shares of Class A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44,350,000 Warrants to Purchase Class A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Offered by the Selling Securityholders</w:t>
      </w:r>
    </w:p>
    <w:p>
      <w:pPr>
        <w:spacing w:after="0" w:line="211" w:lineRule="exact"/>
        <w:rPr>
          <w:sz w:val="24"/>
          <w:szCs w:val="24"/>
          <w:color w:val="auto"/>
        </w:rPr>
      </w:pPr>
    </w:p>
    <w:p>
      <w:pPr>
        <w:jc w:val="both"/>
        <w:ind w:firstLine="360"/>
        <w:spacing w:after="0" w:line="259" w:lineRule="auto"/>
        <w:rPr>
          <w:sz w:val="20"/>
          <w:szCs w:val="20"/>
          <w:color w:val="auto"/>
        </w:rPr>
      </w:pPr>
      <w:r>
        <w:rPr>
          <w:rFonts w:ascii="Arial" w:cs="Arial" w:eastAsia="Arial" w:hAnsi="Arial"/>
          <w:sz w:val="18"/>
          <w:szCs w:val="18"/>
          <w:color w:val="auto"/>
        </w:rPr>
        <w:t>This prospectus supplement is being filed to update and supplement the information contained in the prospectus dated August 24, 2021 (the “</w:t>
      </w:r>
      <w:r>
        <w:rPr>
          <w:rFonts w:ascii="Arial" w:cs="Arial" w:eastAsia="Arial" w:hAnsi="Arial"/>
          <w:sz w:val="18"/>
          <w:szCs w:val="18"/>
          <w:i w:val="1"/>
          <w:iCs w:val="1"/>
          <w:color w:val="auto"/>
        </w:rPr>
        <w:t>Prospectus</w:t>
      </w:r>
      <w:r>
        <w:rPr>
          <w:rFonts w:ascii="Arial" w:cs="Arial" w:eastAsia="Arial" w:hAnsi="Arial"/>
          <w:sz w:val="18"/>
          <w:szCs w:val="18"/>
          <w:color w:val="auto"/>
        </w:rPr>
        <w:t>”), which forms part of our registration statement on Form S-1 (No. 333-258348) with the information contained in our Current Report on Form 8-K, filed with the Securities and Exchange Commission (the “</w:t>
      </w:r>
      <w:r>
        <w:rPr>
          <w:rFonts w:ascii="Arial" w:cs="Arial" w:eastAsia="Arial" w:hAnsi="Arial"/>
          <w:sz w:val="18"/>
          <w:szCs w:val="18"/>
          <w:i w:val="1"/>
          <w:iCs w:val="1"/>
          <w:color w:val="auto"/>
        </w:rPr>
        <w:t>SEC</w:t>
      </w:r>
      <w:r>
        <w:rPr>
          <w:rFonts w:ascii="Arial" w:cs="Arial" w:eastAsia="Arial" w:hAnsi="Arial"/>
          <w:sz w:val="18"/>
          <w:szCs w:val="18"/>
          <w:color w:val="auto"/>
        </w:rPr>
        <w:t>”) on October 8, 2021 (the “</w:t>
      </w:r>
      <w:r>
        <w:rPr>
          <w:rFonts w:ascii="Arial" w:cs="Arial" w:eastAsia="Arial" w:hAnsi="Arial"/>
          <w:sz w:val="18"/>
          <w:szCs w:val="18"/>
          <w:i w:val="1"/>
          <w:iCs w:val="1"/>
          <w:color w:val="auto"/>
        </w:rPr>
        <w:t>Current Report</w:t>
      </w:r>
      <w:r>
        <w:rPr>
          <w:rFonts w:ascii="Arial" w:cs="Arial" w:eastAsia="Arial" w:hAnsi="Arial"/>
          <w:sz w:val="18"/>
          <w:szCs w:val="18"/>
          <w:color w:val="auto"/>
        </w:rPr>
        <w:t>”). Accordingly, we have attached the Current Report to this prospectus supplement.</w:t>
      </w:r>
    </w:p>
    <w:p>
      <w:pPr>
        <w:spacing w:after="0" w:line="187" w:lineRule="exact"/>
        <w:rPr>
          <w:sz w:val="24"/>
          <w:szCs w:val="24"/>
          <w:color w:val="auto"/>
        </w:rPr>
      </w:pPr>
    </w:p>
    <w:p>
      <w:pPr>
        <w:jc w:val="both"/>
        <w:ind w:firstLine="360"/>
        <w:spacing w:after="0" w:line="290" w:lineRule="auto"/>
        <w:rPr>
          <w:sz w:val="20"/>
          <w:szCs w:val="20"/>
          <w:color w:val="auto"/>
        </w:rPr>
      </w:pPr>
      <w:r>
        <w:rPr>
          <w:rFonts w:ascii="Arial" w:cs="Arial" w:eastAsia="Arial" w:hAnsi="Arial"/>
          <w:sz w:val="16"/>
          <w:szCs w:val="16"/>
          <w:color w:val="auto"/>
        </w:rPr>
        <w:t>The Prospectus and this prospectus supplement relate to: (1) the issuance by us of an aggregate of up to 85,750,000 shares of our common stock, par value $0.0001 per share (“</w:t>
      </w:r>
      <w:r>
        <w:rPr>
          <w:rFonts w:ascii="Arial" w:cs="Arial" w:eastAsia="Arial" w:hAnsi="Arial"/>
          <w:sz w:val="16"/>
          <w:szCs w:val="16"/>
          <w:i w:val="1"/>
          <w:iCs w:val="1"/>
          <w:color w:val="auto"/>
        </w:rPr>
        <w:t>Class A common stock</w:t>
      </w:r>
      <w:r>
        <w:rPr>
          <w:rFonts w:ascii="Arial" w:cs="Arial" w:eastAsia="Arial" w:hAnsi="Arial"/>
          <w:sz w:val="16"/>
          <w:szCs w:val="16"/>
          <w:color w:val="auto"/>
        </w:rPr>
        <w:t>”), consisting of (a) 41,400,000 shares of Class A common stock issuable upon exercise of the Public Warrants, (b) 42,850,000 shares of Class A common stock issuable upon exercise of the Private Placement Warrants and (c) 1,500,000 shares of Class A common stock issuable upon exercise of the Working Capital Warrants, and (2) the offer and sale from time to time by the selling securityholders named in the Prospectus (the “</w:t>
      </w:r>
      <w:r>
        <w:rPr>
          <w:rFonts w:ascii="Arial" w:cs="Arial" w:eastAsia="Arial" w:hAnsi="Arial"/>
          <w:sz w:val="16"/>
          <w:szCs w:val="16"/>
          <w:i w:val="1"/>
          <w:iCs w:val="1"/>
          <w:color w:val="auto"/>
        </w:rPr>
        <w:t>Selling Securityholders</w:t>
      </w:r>
      <w:r>
        <w:rPr>
          <w:rFonts w:ascii="Arial" w:cs="Arial" w:eastAsia="Arial" w:hAnsi="Arial"/>
          <w:sz w:val="16"/>
          <w:szCs w:val="16"/>
          <w:color w:val="auto"/>
        </w:rPr>
        <w:t>”), or their permitted transferees, of (a) up to 1,336,329,949 shares of Class A common stock, consisting of (i) 1,244,157,121 issued and outstanding shares of Class A common stock, (ii) 47,822,828 shares of Class A common stock subject to vesting and/or exercise of the assumed Lucid Equity Awards and (iii) 44,350,000 shares of Class A common stock issuable upon exercise of the Private Placement Warrants and the Working Capital Warrants, and (b) 44,350,000 warrants representing the Private Placement Warrants and the Working Capital Warrants.</w:t>
      </w:r>
    </w:p>
    <w:p>
      <w:pPr>
        <w:spacing w:after="0" w:line="165" w:lineRule="exact"/>
        <w:rPr>
          <w:sz w:val="24"/>
          <w:szCs w:val="24"/>
          <w:color w:val="auto"/>
        </w:rPr>
      </w:pPr>
    </w:p>
    <w:p>
      <w:pPr>
        <w:jc w:val="both"/>
        <w:ind w:firstLine="360"/>
        <w:spacing w:after="0" w:line="257"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spacing w:after="0" w:line="188" w:lineRule="exact"/>
        <w:rPr>
          <w:sz w:val="24"/>
          <w:szCs w:val="24"/>
          <w:color w:val="auto"/>
        </w:rPr>
      </w:pPr>
    </w:p>
    <w:p>
      <w:pPr>
        <w:jc w:val="both"/>
        <w:ind w:firstLine="360"/>
        <w:spacing w:after="0" w:line="257" w:lineRule="auto"/>
        <w:rPr>
          <w:sz w:val="20"/>
          <w:szCs w:val="20"/>
          <w:color w:val="auto"/>
        </w:rPr>
      </w:pPr>
      <w:r>
        <w:rPr>
          <w:rFonts w:ascii="Arial" w:cs="Arial" w:eastAsia="Arial" w:hAnsi="Arial"/>
          <w:sz w:val="18"/>
          <w:szCs w:val="18"/>
          <w:color w:val="auto"/>
        </w:rPr>
        <w:t>We are an “emerging growth company” as defined in Section 2(a) of the Securities Act and are subject to reduced public company reporting requirements. We expect that we will cease to be an emerging growth company as of December 31, 2021. As of July 23, 2021, our majority stockholder, Ayar, owned approximately 62.7% of our outstanding common stock. As a result, we are a “controlled company” within the meaning of Nasdaq rules and, as a result, qualify for exemptions from certain corporate governance requirements. Ayar also currently has the ability to nominate five of the nine directors to our Board.</w:t>
      </w:r>
    </w:p>
    <w:p>
      <w:pPr>
        <w:spacing w:after="0" w:line="188" w:lineRule="exact"/>
        <w:rPr>
          <w:sz w:val="24"/>
          <w:szCs w:val="24"/>
          <w:color w:val="auto"/>
        </w:rPr>
      </w:pPr>
    </w:p>
    <w:p>
      <w:pPr>
        <w:jc w:val="both"/>
        <w:ind w:firstLine="324"/>
        <w:spacing w:after="0" w:line="259" w:lineRule="auto"/>
        <w:rPr>
          <w:sz w:val="20"/>
          <w:szCs w:val="20"/>
          <w:color w:val="auto"/>
        </w:rPr>
      </w:pPr>
      <w:r>
        <w:rPr>
          <w:rFonts w:ascii="Arial" w:cs="Arial" w:eastAsia="Arial" w:hAnsi="Arial"/>
          <w:sz w:val="18"/>
          <w:szCs w:val="18"/>
          <w:color w:val="auto"/>
        </w:rPr>
        <w:t>You should read the Prospectus, this prospectus supplement and any additional prospectus supplement or amendment carefully before you invest in our securities. Our Class A common stock and Public Warrants are listed on The Nasdaq Stock Market LLC under the symbols “LCID” and “LCIDW,” respectively. On October 7, 2021, the closing price of our Class A common stock was $24.38 per share and the closing price for our Public Warrants was $10.83.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ind w:firstLine="360"/>
        <w:spacing w:after="0" w:line="282" w:lineRule="auto"/>
        <w:rPr>
          <w:sz w:val="20"/>
          <w:szCs w:val="20"/>
          <w:color w:val="auto"/>
        </w:rPr>
      </w:pPr>
      <w:r>
        <w:rPr>
          <w:rFonts w:ascii="Arial" w:cs="Arial" w:eastAsia="Arial" w:hAnsi="Arial"/>
          <w:sz w:val="18"/>
          <w:szCs w:val="18"/>
          <w:b w:val="1"/>
          <w:bCs w:val="1"/>
          <w:color w:val="auto"/>
        </w:rPr>
        <w:t>Investing in our Class A common stock and warrants involves a high degree of risk. See the section titled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8 of the Prospectus.</w:t>
      </w:r>
    </w:p>
    <w:p>
      <w:pPr>
        <w:spacing w:after="0" w:line="162" w:lineRule="exact"/>
        <w:rPr>
          <w:sz w:val="20"/>
          <w:szCs w:val="20"/>
          <w:color w:val="auto"/>
        </w:rPr>
      </w:pPr>
    </w:p>
    <w:p>
      <w:pPr>
        <w:ind w:firstLine="360"/>
        <w:spacing w:after="0" w:line="282" w:lineRule="auto"/>
        <w:rPr>
          <w:sz w:val="20"/>
          <w:szCs w:val="20"/>
          <w:color w:val="auto"/>
        </w:rPr>
      </w:pPr>
      <w:r>
        <w:rPr>
          <w:rFonts w:ascii="Arial" w:cs="Arial" w:eastAsia="Arial" w:hAnsi="Arial"/>
          <w:sz w:val="18"/>
          <w:szCs w:val="18"/>
          <w:b w:val="1"/>
          <w:bCs w:val="1"/>
          <w:color w:val="auto"/>
        </w:rPr>
        <w:t>Neither the SEC nor any other state securities commission has approved or disapproved of these securities or passed on the adequacy or accuracy of the Prospectus or this prospectus supplement. Any representation to the contrary is a criminal offense.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October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174625</wp:posOffset>
            </wp:positionV>
            <wp:extent cx="21945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163195</wp:posOffset>
            </wp:positionV>
            <wp:extent cx="2194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1520" w:type="dxa"/>
        <w:tblCellMar>
          <w:top w:w="0" w:type="dxa"/>
          <w:left w:w="0" w:type="dxa"/>
          <w:bottom w:w="0" w:type="dxa"/>
          <w:right w:w="0" w:type="dxa"/>
        </w:tblCellMar>
      </w:tblPr>
      <w:tr>
        <w:trPr>
          <w:trHeight w:val="220"/>
        </w:trPr>
        <w:tc>
          <w:tcPr>
            <w:tcW w:w="2340" w:type="dxa"/>
            <w:vAlign w:val="bottom"/>
          </w:tcPr>
          <w:p>
            <w:pPr>
              <w:jc w:val="center"/>
              <w:ind w:right="1210"/>
              <w:spacing w:after="0"/>
              <w:rPr>
                <w:sz w:val="20"/>
                <w:szCs w:val="20"/>
                <w:color w:val="auto"/>
              </w:rPr>
            </w:pPr>
            <w:r>
              <w:rPr>
                <w:rFonts w:ascii="Arial" w:cs="Arial" w:eastAsia="Arial" w:hAnsi="Arial"/>
                <w:sz w:val="18"/>
                <w:szCs w:val="18"/>
                <w:b w:val="1"/>
                <w:bCs w:val="1"/>
                <w:color w:val="auto"/>
                <w:w w:val="91"/>
              </w:rPr>
              <w:t>Delaware</w:t>
            </w:r>
          </w:p>
        </w:tc>
        <w:tc>
          <w:tcPr>
            <w:tcW w:w="370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001-39408</w:t>
            </w:r>
          </w:p>
        </w:tc>
        <w:tc>
          <w:tcPr>
            <w:tcW w:w="2440" w:type="dxa"/>
            <w:vAlign w:val="bottom"/>
          </w:tcPr>
          <w:p>
            <w:pPr>
              <w:jc w:val="center"/>
              <w:ind w:left="1030"/>
              <w:spacing w:after="0"/>
              <w:rPr>
                <w:sz w:val="20"/>
                <w:szCs w:val="20"/>
                <w:color w:val="auto"/>
              </w:rPr>
            </w:pPr>
            <w:r>
              <w:rPr>
                <w:rFonts w:ascii="Arial" w:cs="Arial" w:eastAsia="Arial" w:hAnsi="Arial"/>
                <w:sz w:val="18"/>
                <w:szCs w:val="18"/>
                <w:b w:val="1"/>
                <w:bCs w:val="1"/>
                <w:color w:val="auto"/>
                <w:w w:val="91"/>
              </w:rPr>
              <w:t>85-0891392</w:t>
            </w:r>
          </w:p>
        </w:tc>
      </w:tr>
      <w:tr>
        <w:trPr>
          <w:trHeight w:val="216"/>
        </w:trPr>
        <w:tc>
          <w:tcPr>
            <w:tcW w:w="2340" w:type="dxa"/>
            <w:vAlign w:val="bottom"/>
          </w:tcPr>
          <w:p>
            <w:pPr>
              <w:jc w:val="center"/>
              <w:ind w:right="1230"/>
              <w:spacing w:after="0"/>
              <w:rPr>
                <w:sz w:val="20"/>
                <w:szCs w:val="20"/>
                <w:color w:val="auto"/>
              </w:rPr>
            </w:pPr>
            <w:r>
              <w:rPr>
                <w:rFonts w:ascii="Arial" w:cs="Arial" w:eastAsia="Arial" w:hAnsi="Arial"/>
                <w:sz w:val="18"/>
                <w:szCs w:val="18"/>
                <w:color w:val="auto"/>
                <w:w w:val="88"/>
              </w:rPr>
              <w:t>(State or other</w:t>
            </w:r>
          </w:p>
        </w:tc>
        <w:tc>
          <w:tcPr>
            <w:tcW w:w="3700" w:type="dxa"/>
            <w:vAlign w:val="bottom"/>
          </w:tcPr>
          <w:p>
            <w:pPr>
              <w:jc w:val="center"/>
              <w:ind w:left="90"/>
              <w:spacing w:after="0"/>
              <w:rPr>
                <w:sz w:val="20"/>
                <w:szCs w:val="20"/>
                <w:color w:val="auto"/>
              </w:rPr>
            </w:pPr>
            <w:r>
              <w:rPr>
                <w:rFonts w:ascii="Arial" w:cs="Arial" w:eastAsia="Arial" w:hAnsi="Arial"/>
                <w:sz w:val="18"/>
                <w:szCs w:val="18"/>
                <w:color w:val="auto"/>
                <w:w w:val="92"/>
              </w:rPr>
              <w:t>(Commission File</w:t>
            </w:r>
          </w:p>
        </w:tc>
        <w:tc>
          <w:tcPr>
            <w:tcW w:w="2440" w:type="dxa"/>
            <w:vAlign w:val="bottom"/>
          </w:tcPr>
          <w:p>
            <w:pPr>
              <w:jc w:val="center"/>
              <w:ind w:left="1030"/>
              <w:spacing w:after="0"/>
              <w:rPr>
                <w:sz w:val="20"/>
                <w:szCs w:val="20"/>
                <w:color w:val="auto"/>
              </w:rPr>
            </w:pPr>
            <w:r>
              <w:rPr>
                <w:rFonts w:ascii="Arial" w:cs="Arial" w:eastAsia="Arial" w:hAnsi="Arial"/>
                <w:sz w:val="18"/>
                <w:szCs w:val="18"/>
                <w:color w:val="auto"/>
                <w:w w:val="93"/>
              </w:rPr>
              <w:t>(I.R.S. Employer</w:t>
            </w:r>
          </w:p>
        </w:tc>
      </w:tr>
      <w:tr>
        <w:trPr>
          <w:trHeight w:val="216"/>
        </w:trPr>
        <w:tc>
          <w:tcPr>
            <w:tcW w:w="2340" w:type="dxa"/>
            <w:vAlign w:val="bottom"/>
          </w:tcPr>
          <w:p>
            <w:pPr>
              <w:jc w:val="center"/>
              <w:ind w:right="1230"/>
              <w:spacing w:after="0"/>
              <w:rPr>
                <w:sz w:val="20"/>
                <w:szCs w:val="20"/>
                <w:color w:val="auto"/>
              </w:rPr>
            </w:pPr>
            <w:r>
              <w:rPr>
                <w:rFonts w:ascii="Arial" w:cs="Arial" w:eastAsia="Arial" w:hAnsi="Arial"/>
                <w:sz w:val="18"/>
                <w:szCs w:val="18"/>
                <w:color w:val="auto"/>
                <w:w w:val="97"/>
              </w:rPr>
              <w:t>jurisdiction of</w:t>
            </w:r>
          </w:p>
        </w:tc>
        <w:tc>
          <w:tcPr>
            <w:tcW w:w="3700" w:type="dxa"/>
            <w:vAlign w:val="bottom"/>
          </w:tcPr>
          <w:p>
            <w:pPr>
              <w:jc w:val="center"/>
              <w:ind w:left="90"/>
              <w:spacing w:after="0"/>
              <w:rPr>
                <w:sz w:val="20"/>
                <w:szCs w:val="20"/>
                <w:color w:val="auto"/>
              </w:rPr>
            </w:pPr>
            <w:r>
              <w:rPr>
                <w:rFonts w:ascii="Arial" w:cs="Arial" w:eastAsia="Arial" w:hAnsi="Arial"/>
                <w:sz w:val="18"/>
                <w:szCs w:val="18"/>
                <w:color w:val="auto"/>
                <w:w w:val="91"/>
              </w:rPr>
              <w:t>Number)</w:t>
            </w:r>
          </w:p>
        </w:tc>
        <w:tc>
          <w:tcPr>
            <w:tcW w:w="2440" w:type="dxa"/>
            <w:vAlign w:val="bottom"/>
          </w:tcPr>
          <w:p>
            <w:pPr>
              <w:jc w:val="center"/>
              <w:ind w:left="1010"/>
              <w:spacing w:after="0"/>
              <w:rPr>
                <w:sz w:val="20"/>
                <w:szCs w:val="20"/>
                <w:color w:val="auto"/>
              </w:rPr>
            </w:pPr>
            <w:r>
              <w:rPr>
                <w:rFonts w:ascii="Arial" w:cs="Arial" w:eastAsia="Arial" w:hAnsi="Arial"/>
                <w:sz w:val="18"/>
                <w:szCs w:val="18"/>
                <w:color w:val="auto"/>
                <w:w w:val="95"/>
              </w:rPr>
              <w:t>Identification No.)</w:t>
            </w:r>
          </w:p>
        </w:tc>
      </w:tr>
      <w:tr>
        <w:trPr>
          <w:trHeight w:val="230"/>
        </w:trPr>
        <w:tc>
          <w:tcPr>
            <w:tcW w:w="2340" w:type="dxa"/>
            <w:vAlign w:val="bottom"/>
          </w:tcPr>
          <w:p>
            <w:pPr>
              <w:jc w:val="center"/>
              <w:ind w:right="1230"/>
              <w:spacing w:after="0"/>
              <w:rPr>
                <w:sz w:val="20"/>
                <w:szCs w:val="20"/>
                <w:color w:val="auto"/>
              </w:rPr>
            </w:pPr>
            <w:r>
              <w:rPr>
                <w:rFonts w:ascii="Arial" w:cs="Arial" w:eastAsia="Arial" w:hAnsi="Arial"/>
                <w:sz w:val="18"/>
                <w:szCs w:val="18"/>
                <w:color w:val="auto"/>
                <w:w w:val="92"/>
              </w:rPr>
              <w:t>incorporation)</w:t>
            </w:r>
          </w:p>
        </w:tc>
        <w:tc>
          <w:tcPr>
            <w:tcW w:w="3700" w:type="dxa"/>
            <w:vAlign w:val="bottom"/>
          </w:tcPr>
          <w:p>
            <w:pPr>
              <w:spacing w:after="0"/>
              <w:rPr>
                <w:sz w:val="20"/>
                <w:szCs w:val="20"/>
                <w:color w:val="auto"/>
              </w:rPr>
            </w:pPr>
          </w:p>
        </w:tc>
        <w:tc>
          <w:tcPr>
            <w:tcW w:w="2440" w:type="dxa"/>
            <w:vAlign w:val="bottom"/>
          </w:tcPr>
          <w:p>
            <w:pPr>
              <w:spacing w:after="0"/>
              <w:rPr>
                <w:sz w:val="20"/>
                <w:szCs w:val="20"/>
                <w:color w:val="auto"/>
              </w:rPr>
            </w:pPr>
          </w:p>
        </w:tc>
      </w:tr>
    </w:tbl>
    <w:p>
      <w:pPr>
        <w:spacing w:after="0" w:line="157" w:lineRule="exact"/>
        <w:rPr>
          <w:sz w:val="20"/>
          <w:szCs w:val="20"/>
          <w:color w:val="auto"/>
        </w:rPr>
      </w:pPr>
    </w:p>
    <w:p>
      <w:pPr>
        <w:sectPr>
          <w:pgSz w:w="11900" w:h="16838" w:orient="portrait"/>
          <w:cols w:equalWidth="0" w:num="1">
            <w:col w:w="11240"/>
          </w:cols>
          <w:pgMar w:left="320" w:top="1440" w:right="339" w:bottom="1440" w:gutter="0" w:footer="0" w:header="0"/>
        </w:sectPr>
      </w:pPr>
    </w:p>
    <w:p>
      <w:pPr>
        <w:jc w:val="center"/>
        <w:ind w:right="1640"/>
        <w:spacing w:after="0"/>
        <w:rPr>
          <w:sz w:val="20"/>
          <w:szCs w:val="20"/>
          <w:color w:val="auto"/>
        </w:rPr>
      </w:pPr>
      <w:r>
        <w:rPr>
          <w:rFonts w:ascii="Arial" w:cs="Arial" w:eastAsia="Arial" w:hAnsi="Arial"/>
          <w:sz w:val="18"/>
          <w:szCs w:val="18"/>
          <w:b w:val="1"/>
          <w:bCs w:val="1"/>
          <w:color w:val="auto"/>
        </w:rPr>
        <w:t>7373 Gateway Blvd</w:t>
      </w:r>
    </w:p>
    <w:p>
      <w:pPr>
        <w:spacing w:after="0" w:line="27" w:lineRule="exact"/>
        <w:rPr>
          <w:sz w:val="20"/>
          <w:szCs w:val="20"/>
          <w:color w:val="auto"/>
        </w:rPr>
      </w:pPr>
    </w:p>
    <w:p>
      <w:pPr>
        <w:jc w:val="center"/>
        <w:ind w:right="164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0"/>
          <w:szCs w:val="20"/>
          <w:color w:val="auto"/>
        </w:rPr>
      </w:pPr>
    </w:p>
    <w:p>
      <w:pPr>
        <w:jc w:val="center"/>
        <w:ind w:right="16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(Zip Code)</w:t>
      </w:r>
    </w:p>
    <w:p>
      <w:pPr>
        <w:spacing w:after="0" w:line="193" w:lineRule="exact"/>
        <w:rPr>
          <w:sz w:val="20"/>
          <w:szCs w:val="20"/>
          <w:color w:val="auto"/>
        </w:rPr>
      </w:pPr>
    </w:p>
    <w:p>
      <w:pPr>
        <w:sectPr>
          <w:pgSz w:w="11900" w:h="16838" w:orient="portrait"/>
          <w:cols w:equalWidth="0" w:num="2">
            <w:col w:w="7400" w:space="720"/>
            <w:col w:w="3120"/>
          </w:cols>
          <w:pgMar w:left="320" w:top="1440" w:right="339" w:bottom="1440" w:gutter="0" w:footer="0" w:header="0"/>
          <w:type w:val="continuous"/>
        </w:sectPr>
      </w:pPr>
    </w:p>
    <w:p>
      <w:pPr>
        <w:jc w:val="center"/>
        <w:ind w:right="100"/>
        <w:spacing w:after="0"/>
        <w:rPr>
          <w:sz w:val="20"/>
          <w:szCs w:val="20"/>
          <w:color w:val="auto"/>
        </w:rPr>
      </w:pPr>
      <w:r>
        <w:rPr>
          <w:rFonts w:ascii="Arial" w:cs="Arial" w:eastAsia="Arial" w:hAnsi="Arial"/>
          <w:sz w:val="16"/>
          <w:szCs w:val="16"/>
          <w:color w:val="auto"/>
        </w:rPr>
        <w:t>Registrant’s telephone number, including area code: (510) 648-3553</w:t>
      </w:r>
    </w:p>
    <w:p>
      <w:pPr>
        <w:spacing w:after="0" w:line="24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176530</wp:posOffset>
            </wp:positionV>
            <wp:extent cx="21945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0"/>
          <w:szCs w:val="20"/>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Title of each class</w:t>
            </w:r>
          </w:p>
        </w:tc>
        <w:tc>
          <w:tcPr>
            <w:tcW w:w="38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Trading Symbol</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120" w:type="dxa"/>
            <w:vAlign w:val="bottom"/>
          </w:tcPr>
          <w:p>
            <w:pPr>
              <w:spacing w:after="0"/>
              <w:rPr>
                <w:sz w:val="16"/>
                <w:szCs w:val="16"/>
                <w:color w:val="auto"/>
              </w:rPr>
            </w:pPr>
          </w:p>
        </w:tc>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LCID</w:t>
            </w:r>
          </w:p>
        </w:tc>
        <w:tc>
          <w:tcPr>
            <w:tcW w:w="120" w:type="dxa"/>
            <w:vAlign w:val="bottom"/>
          </w:tcPr>
          <w:p>
            <w:pPr>
              <w:spacing w:after="0"/>
              <w:rPr>
                <w:sz w:val="16"/>
                <w:szCs w:val="16"/>
                <w:color w:val="auto"/>
              </w:rPr>
            </w:pPr>
          </w:p>
        </w:tc>
        <w:tc>
          <w:tcPr>
            <w:tcW w:w="34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940" w:type="dxa"/>
            <w:vAlign w:val="bottom"/>
            <w:gridSpan w:val="2"/>
          </w:tcPr>
          <w:p>
            <w:pPr>
              <w:jc w:val="center"/>
              <w:ind w:right="40"/>
              <w:spacing w:after="0"/>
              <w:rPr>
                <w:sz w:val="20"/>
                <w:szCs w:val="20"/>
                <w:color w:val="auto"/>
              </w:rPr>
            </w:pPr>
            <w:r>
              <w:rPr>
                <w:rFonts w:ascii="Arial" w:cs="Arial" w:eastAsia="Arial" w:hAnsi="Arial"/>
                <w:sz w:val="18"/>
                <w:szCs w:val="18"/>
                <w:color w:val="auto"/>
                <w:w w:val="84"/>
              </w:rPr>
              <w:t>share</w:t>
            </w:r>
          </w:p>
        </w:tc>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8"/>
        </w:trPr>
        <w:tc>
          <w:tcPr>
            <w:tcW w:w="394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Warrants, each exercisable for one share of Class A</w:t>
            </w:r>
          </w:p>
        </w:tc>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LCIDW</w:t>
            </w: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9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Common Stock at an exercise price of $11.50 per</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30"/>
        </w:trPr>
        <w:tc>
          <w:tcPr>
            <w:tcW w:w="3940" w:type="dxa"/>
            <w:vAlign w:val="bottom"/>
            <w:gridSpan w:val="2"/>
          </w:tcPr>
          <w:p>
            <w:pPr>
              <w:jc w:val="center"/>
              <w:ind w:right="40"/>
              <w:spacing w:after="0"/>
              <w:rPr>
                <w:sz w:val="20"/>
                <w:szCs w:val="20"/>
                <w:color w:val="auto"/>
              </w:rPr>
            </w:pPr>
            <w:r>
              <w:rPr>
                <w:rFonts w:ascii="Arial" w:cs="Arial" w:eastAsia="Arial" w:hAnsi="Arial"/>
                <w:sz w:val="18"/>
                <w:szCs w:val="18"/>
                <w:color w:val="auto"/>
                <w:w w:val="84"/>
              </w:rPr>
              <w:t>share</w:t>
            </w:r>
          </w:p>
        </w:tc>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bl>
    <w:p>
      <w:pPr>
        <w:spacing w:after="0" w:line="202" w:lineRule="exact"/>
        <w:rPr>
          <w:sz w:val="20"/>
          <w:szCs w:val="20"/>
          <w:color w:val="auto"/>
        </w:rPr>
      </w:pPr>
    </w:p>
    <w:p>
      <w:pPr>
        <w:jc w:val="both"/>
        <w:ind w:right="5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904875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5"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color w:val="auto"/>
        </w:rPr>
        <w:t>On October 8, 2021, Lucid Group, Inc. (the “</w:t>
      </w:r>
      <w:r>
        <w:rPr>
          <w:rFonts w:ascii="Arial" w:cs="Arial" w:eastAsia="Arial" w:hAnsi="Arial"/>
          <w:sz w:val="18"/>
          <w:szCs w:val="18"/>
          <w:b w:val="1"/>
          <w:bCs w:val="1"/>
          <w:color w:val="auto"/>
        </w:rPr>
        <w:t>Company</w:t>
      </w:r>
      <w:r>
        <w:rPr>
          <w:rFonts w:ascii="Arial" w:cs="Arial" w:eastAsia="Arial" w:hAnsi="Arial"/>
          <w:sz w:val="18"/>
          <w:szCs w:val="18"/>
          <w:color w:val="auto"/>
        </w:rPr>
        <w:t>”) repurchased an aggregate of 857,825 shares of its Class A Common Stock from certain individuals (the “</w:t>
      </w:r>
      <w:r>
        <w:rPr>
          <w:rFonts w:ascii="Arial" w:cs="Arial" w:eastAsia="Arial" w:hAnsi="Arial"/>
          <w:sz w:val="18"/>
          <w:szCs w:val="18"/>
          <w:b w:val="1"/>
          <w:bCs w:val="1"/>
          <w:color w:val="auto"/>
        </w:rPr>
        <w:t>Individual Sellers</w:t>
      </w:r>
      <w:r>
        <w:rPr>
          <w:rFonts w:ascii="Arial" w:cs="Arial" w:eastAsia="Arial" w:hAnsi="Arial"/>
          <w:sz w:val="18"/>
          <w:szCs w:val="18"/>
          <w:color w:val="auto"/>
        </w:rPr>
        <w:t>”) who were directors and employees of the Company’s predecessor, Atieva, Inc. (“</w:t>
      </w:r>
      <w:r>
        <w:rPr>
          <w:rFonts w:ascii="Arial" w:cs="Arial" w:eastAsia="Arial" w:hAnsi="Arial"/>
          <w:sz w:val="18"/>
          <w:szCs w:val="18"/>
          <w:b w:val="1"/>
          <w:bCs w:val="1"/>
          <w:color w:val="auto"/>
        </w:rPr>
        <w:t>Atieva</w:t>
      </w:r>
      <w:r>
        <w:rPr>
          <w:rFonts w:ascii="Arial" w:cs="Arial" w:eastAsia="Arial" w:hAnsi="Arial"/>
          <w:sz w:val="18"/>
          <w:szCs w:val="18"/>
          <w:color w:val="auto"/>
        </w:rPr>
        <w:t>”) (such transactions, the “</w:t>
      </w:r>
      <w:r>
        <w:rPr>
          <w:rFonts w:ascii="Arial" w:cs="Arial" w:eastAsia="Arial" w:hAnsi="Arial"/>
          <w:sz w:val="18"/>
          <w:szCs w:val="18"/>
          <w:b w:val="1"/>
          <w:bCs w:val="1"/>
          <w:color w:val="auto"/>
        </w:rPr>
        <w:t>Repurchases</w:t>
      </w:r>
      <w:r>
        <w:rPr>
          <w:rFonts w:ascii="Arial" w:cs="Arial" w:eastAsia="Arial" w:hAnsi="Arial"/>
          <w:sz w:val="18"/>
          <w:szCs w:val="18"/>
          <w:color w:val="auto"/>
        </w:rPr>
        <w:t>”). The repurchase price was $24.15 per share, which is equal to the average closing price of the Company’s Class A Common Stock on the Nasdaq Global Select Market for the three trading day period ending on and including October 6, 2021, the second trading day prior to the date of the Repurchases. The Repurchases were effected pursuant to voluntary individual agreements (the “</w:t>
      </w:r>
      <w:r>
        <w:rPr>
          <w:rFonts w:ascii="Arial" w:cs="Arial" w:eastAsia="Arial" w:hAnsi="Arial"/>
          <w:sz w:val="18"/>
          <w:szCs w:val="18"/>
          <w:b w:val="1"/>
          <w:bCs w:val="1"/>
          <w:color w:val="auto"/>
        </w:rPr>
        <w:t>Repurchase Agreements</w:t>
      </w:r>
      <w:r>
        <w:rPr>
          <w:rFonts w:ascii="Arial" w:cs="Arial" w:eastAsia="Arial" w:hAnsi="Arial"/>
          <w:sz w:val="18"/>
          <w:szCs w:val="18"/>
          <w:color w:val="auto"/>
        </w:rPr>
        <w:t>”) with each of the Individual Sellers.</w:t>
      </w:r>
    </w:p>
    <w:p>
      <w:pPr>
        <w:spacing w:after="0" w:line="191"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The Repurchases were effected solely to allow the Individual Sellers to satisfy certain tax obligations (including tax withholding obligations of the Company) incurred in connection with such Individual Sellers’ purchase of shares of Series E Preferred Stock from Atieva on April 2, 2021. At the closing of the Repurchases, the Company applied the proceeds to remitting required tax withholding to the applicable U.S. tax authorities.</w:t>
      </w:r>
    </w:p>
    <w:p>
      <w:pPr>
        <w:spacing w:after="0" w:line="165"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The Individual Sellers included Peter Rawlinson, a director of the Company and the Company’s Chief Executive Officer and Chief Technology Officer, from whom the Company repurchased 178,796 shares; Eric Bach, the Company’s Senior Vice President, Product and Chief Engineer, from whom the Company repurchased 195,557 shares; Michael Bell, the Company’s Senior Vice President, Digital, from whom the Company repurchased 33,526 shares; and Tony Posawatz, a director of the Company, from whom the Company repurchased 14,511 shares.</w:t>
      </w:r>
    </w:p>
    <w:p>
      <w:pPr>
        <w:spacing w:after="0" w:line="17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Repurchases and the Repurchase Agreements were approved by the Audit Committee and by the Board of Directors. In addition, the Board of Directors exempted the Repurchases from the application of Article 5, Section 5.04 of the Company’s Amended and Restated Bylaws, which otherwise restricts holders of shares of the Company’s Class A Common Stock that were acquired in exchange for shares of Atieva from transferring such shares until January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October 8, 2021</w:t>
      </w:r>
      <w:r>
        <w:rPr>
          <w:sz w:val="20"/>
          <w:szCs w:val="20"/>
          <w:color w:val="auto"/>
        </w:rPr>
        <w:tab/>
      </w:r>
      <w:r>
        <w:rPr>
          <w:rFonts w:ascii="Arial" w:cs="Arial" w:eastAsia="Arial" w:hAnsi="Arial"/>
          <w:sz w:val="17"/>
          <w:szCs w:val="17"/>
          <w:color w:val="auto"/>
        </w:rPr>
        <w:t>LUCID GROUP, INC.</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2021-10-08T16:27:39Z</dcterms:created>
  <dcterms:modified xsi:type="dcterms:W3CDTF">2021-10-08T16:27:39Z</dcterms:modified>
</cp:coreProperties>
</file>