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Although its financial results for the quarter ended March 31, 2025 are not yet finalized,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estimates that its financial results and certain operational information will fall within the following ranges.</w:t>
      </w:r>
    </w:p>
    <w:p>
      <w:pPr>
        <w:spacing w:after="0" w:line="15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Quarter Ended</w:t>
      </w:r>
    </w:p>
    <w:p>
      <w:pPr>
        <w:spacing w:after="0" w:line="31"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5715</wp:posOffset>
            </wp:positionV>
            <wp:extent cx="1911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ind w:left="854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Low</w:t>
      </w:r>
      <w:r>
        <w:rPr>
          <w:sz w:val="20"/>
          <w:szCs w:val="20"/>
          <w:color w:val="auto"/>
        </w:rPr>
        <w:tab/>
      </w:r>
      <w:r>
        <w:rPr>
          <w:rFonts w:ascii="Times New Roman" w:cs="Times New Roman" w:eastAsia="Times New Roman" w:hAnsi="Times New Roman"/>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911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Statement of Operations Data:</w:t>
            </w:r>
          </w:p>
        </w:tc>
        <w:tc>
          <w:tcPr>
            <w:tcW w:w="2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232,000</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236,000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investments (at end of period)</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4,485,000</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4,560,000</w:t>
            </w: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(at end of period)</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2,003,461</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2,003,461</w:t>
            </w: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approximately $5.7 billion of total liquidity, consisting of (i) approximately $4.5 billion in cash, cash equivalents, and investments, (ii) $750 million available under its DDTL Credit Facility, (iii) approximately $170 million available under its ABL Credit Facility,</w:t>
      </w:r>
    </w:p>
    <w:p>
      <w:pPr>
        <w:ind w:right="400" w:firstLine="8"/>
        <w:spacing w:after="0" w:line="260"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 million available under its GIB Credit Facility, and (v) approximately $26 million of investment in equity securities of a related party (Aston Martin). Availability under the Company’s ABL Credit Facility is subject to the value of eligible assets in the borrowing base.</w:t>
      </w:r>
    </w:p>
    <w:p>
      <w:pPr>
        <w:spacing w:after="0" w:line="1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Total liquidity of approximately $5.7 billion is calculated using sum of midpoint of the estimated cash, cash equivalents, investments range, availability under the Company’s DDTL Credit Facility, ABL Credit Facility and GIB Credit Facility, and market value of the Company’s investment in equity securities of Aston Martin. Long-term debt figure includes unamortized discount and issuance costs.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during the quarter ended March 31, 2025, the Company produced 2,212 vehicles, plus over 600 additional vehicles in transit to Saudi Arabia for final assembly. During the same period, the Company delivered 3,109 vehicles.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foregoing estimates are preliminary as the Company is in the process of completing its closing procedures for the quarter ended March 31, 2025. The preliminary estimates are based solely upon information available to the Company as of the date of this Current Report on Form 8-K and actual results may differ from these estimates subject to the completion of the Company’s quarter-end closing procedures, final adjustments and developments that may arise between now and the time the financial results for the quarter ended March 31, 2025 are finalized. Investors should refer to the actual results included in the Company’s financial statements for the quarter ended March 31, 2025 once it becomes available upon filing of the Company’s Quarterly Report on Form 10-Q.</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not reviewed or performed any procedures with respect to these preliminary estimates and, accordingly, does not express an opinion or any other form of assurance about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is incorporated by reference herein.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40"/>
      </w:cols>
      <w:pgMar w:left="320" w:top="90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2025-04-02T15:32:18Z</dcterms:created>
  <dcterms:modified xsi:type="dcterms:W3CDTF">2025-04-02T15:32:18Z</dcterms:modified>
</cp:coreProperties>
</file>