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13D/A</w:t>
      </w: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10"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color w:val="auto"/>
        </w:rPr>
        <w:t>_________________________________</w:t>
      </w:r>
    </w:p>
    <w:p>
      <w:pPr>
        <w:spacing w:after="0" w:line="2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0"/>
          <w:szCs w:val="40"/>
          <w:b w:val="1"/>
          <w:bCs w:val="1"/>
          <w:color w:val="auto"/>
        </w:rPr>
        <w:t>LUCID GROUP, INC.</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3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Class A Common Stock, par value $0.0001 per share</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39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549498 103</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7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Jonathan Butler, General Counsel</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 Lucid Group, Inc.</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color w:val="auto"/>
        </w:rPr>
        <w:t>7373 Gateway Boulevard</w:t>
      </w:r>
    </w:p>
    <w:p>
      <w:pPr>
        <w:jc w:val="center"/>
        <w:ind w:right="-39"/>
        <w:spacing w:after="0" w:line="231" w:lineRule="auto"/>
        <w:rPr>
          <w:sz w:val="20"/>
          <w:szCs w:val="20"/>
          <w:color w:val="auto"/>
        </w:rPr>
      </w:pPr>
      <w:r>
        <w:rPr>
          <w:rFonts w:ascii="Times New Roman" w:cs="Times New Roman" w:eastAsia="Times New Roman" w:hAnsi="Times New Roman"/>
          <w:sz w:val="22"/>
          <w:szCs w:val="22"/>
          <w:b w:val="1"/>
          <w:bCs w:val="1"/>
          <w:color w:val="auto"/>
        </w:rPr>
        <w:t>Newark, CA 94560</w:t>
      </w:r>
    </w:p>
    <w:p>
      <w:pPr>
        <w:jc w:val="center"/>
        <w:ind w:right="-39"/>
        <w:spacing w:after="0" w:line="227" w:lineRule="auto"/>
        <w:rPr>
          <w:sz w:val="20"/>
          <w:szCs w:val="20"/>
          <w:color w:val="auto"/>
        </w:rPr>
      </w:pPr>
      <w:r>
        <w:rPr>
          <w:rFonts w:ascii="Times New Roman" w:cs="Times New Roman" w:eastAsia="Times New Roman" w:hAnsi="Times New Roman"/>
          <w:sz w:val="22"/>
          <w:szCs w:val="22"/>
          <w:b w:val="1"/>
          <w:bCs w:val="1"/>
          <w:color w:val="auto"/>
        </w:rPr>
        <w:t>Telephone: (212) 380-7500</w:t>
      </w:r>
    </w:p>
    <w:p>
      <w:pPr>
        <w:jc w:val="center"/>
        <w:ind w:right="-39"/>
        <w:spacing w:after="0" w:line="222" w:lineRule="auto"/>
        <w:rPr>
          <w:sz w:val="20"/>
          <w:szCs w:val="20"/>
          <w:color w:val="auto"/>
        </w:rPr>
      </w:pPr>
      <w:r>
        <w:rPr>
          <w:rFonts w:ascii="Times New Roman" w:cs="Times New Roman" w:eastAsia="Times New Roman" w:hAnsi="Times New Roman"/>
          <w:sz w:val="14"/>
          <w:szCs w:val="14"/>
          <w:b w:val="1"/>
          <w:bCs w:val="1"/>
          <w:color w:val="auto"/>
        </w:rPr>
        <w:t>(Name, Address and Telephone Number of Person</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Authorized to Receive Notices and Communications)</w:t>
      </w:r>
    </w:p>
    <w:p>
      <w:pPr>
        <w:spacing w:after="0" w:line="39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December 22, 2022</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331" w:lineRule="exact"/>
        <w:rPr>
          <w:sz w:val="24"/>
          <w:szCs w:val="24"/>
          <w:color w:val="auto"/>
        </w:rPr>
      </w:pPr>
    </w:p>
    <w:p>
      <w:pPr>
        <w:ind w:firstLine="441"/>
        <w:spacing w:after="0" w:line="280" w:lineRule="exact"/>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off §§ 240.13d-1(e), 240.13d-1(f) or 240.13d-1(g), check the following box.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right="240"/>
        <w:spacing w:after="0" w:line="262" w:lineRule="auto"/>
        <w:rPr>
          <w:sz w:val="20"/>
          <w:szCs w:val="20"/>
          <w:color w:val="auto"/>
        </w:rPr>
      </w:pP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 Schedules filed in paper format shall include a signed original and five copies of the schedule, including all exhibits. See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§240.13d-7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ind w:left="440" w:right="260" w:hanging="432"/>
        <w:spacing w:after="0" w:line="282"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1" w:lineRule="exact"/>
        <w:rPr>
          <w:sz w:val="24"/>
          <w:szCs w:val="24"/>
          <w:color w:val="auto"/>
        </w:rPr>
      </w:pPr>
    </w:p>
    <w:p>
      <w:pPr>
        <w:ind w:right="600" w:firstLine="441"/>
        <w:spacing w:after="0" w:line="281"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sectPr>
      </w:pPr>
    </w:p>
    <w:bookmarkStart w:id="1" w:name="page2"/>
    <w:bookmarkEnd w:id="1"/>
    <w:p>
      <w:pPr>
        <w:ind w:left="830" w:hanging="470"/>
        <w:spacing w:after="0"/>
        <w:tabs>
          <w:tab w:leader="none" w:pos="83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6035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6035040"/>
                    </a:xfrm>
                    <a:prstGeom prst="rect">
                      <a:avLst/>
                    </a:prstGeom>
                    <a:noFill/>
                  </pic:spPr>
                </pic:pic>
              </a:graphicData>
            </a:graphic>
          </wp:anchor>
        </w:drawing>
        <w:t>NAME OF REPORTING PERSONS</w:t>
      </w:r>
    </w:p>
    <w:p>
      <w:pPr>
        <w:spacing w:after="0" w:line="243" w:lineRule="exact"/>
        <w:rPr>
          <w:sz w:val="20"/>
          <w:szCs w:val="20"/>
          <w:color w:val="auto"/>
        </w:rPr>
      </w:pPr>
    </w:p>
    <w:p>
      <w:pPr>
        <w:ind w:left="1470"/>
        <w:spacing w:after="0"/>
        <w:rPr>
          <w:sz w:val="20"/>
          <w:szCs w:val="20"/>
          <w:color w:val="auto"/>
        </w:rPr>
      </w:pPr>
      <w:r>
        <w:rPr>
          <w:rFonts w:ascii="Times New Roman" w:cs="Times New Roman" w:eastAsia="Times New Roman" w:hAnsi="Times New Roman"/>
          <w:sz w:val="22"/>
          <w:szCs w:val="22"/>
          <w:color w:val="auto"/>
        </w:rPr>
        <w:t>The Public Investment Fund</w:t>
      </w:r>
    </w:p>
    <w:p>
      <w:pPr>
        <w:spacing w:after="0" w:line="29" w:lineRule="exact"/>
        <w:rPr>
          <w:sz w:val="20"/>
          <w:szCs w:val="20"/>
          <w:color w:val="auto"/>
        </w:rPr>
      </w:pPr>
    </w:p>
    <w:p>
      <w:pPr>
        <w:ind w:left="830" w:hanging="740"/>
        <w:spacing w:after="0"/>
        <w:tabs>
          <w:tab w:leader="none" w:pos="83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19" w:lineRule="exact"/>
        <w:rPr>
          <w:sz w:val="20"/>
          <w:szCs w:val="20"/>
          <w:color w:val="auto"/>
        </w:rPr>
      </w:pPr>
    </w:p>
    <w:p>
      <w:pPr>
        <w:ind w:left="830"/>
        <w:spacing w:after="0" w:line="207" w:lineRule="exact"/>
        <w:tabs>
          <w:tab w:leader="none" w:pos="1629"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30" w:hanging="740"/>
        <w:spacing w:after="0"/>
        <w:tabs>
          <w:tab w:leader="none" w:pos="83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830" w:hanging="740"/>
        <w:spacing w:after="0"/>
        <w:tabs>
          <w:tab w:leader="none" w:pos="83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w:t>
      </w:r>
    </w:p>
    <w:p>
      <w:pPr>
        <w:spacing w:after="0" w:line="243" w:lineRule="exact"/>
        <w:rPr>
          <w:sz w:val="20"/>
          <w:szCs w:val="20"/>
          <w:color w:val="auto"/>
        </w:rPr>
      </w:pPr>
    </w:p>
    <w:p>
      <w:pPr>
        <w:ind w:left="1350"/>
        <w:spacing w:after="0"/>
        <w:rPr>
          <w:sz w:val="20"/>
          <w:szCs w:val="20"/>
          <w:color w:val="auto"/>
        </w:rPr>
      </w:pPr>
      <w:r>
        <w:rPr>
          <w:rFonts w:ascii="Times New Roman" w:cs="Times New Roman" w:eastAsia="Times New Roman" w:hAnsi="Times New Roman"/>
          <w:sz w:val="22"/>
          <w:szCs w:val="22"/>
          <w:color w:val="auto"/>
        </w:rPr>
        <w:t>WC</w:t>
      </w:r>
    </w:p>
    <w:p>
      <w:pPr>
        <w:spacing w:after="0" w:line="29" w:lineRule="exact"/>
        <w:rPr>
          <w:sz w:val="20"/>
          <w:szCs w:val="20"/>
          <w:color w:val="auto"/>
        </w:rPr>
      </w:pPr>
    </w:p>
    <w:p>
      <w:pPr>
        <w:ind w:left="830" w:hanging="740"/>
        <w:spacing w:after="0"/>
        <w:tabs>
          <w:tab w:leader="none" w:pos="83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DISCLOSURE OF LEGAL PROCEEDINGS IS REQUIRED PURSUANT TO ITEM 2(d) or 2(e)</w:t>
      </w:r>
    </w:p>
    <w:p>
      <w:pPr>
        <w:spacing w:after="0" w:line="219" w:lineRule="exact"/>
        <w:rPr>
          <w:sz w:val="20"/>
          <w:szCs w:val="20"/>
          <w:color w:val="auto"/>
        </w:rPr>
      </w:pPr>
    </w:p>
    <w:p>
      <w:pPr>
        <w:ind w:left="83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830" w:hanging="740"/>
        <w:spacing w:after="0"/>
        <w:tabs>
          <w:tab w:leader="none" w:pos="83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3" w:lineRule="exact"/>
        <w:rPr>
          <w:sz w:val="20"/>
          <w:szCs w:val="20"/>
          <w:color w:val="auto"/>
        </w:rPr>
      </w:pPr>
    </w:p>
    <w:p>
      <w:pPr>
        <w:ind w:left="1570"/>
        <w:spacing w:after="0"/>
        <w:rPr>
          <w:sz w:val="20"/>
          <w:szCs w:val="20"/>
          <w:color w:val="auto"/>
        </w:rPr>
      </w:pPr>
      <w:r>
        <w:rPr>
          <w:rFonts w:ascii="Times New Roman" w:cs="Times New Roman" w:eastAsia="Times New Roman" w:hAnsi="Times New Roman"/>
          <w:sz w:val="22"/>
          <w:szCs w:val="22"/>
          <w:color w:val="auto"/>
        </w:rPr>
        <w:t>Kingdom of Saudi Arabia</w:t>
      </w:r>
    </w:p>
    <w:p>
      <w:pPr>
        <w:spacing w:after="0" w:line="29" w:lineRule="exact"/>
        <w:rPr>
          <w:sz w:val="20"/>
          <w:szCs w:val="20"/>
          <w:color w:val="auto"/>
        </w:rPr>
      </w:pPr>
    </w:p>
    <w:tbl>
      <w:tblPr>
        <w:tblLayout w:type="fixed"/>
        <w:tblInd w:w="50" w:type="dxa"/>
        <w:tblCellMar>
          <w:top w:w="0" w:type="dxa"/>
          <w:left w:w="0" w:type="dxa"/>
          <w:bottom w:w="0" w:type="dxa"/>
          <w:right w:w="0" w:type="dxa"/>
        </w:tblCellMar>
      </w:tblPr>
      <w:tr>
        <w:trPr>
          <w:trHeight w:val="238"/>
        </w:trPr>
        <w:tc>
          <w:tcPr>
            <w:tcW w:w="186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w:t>
            </w:r>
          </w:p>
        </w:tc>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43"/>
        </w:trPr>
        <w:tc>
          <w:tcPr>
            <w:tcW w:w="1860" w:type="dxa"/>
            <w:vAlign w:val="bottom"/>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9"/>
              </w:rPr>
              <w:t>NUMBER OF</w:t>
            </w:r>
          </w:p>
        </w:tc>
        <w:tc>
          <w:tcPr>
            <w:tcW w:w="1000" w:type="dxa"/>
            <w:vAlign w:val="bottom"/>
            <w:tcBorders>
              <w:bottom w:val="single" w:sz="8" w:color="auto"/>
            </w:tcBorders>
          </w:tcPr>
          <w:p>
            <w:pPr>
              <w:spacing w:after="0"/>
              <w:rPr>
                <w:sz w:val="21"/>
                <w:szCs w:val="21"/>
                <w:color w:val="auto"/>
              </w:rPr>
            </w:pPr>
          </w:p>
        </w:tc>
        <w:tc>
          <w:tcPr>
            <w:tcW w:w="77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8,041,393</w:t>
            </w:r>
          </w:p>
        </w:tc>
        <w:tc>
          <w:tcPr>
            <w:tcW w:w="0" w:type="dxa"/>
            <w:vAlign w:val="bottom"/>
          </w:tcPr>
          <w:p>
            <w:pPr>
              <w:spacing w:after="0"/>
              <w:rPr>
                <w:sz w:val="1"/>
                <w:szCs w:val="1"/>
                <w:color w:val="auto"/>
              </w:rPr>
            </w:pPr>
          </w:p>
        </w:tc>
      </w:tr>
      <w:tr>
        <w:trPr>
          <w:trHeight w:val="49"/>
        </w:trPr>
        <w:tc>
          <w:tcPr>
            <w:tcW w:w="1860" w:type="dxa"/>
            <w:vAlign w:val="bottom"/>
            <w:vMerge w:val="continue"/>
          </w:tcPr>
          <w:p>
            <w:pPr>
              <w:spacing w:after="0"/>
              <w:rPr>
                <w:sz w:val="4"/>
                <w:szCs w:val="4"/>
                <w:color w:val="auto"/>
              </w:rPr>
            </w:pPr>
          </w:p>
        </w:tc>
        <w:tc>
          <w:tcPr>
            <w:tcW w:w="100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8</w:t>
            </w:r>
          </w:p>
        </w:tc>
        <w:tc>
          <w:tcPr>
            <w:tcW w:w="77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860" w:type="dxa"/>
            <w:vAlign w:val="bottom"/>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8"/>
              </w:rPr>
              <w:t>SHARES</w:t>
            </w:r>
          </w:p>
        </w:tc>
        <w:tc>
          <w:tcPr>
            <w:tcW w:w="1000" w:type="dxa"/>
            <w:vAlign w:val="bottom"/>
            <w:vMerge w:val="continue"/>
          </w:tcPr>
          <w:p>
            <w:pPr>
              <w:spacing w:after="0"/>
              <w:rPr>
                <w:sz w:val="15"/>
                <w:szCs w:val="15"/>
                <w:color w:val="auto"/>
              </w:rPr>
            </w:pPr>
          </w:p>
        </w:tc>
        <w:tc>
          <w:tcPr>
            <w:tcW w:w="7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86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7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8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BENEFICIALLY</w:t>
            </w:r>
          </w:p>
        </w:tc>
        <w:tc>
          <w:tcPr>
            <w:tcW w:w="1000" w:type="dxa"/>
            <w:vAlign w:val="bottom"/>
          </w:tcPr>
          <w:p>
            <w:pPr>
              <w:spacing w:after="0"/>
              <w:rPr>
                <w:sz w:val="18"/>
                <w:szCs w:val="18"/>
                <w:color w:val="auto"/>
              </w:rPr>
            </w:pPr>
          </w:p>
        </w:tc>
        <w:tc>
          <w:tcPr>
            <w:tcW w:w="7780" w:type="dxa"/>
            <w:vAlign w:val="bottom"/>
            <w:vMerge w:val="restart"/>
          </w:tcPr>
          <w:p>
            <w:pPr>
              <w:ind w:left="860"/>
              <w:spacing w:after="0"/>
              <w:rPr>
                <w:sz w:val="20"/>
                <w:szCs w:val="20"/>
                <w:color w:val="auto"/>
              </w:rPr>
            </w:pPr>
            <w:r>
              <w:rPr>
                <w:rFonts w:ascii="Times New Roman" w:cs="Times New Roman" w:eastAsia="Times New Roman" w:hAnsi="Times New Roman"/>
                <w:sz w:val="22"/>
                <w:szCs w:val="22"/>
                <w:color w:val="auto"/>
              </w:rPr>
              <w:t>1,100,965,202 (see Item 5 below)</w:t>
            </w:r>
          </w:p>
        </w:tc>
        <w:tc>
          <w:tcPr>
            <w:tcW w:w="0" w:type="dxa"/>
            <w:vAlign w:val="bottom"/>
          </w:tcPr>
          <w:p>
            <w:pPr>
              <w:spacing w:after="0"/>
              <w:rPr>
                <w:sz w:val="1"/>
                <w:szCs w:val="1"/>
                <w:color w:val="auto"/>
              </w:rPr>
            </w:pPr>
          </w:p>
        </w:tc>
      </w:tr>
      <w:tr>
        <w:trPr>
          <w:trHeight w:val="228"/>
        </w:trPr>
        <w:tc>
          <w:tcPr>
            <w:tcW w:w="18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OWNED BY</w:t>
            </w:r>
          </w:p>
        </w:tc>
        <w:tc>
          <w:tcPr>
            <w:tcW w:w="1000" w:type="dxa"/>
            <w:vAlign w:val="bottom"/>
            <w:tcBorders>
              <w:bottom w:val="single" w:sz="8" w:color="auto"/>
            </w:tcBorders>
          </w:tcPr>
          <w:p>
            <w:pPr>
              <w:spacing w:after="0"/>
              <w:rPr>
                <w:sz w:val="19"/>
                <w:szCs w:val="19"/>
                <w:color w:val="auto"/>
              </w:rPr>
            </w:pPr>
          </w:p>
        </w:tc>
        <w:tc>
          <w:tcPr>
            <w:tcW w:w="7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860" w:type="dxa"/>
            <w:vAlign w:val="bottom"/>
          </w:tcPr>
          <w:p>
            <w:pPr>
              <w:jc w:val="center"/>
              <w:ind w:right="490"/>
              <w:spacing w:after="0" w:line="184" w:lineRule="exact"/>
              <w:rPr>
                <w:sz w:val="20"/>
                <w:szCs w:val="20"/>
                <w:color w:val="auto"/>
              </w:rPr>
            </w:pPr>
            <w:r>
              <w:rPr>
                <w:rFonts w:ascii="Times New Roman" w:cs="Times New Roman" w:eastAsia="Times New Roman" w:hAnsi="Times New Roman"/>
                <w:sz w:val="18"/>
                <w:szCs w:val="18"/>
                <w:color w:val="auto"/>
                <w:w w:val="97"/>
              </w:rPr>
              <w:t>EACH</w:t>
            </w:r>
          </w:p>
        </w:tc>
        <w:tc>
          <w:tcPr>
            <w:tcW w:w="100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b w:val="1"/>
                <w:bCs w:val="1"/>
                <w:color w:val="auto"/>
              </w:rPr>
              <w:t>9</w:t>
            </w:r>
          </w:p>
        </w:tc>
        <w:tc>
          <w:tcPr>
            <w:tcW w:w="778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21"/>
        </w:trPr>
        <w:tc>
          <w:tcPr>
            <w:tcW w:w="18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REPORTING</w:t>
            </w:r>
          </w:p>
        </w:tc>
        <w:tc>
          <w:tcPr>
            <w:tcW w:w="1000" w:type="dxa"/>
            <w:vAlign w:val="bottom"/>
          </w:tcPr>
          <w:p>
            <w:pPr>
              <w:spacing w:after="0"/>
              <w:rPr>
                <w:sz w:val="19"/>
                <w:szCs w:val="19"/>
                <w:color w:val="auto"/>
              </w:rPr>
            </w:pPr>
          </w:p>
        </w:tc>
        <w:tc>
          <w:tcPr>
            <w:tcW w:w="7780" w:type="dxa"/>
            <w:vAlign w:val="bottom"/>
          </w:tcPr>
          <w:p>
            <w:pPr>
              <w:ind w:left="920"/>
              <w:spacing w:after="0" w:line="221" w:lineRule="exact"/>
              <w:rPr>
                <w:sz w:val="20"/>
                <w:szCs w:val="20"/>
                <w:color w:val="auto"/>
              </w:rPr>
            </w:pPr>
            <w:r>
              <w:rPr>
                <w:rFonts w:ascii="Times New Roman" w:cs="Times New Roman" w:eastAsia="Times New Roman" w:hAnsi="Times New Roman"/>
                <w:sz w:val="22"/>
                <w:szCs w:val="22"/>
                <w:color w:val="auto"/>
              </w:rPr>
              <w:t>1,109,006,595 (see Item 5 below)</w:t>
            </w:r>
          </w:p>
        </w:tc>
        <w:tc>
          <w:tcPr>
            <w:tcW w:w="0" w:type="dxa"/>
            <w:vAlign w:val="bottom"/>
          </w:tcPr>
          <w:p>
            <w:pPr>
              <w:spacing w:after="0"/>
              <w:rPr>
                <w:sz w:val="1"/>
                <w:szCs w:val="1"/>
                <w:color w:val="auto"/>
              </w:rPr>
            </w:pPr>
          </w:p>
        </w:tc>
      </w:tr>
      <w:tr>
        <w:trPr>
          <w:trHeight w:val="61"/>
        </w:trPr>
        <w:tc>
          <w:tcPr>
            <w:tcW w:w="1860" w:type="dxa"/>
            <w:vAlign w:val="bottom"/>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9"/>
              </w:rPr>
              <w:t>PERSON WITH</w:t>
            </w:r>
          </w:p>
        </w:tc>
        <w:tc>
          <w:tcPr>
            <w:tcW w:w="1000" w:type="dxa"/>
            <w:vAlign w:val="bottom"/>
            <w:tcBorders>
              <w:bottom w:val="single" w:sz="8" w:color="auto"/>
            </w:tcBorders>
          </w:tcPr>
          <w:p>
            <w:pPr>
              <w:spacing w:after="0"/>
              <w:rPr>
                <w:sz w:val="5"/>
                <w:szCs w:val="5"/>
                <w:color w:val="auto"/>
              </w:rPr>
            </w:pPr>
          </w:p>
        </w:tc>
        <w:tc>
          <w:tcPr>
            <w:tcW w:w="7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860" w:type="dxa"/>
            <w:vAlign w:val="bottom"/>
            <w:vMerge w:val="continue"/>
          </w:tcPr>
          <w:p>
            <w:pPr>
              <w:spacing w:after="0"/>
              <w:rPr>
                <w:sz w:val="13"/>
                <w:szCs w:val="13"/>
                <w:color w:val="auto"/>
              </w:rPr>
            </w:pPr>
          </w:p>
        </w:tc>
        <w:tc>
          <w:tcPr>
            <w:tcW w:w="100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10</w:t>
            </w:r>
          </w:p>
        </w:tc>
        <w:tc>
          <w:tcPr>
            <w:tcW w:w="77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8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7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770"/>
        <w:spacing w:after="0"/>
        <w:rPr>
          <w:sz w:val="20"/>
          <w:szCs w:val="20"/>
          <w:color w:val="auto"/>
        </w:rPr>
      </w:pPr>
      <w:r>
        <w:rPr>
          <w:rFonts w:ascii="Times New Roman" w:cs="Times New Roman" w:eastAsia="Times New Roman" w:hAnsi="Times New Roman"/>
          <w:sz w:val="22"/>
          <w:szCs w:val="22"/>
          <w:color w:val="auto"/>
        </w:rPr>
        <w:t>0</w:t>
      </w:r>
    </w:p>
    <w:p>
      <w:pPr>
        <w:spacing w:after="0" w:line="29" w:lineRule="exact"/>
        <w:rPr>
          <w:sz w:val="20"/>
          <w:szCs w:val="20"/>
          <w:color w:val="auto"/>
        </w:rPr>
      </w:pPr>
    </w:p>
    <w:p>
      <w:pPr>
        <w:ind w:left="830" w:hanging="735"/>
        <w:spacing w:after="0"/>
        <w:tabs>
          <w:tab w:leader="none" w:pos="83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40" w:lineRule="exact"/>
        <w:rPr>
          <w:sz w:val="20"/>
          <w:szCs w:val="20"/>
          <w:color w:val="auto"/>
        </w:rPr>
      </w:pPr>
    </w:p>
    <w:p>
      <w:pPr>
        <w:ind w:left="1570"/>
        <w:spacing w:after="0"/>
        <w:rPr>
          <w:sz w:val="20"/>
          <w:szCs w:val="20"/>
          <w:color w:val="auto"/>
        </w:rPr>
      </w:pPr>
      <w:r>
        <w:rPr>
          <w:rFonts w:ascii="Times New Roman" w:cs="Times New Roman" w:eastAsia="Times New Roman" w:hAnsi="Times New Roman"/>
          <w:sz w:val="22"/>
          <w:szCs w:val="22"/>
          <w:color w:val="auto"/>
        </w:rPr>
        <w:t>1,109,006,595 (see Item 5 below)</w:t>
      </w:r>
    </w:p>
    <w:p>
      <w:pPr>
        <w:spacing w:after="0" w:line="29" w:lineRule="exact"/>
        <w:rPr>
          <w:sz w:val="20"/>
          <w:szCs w:val="20"/>
          <w:color w:val="auto"/>
        </w:rPr>
      </w:pPr>
    </w:p>
    <w:p>
      <w:pPr>
        <w:ind w:left="830" w:hanging="830"/>
        <w:spacing w:after="0"/>
        <w:tabs>
          <w:tab w:leader="none" w:pos="83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219" w:lineRule="exact"/>
        <w:rPr>
          <w:sz w:val="20"/>
          <w:szCs w:val="20"/>
          <w:color w:val="auto"/>
        </w:rPr>
      </w:pPr>
    </w:p>
    <w:p>
      <w:pPr>
        <w:ind w:left="83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830" w:hanging="830"/>
        <w:spacing w:after="0"/>
        <w:tabs>
          <w:tab w:leader="none" w:pos="83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3" w:lineRule="exact"/>
        <w:rPr>
          <w:sz w:val="20"/>
          <w:szCs w:val="20"/>
          <w:color w:val="auto"/>
        </w:rPr>
      </w:pPr>
    </w:p>
    <w:p>
      <w:pPr>
        <w:ind w:left="1570"/>
        <w:spacing w:after="0"/>
        <w:rPr>
          <w:sz w:val="20"/>
          <w:szCs w:val="20"/>
          <w:color w:val="auto"/>
        </w:rPr>
      </w:pPr>
      <w:r>
        <w:rPr>
          <w:rFonts w:ascii="Times New Roman" w:cs="Times New Roman" w:eastAsia="Times New Roman" w:hAnsi="Times New Roman"/>
          <w:sz w:val="22"/>
          <w:szCs w:val="22"/>
          <w:color w:val="auto"/>
        </w:rPr>
        <w:t>60.66% (see Item 5 below)</w:t>
      </w:r>
    </w:p>
    <w:p>
      <w:pPr>
        <w:spacing w:after="0" w:line="29" w:lineRule="exact"/>
        <w:rPr>
          <w:sz w:val="20"/>
          <w:szCs w:val="20"/>
          <w:color w:val="auto"/>
        </w:rPr>
      </w:pPr>
    </w:p>
    <w:p>
      <w:pPr>
        <w:ind w:left="830" w:hanging="830"/>
        <w:spacing w:after="0"/>
        <w:tabs>
          <w:tab w:leader="none" w:pos="83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39" w:lineRule="exact"/>
        <w:rPr>
          <w:rFonts w:ascii="Times New Roman" w:cs="Times New Roman" w:eastAsia="Times New Roman" w:hAnsi="Times New Roman"/>
          <w:sz w:val="18"/>
          <w:szCs w:val="18"/>
          <w:b w:val="1"/>
          <w:bCs w:val="1"/>
          <w:color w:val="auto"/>
        </w:rPr>
      </w:pPr>
    </w:p>
    <w:p>
      <w:pPr>
        <w:ind w:left="1890" w:hanging="367"/>
        <w:spacing w:after="0"/>
        <w:tabs>
          <w:tab w:leader="none" w:pos="189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Sovereign Wealth Fund of the Kingdom of Saudi Arabia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294005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90"/>
          </w:cols>
          <w:pgMar w:left="870" w:top="283" w:right="339" w:bottom="1440" w:gutter="0" w:footer="0" w:header="0"/>
        </w:sectPr>
      </w:pPr>
    </w:p>
    <w:bookmarkStart w:id="2" w:name="page3"/>
    <w:bookmarkEnd w:id="2"/>
    <w:p>
      <w:pPr>
        <w:ind w:left="830" w:hanging="470"/>
        <w:spacing w:after="0"/>
        <w:tabs>
          <w:tab w:leader="none" w:pos="83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846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846445"/>
                    </a:xfrm>
                    <a:prstGeom prst="rect">
                      <a:avLst/>
                    </a:prstGeom>
                    <a:noFill/>
                  </pic:spPr>
                </pic:pic>
              </a:graphicData>
            </a:graphic>
          </wp:anchor>
        </w:drawing>
        <w:t>NAME OF REPORTING PERSONS</w:t>
      </w:r>
    </w:p>
    <w:p>
      <w:pPr>
        <w:spacing w:after="0" w:line="225" w:lineRule="exact"/>
        <w:rPr>
          <w:sz w:val="20"/>
          <w:szCs w:val="20"/>
          <w:color w:val="auto"/>
        </w:rPr>
      </w:pPr>
    </w:p>
    <w:p>
      <w:pPr>
        <w:ind w:left="1410"/>
        <w:spacing w:after="0"/>
        <w:rPr>
          <w:sz w:val="20"/>
          <w:szCs w:val="20"/>
          <w:color w:val="auto"/>
        </w:rPr>
      </w:pPr>
      <w:r>
        <w:rPr>
          <w:rFonts w:ascii="Times New Roman" w:cs="Times New Roman" w:eastAsia="Times New Roman" w:hAnsi="Times New Roman"/>
          <w:sz w:val="18"/>
          <w:szCs w:val="18"/>
          <w:color w:val="auto"/>
        </w:rPr>
        <w:t>Ayar Third Investment Company</w:t>
      </w:r>
    </w:p>
    <w:p>
      <w:pPr>
        <w:spacing w:after="0" w:line="36" w:lineRule="exact"/>
        <w:rPr>
          <w:sz w:val="20"/>
          <w:szCs w:val="20"/>
          <w:color w:val="auto"/>
        </w:rPr>
      </w:pPr>
    </w:p>
    <w:p>
      <w:pPr>
        <w:ind w:left="830" w:hanging="758"/>
        <w:spacing w:after="0"/>
        <w:tabs>
          <w:tab w:leader="none" w:pos="83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830"/>
        <w:spacing w:after="0" w:line="207" w:lineRule="exact"/>
        <w:tabs>
          <w:tab w:leader="none" w:pos="1629"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39" w:lineRule="exact"/>
        <w:rPr>
          <w:sz w:val="20"/>
          <w:szCs w:val="20"/>
          <w:color w:val="auto"/>
        </w:rPr>
      </w:pPr>
    </w:p>
    <w:p>
      <w:pPr>
        <w:ind w:left="830" w:hanging="758"/>
        <w:spacing w:after="0"/>
        <w:tabs>
          <w:tab w:leader="none" w:pos="83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52" w:lineRule="exact"/>
        <w:rPr>
          <w:sz w:val="20"/>
          <w:szCs w:val="20"/>
          <w:color w:val="auto"/>
        </w:rPr>
      </w:pPr>
    </w:p>
    <w:p>
      <w:pPr>
        <w:ind w:left="830" w:hanging="758"/>
        <w:spacing w:after="0"/>
        <w:tabs>
          <w:tab w:leader="none" w:pos="83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w:t>
      </w:r>
    </w:p>
    <w:p>
      <w:pPr>
        <w:spacing w:after="0" w:line="225" w:lineRule="exact"/>
        <w:rPr>
          <w:sz w:val="20"/>
          <w:szCs w:val="20"/>
          <w:color w:val="auto"/>
        </w:rPr>
      </w:pPr>
    </w:p>
    <w:p>
      <w:pPr>
        <w:ind w:left="1330"/>
        <w:spacing w:after="0"/>
        <w:rPr>
          <w:sz w:val="20"/>
          <w:szCs w:val="20"/>
          <w:color w:val="auto"/>
        </w:rPr>
      </w:pPr>
      <w:r>
        <w:rPr>
          <w:rFonts w:ascii="Times New Roman" w:cs="Times New Roman" w:eastAsia="Times New Roman" w:hAnsi="Times New Roman"/>
          <w:sz w:val="18"/>
          <w:szCs w:val="18"/>
          <w:color w:val="auto"/>
        </w:rPr>
        <w:t>WC</w:t>
      </w:r>
    </w:p>
    <w:p>
      <w:pPr>
        <w:spacing w:after="0" w:line="36" w:lineRule="exact"/>
        <w:rPr>
          <w:sz w:val="20"/>
          <w:szCs w:val="20"/>
          <w:color w:val="auto"/>
        </w:rPr>
      </w:pPr>
    </w:p>
    <w:p>
      <w:pPr>
        <w:ind w:left="830" w:hanging="758"/>
        <w:spacing w:after="0"/>
        <w:tabs>
          <w:tab w:leader="none" w:pos="83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DISCLOSURE OF LEGAL PROCEEDINGS IS REQUIRED PURSUANT TO ITEM 2(d) or 2(e)</w:t>
      </w:r>
    </w:p>
    <w:p>
      <w:pPr>
        <w:spacing w:after="0" w:line="196" w:lineRule="exact"/>
        <w:rPr>
          <w:sz w:val="20"/>
          <w:szCs w:val="20"/>
          <w:color w:val="auto"/>
        </w:rPr>
      </w:pPr>
    </w:p>
    <w:p>
      <w:pPr>
        <w:ind w:left="830"/>
        <w:spacing w:after="0" w:line="181" w:lineRule="exact"/>
        <w:rPr>
          <w:sz w:val="20"/>
          <w:szCs w:val="20"/>
          <w:color w:val="auto"/>
        </w:rPr>
      </w:pPr>
      <w:r>
        <w:rPr>
          <w:rFonts w:ascii="MS PGothic" w:cs="MS PGothic" w:eastAsia="MS PGothic" w:hAnsi="MS PGothic"/>
          <w:sz w:val="18"/>
          <w:szCs w:val="18"/>
          <w:color w:val="auto"/>
        </w:rPr>
        <w:t>☐</w:t>
      </w:r>
    </w:p>
    <w:p>
      <w:pPr>
        <w:spacing w:after="0" w:line="98" w:lineRule="exact"/>
        <w:rPr>
          <w:sz w:val="20"/>
          <w:szCs w:val="20"/>
          <w:color w:val="auto"/>
        </w:rPr>
      </w:pPr>
    </w:p>
    <w:p>
      <w:pPr>
        <w:ind w:left="830" w:hanging="758"/>
        <w:spacing w:after="0"/>
        <w:tabs>
          <w:tab w:leader="none" w:pos="83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05" w:lineRule="exact"/>
        <w:rPr>
          <w:sz w:val="20"/>
          <w:szCs w:val="20"/>
          <w:color w:val="auto"/>
        </w:rPr>
      </w:pPr>
    </w:p>
    <w:p>
      <w:pPr>
        <w:ind w:left="1510"/>
        <w:spacing w:after="0"/>
        <w:rPr>
          <w:sz w:val="20"/>
          <w:szCs w:val="20"/>
          <w:color w:val="auto"/>
        </w:rPr>
      </w:pPr>
      <w:r>
        <w:rPr>
          <w:rFonts w:ascii="Times New Roman" w:cs="Times New Roman" w:eastAsia="Times New Roman" w:hAnsi="Times New Roman"/>
          <w:sz w:val="18"/>
          <w:szCs w:val="18"/>
          <w:color w:val="auto"/>
        </w:rPr>
        <w:t>Kingdom of Saudi Arabia</w:t>
      </w:r>
    </w:p>
    <w:p>
      <w:pPr>
        <w:spacing w:after="0" w:line="32" w:lineRule="exact"/>
        <w:rPr>
          <w:sz w:val="20"/>
          <w:szCs w:val="20"/>
          <w:color w:val="auto"/>
        </w:rPr>
      </w:pPr>
    </w:p>
    <w:tbl>
      <w:tblPr>
        <w:tblLayout w:type="fixed"/>
        <w:tblInd w:w="50" w:type="dxa"/>
        <w:tblCellMar>
          <w:top w:w="0" w:type="dxa"/>
          <w:left w:w="0" w:type="dxa"/>
          <w:bottom w:w="0" w:type="dxa"/>
          <w:right w:w="0" w:type="dxa"/>
        </w:tblCellMar>
      </w:tblPr>
      <w:tr>
        <w:trPr>
          <w:trHeight w:val="238"/>
        </w:trPr>
        <w:tc>
          <w:tcPr>
            <w:tcW w:w="186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w:t>
            </w:r>
          </w:p>
        </w:tc>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50"/>
        </w:trPr>
        <w:tc>
          <w:tcPr>
            <w:tcW w:w="1860" w:type="dxa"/>
            <w:vAlign w:val="bottom"/>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9"/>
              </w:rPr>
              <w:t>NUMBER OF</w:t>
            </w:r>
          </w:p>
        </w:tc>
        <w:tc>
          <w:tcPr>
            <w:tcW w:w="1000" w:type="dxa"/>
            <w:vAlign w:val="bottom"/>
            <w:tcBorders>
              <w:bottom w:val="single" w:sz="8" w:color="auto"/>
            </w:tcBorders>
          </w:tcPr>
          <w:p>
            <w:pPr>
              <w:spacing w:after="0"/>
              <w:rPr>
                <w:sz w:val="21"/>
                <w:szCs w:val="21"/>
                <w:color w:val="auto"/>
              </w:rPr>
            </w:pPr>
          </w:p>
        </w:tc>
        <w:tc>
          <w:tcPr>
            <w:tcW w:w="77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9"/>
        </w:trPr>
        <w:tc>
          <w:tcPr>
            <w:tcW w:w="1860" w:type="dxa"/>
            <w:vAlign w:val="bottom"/>
            <w:vMerge w:val="continue"/>
          </w:tcPr>
          <w:p>
            <w:pPr>
              <w:spacing w:after="0"/>
              <w:rPr>
                <w:sz w:val="4"/>
                <w:szCs w:val="4"/>
                <w:color w:val="auto"/>
              </w:rPr>
            </w:pPr>
          </w:p>
        </w:tc>
        <w:tc>
          <w:tcPr>
            <w:tcW w:w="100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8</w:t>
            </w:r>
          </w:p>
        </w:tc>
        <w:tc>
          <w:tcPr>
            <w:tcW w:w="77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860" w:type="dxa"/>
            <w:vAlign w:val="bottom"/>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8"/>
              </w:rPr>
              <w:t>SHARES</w:t>
            </w:r>
          </w:p>
        </w:tc>
        <w:tc>
          <w:tcPr>
            <w:tcW w:w="1000" w:type="dxa"/>
            <w:vAlign w:val="bottom"/>
            <w:vMerge w:val="continue"/>
          </w:tcPr>
          <w:p>
            <w:pPr>
              <w:spacing w:after="0"/>
              <w:rPr>
                <w:sz w:val="15"/>
                <w:szCs w:val="15"/>
                <w:color w:val="auto"/>
              </w:rPr>
            </w:pPr>
          </w:p>
        </w:tc>
        <w:tc>
          <w:tcPr>
            <w:tcW w:w="7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86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7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8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BENEFICIALLY</w:t>
            </w:r>
          </w:p>
        </w:tc>
        <w:tc>
          <w:tcPr>
            <w:tcW w:w="1000" w:type="dxa"/>
            <w:vAlign w:val="bottom"/>
          </w:tcPr>
          <w:p>
            <w:pPr>
              <w:spacing w:after="0"/>
              <w:rPr>
                <w:sz w:val="18"/>
                <w:szCs w:val="18"/>
                <w:color w:val="auto"/>
              </w:rPr>
            </w:pPr>
          </w:p>
        </w:tc>
        <w:tc>
          <w:tcPr>
            <w:tcW w:w="7780" w:type="dxa"/>
            <w:vAlign w:val="bottom"/>
            <w:vMerge w:val="restart"/>
          </w:tcPr>
          <w:p>
            <w:pPr>
              <w:ind w:left="860"/>
              <w:spacing w:after="0"/>
              <w:rPr>
                <w:sz w:val="20"/>
                <w:szCs w:val="20"/>
                <w:color w:val="auto"/>
              </w:rPr>
            </w:pPr>
            <w:r>
              <w:rPr>
                <w:rFonts w:ascii="Times New Roman" w:cs="Times New Roman" w:eastAsia="Times New Roman" w:hAnsi="Times New Roman"/>
                <w:sz w:val="22"/>
                <w:szCs w:val="22"/>
                <w:color w:val="auto"/>
              </w:rPr>
              <w:t>1,100,965,202 (see Item 5 below)</w:t>
            </w:r>
          </w:p>
        </w:tc>
        <w:tc>
          <w:tcPr>
            <w:tcW w:w="0" w:type="dxa"/>
            <w:vAlign w:val="bottom"/>
          </w:tcPr>
          <w:p>
            <w:pPr>
              <w:spacing w:after="0"/>
              <w:rPr>
                <w:sz w:val="1"/>
                <w:szCs w:val="1"/>
                <w:color w:val="auto"/>
              </w:rPr>
            </w:pPr>
          </w:p>
        </w:tc>
      </w:tr>
      <w:tr>
        <w:trPr>
          <w:trHeight w:val="228"/>
        </w:trPr>
        <w:tc>
          <w:tcPr>
            <w:tcW w:w="18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OWNED BY</w:t>
            </w:r>
          </w:p>
        </w:tc>
        <w:tc>
          <w:tcPr>
            <w:tcW w:w="1000" w:type="dxa"/>
            <w:vAlign w:val="bottom"/>
            <w:tcBorders>
              <w:bottom w:val="single" w:sz="8" w:color="auto"/>
            </w:tcBorders>
          </w:tcPr>
          <w:p>
            <w:pPr>
              <w:spacing w:after="0"/>
              <w:rPr>
                <w:sz w:val="19"/>
                <w:szCs w:val="19"/>
                <w:color w:val="auto"/>
              </w:rPr>
            </w:pPr>
          </w:p>
        </w:tc>
        <w:tc>
          <w:tcPr>
            <w:tcW w:w="7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860" w:type="dxa"/>
            <w:vAlign w:val="bottom"/>
          </w:tcPr>
          <w:p>
            <w:pPr>
              <w:jc w:val="center"/>
              <w:ind w:right="490"/>
              <w:spacing w:after="0" w:line="184" w:lineRule="exact"/>
              <w:rPr>
                <w:sz w:val="20"/>
                <w:szCs w:val="20"/>
                <w:color w:val="auto"/>
              </w:rPr>
            </w:pPr>
            <w:r>
              <w:rPr>
                <w:rFonts w:ascii="Times New Roman" w:cs="Times New Roman" w:eastAsia="Times New Roman" w:hAnsi="Times New Roman"/>
                <w:sz w:val="18"/>
                <w:szCs w:val="18"/>
                <w:color w:val="auto"/>
                <w:w w:val="97"/>
              </w:rPr>
              <w:t>EACH</w:t>
            </w:r>
          </w:p>
        </w:tc>
        <w:tc>
          <w:tcPr>
            <w:tcW w:w="100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b w:val="1"/>
                <w:bCs w:val="1"/>
                <w:color w:val="auto"/>
              </w:rPr>
              <w:t>9</w:t>
            </w:r>
          </w:p>
        </w:tc>
        <w:tc>
          <w:tcPr>
            <w:tcW w:w="778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21"/>
        </w:trPr>
        <w:tc>
          <w:tcPr>
            <w:tcW w:w="18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REPORTING</w:t>
            </w:r>
          </w:p>
        </w:tc>
        <w:tc>
          <w:tcPr>
            <w:tcW w:w="1000" w:type="dxa"/>
            <w:vAlign w:val="bottom"/>
          </w:tcPr>
          <w:p>
            <w:pPr>
              <w:spacing w:after="0"/>
              <w:rPr>
                <w:sz w:val="19"/>
                <w:szCs w:val="19"/>
                <w:color w:val="auto"/>
              </w:rPr>
            </w:pPr>
          </w:p>
        </w:tc>
        <w:tc>
          <w:tcPr>
            <w:tcW w:w="7780" w:type="dxa"/>
            <w:vAlign w:val="bottom"/>
          </w:tcPr>
          <w:p>
            <w:pPr>
              <w:ind w:left="920"/>
              <w:spacing w:after="0" w:line="221"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61"/>
        </w:trPr>
        <w:tc>
          <w:tcPr>
            <w:tcW w:w="1860" w:type="dxa"/>
            <w:vAlign w:val="bottom"/>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9"/>
              </w:rPr>
              <w:t>PERSON WITH</w:t>
            </w:r>
          </w:p>
        </w:tc>
        <w:tc>
          <w:tcPr>
            <w:tcW w:w="1000" w:type="dxa"/>
            <w:vAlign w:val="bottom"/>
            <w:tcBorders>
              <w:bottom w:val="single" w:sz="8" w:color="auto"/>
            </w:tcBorders>
          </w:tcPr>
          <w:p>
            <w:pPr>
              <w:spacing w:after="0"/>
              <w:rPr>
                <w:sz w:val="5"/>
                <w:szCs w:val="5"/>
                <w:color w:val="auto"/>
              </w:rPr>
            </w:pPr>
          </w:p>
        </w:tc>
        <w:tc>
          <w:tcPr>
            <w:tcW w:w="7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860" w:type="dxa"/>
            <w:vAlign w:val="bottom"/>
            <w:vMerge w:val="continue"/>
          </w:tcPr>
          <w:p>
            <w:pPr>
              <w:spacing w:after="0"/>
              <w:rPr>
                <w:sz w:val="13"/>
                <w:szCs w:val="13"/>
                <w:color w:val="auto"/>
              </w:rPr>
            </w:pPr>
          </w:p>
        </w:tc>
        <w:tc>
          <w:tcPr>
            <w:tcW w:w="100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10</w:t>
            </w:r>
          </w:p>
        </w:tc>
        <w:tc>
          <w:tcPr>
            <w:tcW w:w="77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8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7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770"/>
        <w:spacing w:after="0"/>
        <w:rPr>
          <w:sz w:val="20"/>
          <w:szCs w:val="20"/>
          <w:color w:val="auto"/>
        </w:rPr>
      </w:pPr>
      <w:r>
        <w:rPr>
          <w:rFonts w:ascii="Times New Roman" w:cs="Times New Roman" w:eastAsia="Times New Roman" w:hAnsi="Times New Roman"/>
          <w:sz w:val="22"/>
          <w:szCs w:val="22"/>
          <w:color w:val="auto"/>
        </w:rPr>
        <w:t>0</w:t>
      </w:r>
    </w:p>
    <w:p>
      <w:pPr>
        <w:spacing w:after="0" w:line="29" w:lineRule="exact"/>
        <w:rPr>
          <w:sz w:val="20"/>
          <w:szCs w:val="20"/>
          <w:color w:val="auto"/>
        </w:rPr>
      </w:pPr>
    </w:p>
    <w:p>
      <w:pPr>
        <w:ind w:left="830" w:hanging="825"/>
        <w:spacing w:after="0"/>
        <w:tabs>
          <w:tab w:leader="none" w:pos="83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40" w:lineRule="exact"/>
        <w:rPr>
          <w:sz w:val="20"/>
          <w:szCs w:val="20"/>
          <w:color w:val="auto"/>
        </w:rPr>
      </w:pPr>
    </w:p>
    <w:p>
      <w:pPr>
        <w:ind w:left="1570"/>
        <w:spacing w:after="0"/>
        <w:rPr>
          <w:sz w:val="20"/>
          <w:szCs w:val="20"/>
          <w:color w:val="auto"/>
        </w:rPr>
      </w:pPr>
      <w:r>
        <w:rPr>
          <w:rFonts w:ascii="Times New Roman" w:cs="Times New Roman" w:eastAsia="Times New Roman" w:hAnsi="Times New Roman"/>
          <w:sz w:val="22"/>
          <w:szCs w:val="22"/>
          <w:color w:val="auto"/>
        </w:rPr>
        <w:t>1,100,965,202 (see Item 5 below)</w:t>
      </w:r>
    </w:p>
    <w:p>
      <w:pPr>
        <w:spacing w:after="0" w:line="29" w:lineRule="exact"/>
        <w:rPr>
          <w:sz w:val="20"/>
          <w:szCs w:val="20"/>
          <w:color w:val="auto"/>
        </w:rPr>
      </w:pPr>
    </w:p>
    <w:p>
      <w:pPr>
        <w:ind w:left="830" w:hanging="830"/>
        <w:spacing w:after="0"/>
        <w:tabs>
          <w:tab w:leader="none" w:pos="83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219" w:lineRule="exact"/>
        <w:rPr>
          <w:sz w:val="20"/>
          <w:szCs w:val="20"/>
          <w:color w:val="auto"/>
        </w:rPr>
      </w:pPr>
    </w:p>
    <w:p>
      <w:pPr>
        <w:ind w:left="83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830" w:hanging="830"/>
        <w:spacing w:after="0"/>
        <w:tabs>
          <w:tab w:leader="none" w:pos="83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3" w:lineRule="exact"/>
        <w:rPr>
          <w:sz w:val="20"/>
          <w:szCs w:val="20"/>
          <w:color w:val="auto"/>
        </w:rPr>
      </w:pPr>
    </w:p>
    <w:p>
      <w:pPr>
        <w:ind w:left="1570"/>
        <w:spacing w:after="0"/>
        <w:rPr>
          <w:sz w:val="20"/>
          <w:szCs w:val="20"/>
          <w:color w:val="auto"/>
        </w:rPr>
      </w:pPr>
      <w:r>
        <w:rPr>
          <w:rFonts w:ascii="Times New Roman" w:cs="Times New Roman" w:eastAsia="Times New Roman" w:hAnsi="Times New Roman"/>
          <w:sz w:val="22"/>
          <w:szCs w:val="22"/>
          <w:color w:val="auto"/>
        </w:rPr>
        <w:t>60.22% (see Item 5 below)</w:t>
      </w:r>
    </w:p>
    <w:p>
      <w:pPr>
        <w:spacing w:after="0" w:line="29" w:lineRule="exact"/>
        <w:rPr>
          <w:sz w:val="20"/>
          <w:szCs w:val="20"/>
          <w:color w:val="auto"/>
        </w:rPr>
      </w:pPr>
    </w:p>
    <w:p>
      <w:pPr>
        <w:ind w:left="830" w:hanging="830"/>
        <w:spacing w:after="0"/>
        <w:tabs>
          <w:tab w:leader="none" w:pos="83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40" w:lineRule="exact"/>
        <w:rPr>
          <w:sz w:val="20"/>
          <w:szCs w:val="20"/>
          <w:color w:val="auto"/>
        </w:rPr>
      </w:pPr>
    </w:p>
    <w:p>
      <w:pPr>
        <w:ind w:left="153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139700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90"/>
          </w:cols>
          <w:pgMar w:left="870" w:top="148" w:right="339" w:bottom="1440" w:gutter="0" w:footer="0" w:header="0"/>
        </w:sectPr>
      </w:pPr>
    </w:p>
    <w:bookmarkStart w:id="3" w:name="page4"/>
    <w:bookmarkEnd w:id="3"/>
    <w:p>
      <w:pPr>
        <w:ind w:left="840" w:hanging="470"/>
        <w:spacing w:after="0"/>
        <w:tabs>
          <w:tab w:leader="none" w:pos="8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60350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035040"/>
                    </a:xfrm>
                    <a:prstGeom prst="rect">
                      <a:avLst/>
                    </a:prstGeom>
                    <a:noFill/>
                  </pic:spPr>
                </pic:pic>
              </a:graphicData>
            </a:graphic>
          </wp:anchor>
        </w:drawing>
        <w:t>NAME OF REPORTING PERSONS</w:t>
      </w:r>
    </w:p>
    <w:p>
      <w:pPr>
        <w:spacing w:after="0" w:line="24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Yasir O. Al Rumayyan</w:t>
      </w:r>
    </w:p>
    <w:p>
      <w:pPr>
        <w:spacing w:after="0" w:line="29" w:lineRule="exact"/>
        <w:rPr>
          <w:sz w:val="20"/>
          <w:szCs w:val="20"/>
          <w:color w:val="auto"/>
        </w:rPr>
      </w:pPr>
    </w:p>
    <w:p>
      <w:pPr>
        <w:ind w:left="840" w:hanging="740"/>
        <w:spacing w:after="0"/>
        <w:tabs>
          <w:tab w:leader="none" w:pos="8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19" w:lineRule="exact"/>
        <w:rPr>
          <w:sz w:val="20"/>
          <w:szCs w:val="20"/>
          <w:color w:val="auto"/>
        </w:rPr>
      </w:pPr>
    </w:p>
    <w:p>
      <w:pPr>
        <w:ind w:left="840"/>
        <w:spacing w:after="0" w:line="207" w:lineRule="exact"/>
        <w:tabs>
          <w:tab w:leader="none" w:pos="168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40" w:hanging="740"/>
        <w:spacing w:after="0"/>
        <w:tabs>
          <w:tab w:leader="none" w:pos="8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840" w:hanging="740"/>
        <w:spacing w:after="0"/>
        <w:tabs>
          <w:tab w:leader="none" w:pos="8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w:t>
      </w:r>
    </w:p>
    <w:p>
      <w:pPr>
        <w:spacing w:after="0" w:line="24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OO</w:t>
      </w:r>
    </w:p>
    <w:p>
      <w:pPr>
        <w:spacing w:after="0" w:line="29" w:lineRule="exact"/>
        <w:rPr>
          <w:sz w:val="20"/>
          <w:szCs w:val="20"/>
          <w:color w:val="auto"/>
        </w:rPr>
      </w:pPr>
    </w:p>
    <w:p>
      <w:pPr>
        <w:ind w:left="840" w:hanging="740"/>
        <w:spacing w:after="0"/>
        <w:tabs>
          <w:tab w:leader="none" w:pos="8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DISCLOSURE OF LEGAL PROCEEDINGS IS REQUIRED PURSUANT TO ITEM 2(d) or 2(e)</w:t>
      </w:r>
    </w:p>
    <w:p>
      <w:pPr>
        <w:spacing w:after="0" w:line="219" w:lineRule="exact"/>
        <w:rPr>
          <w:sz w:val="20"/>
          <w:szCs w:val="20"/>
          <w:color w:val="auto"/>
        </w:rPr>
      </w:pPr>
    </w:p>
    <w:p>
      <w:pPr>
        <w:ind w:left="84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840" w:hanging="740"/>
        <w:spacing w:after="0"/>
        <w:tabs>
          <w:tab w:leader="none" w:pos="8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Kingdom of Saudi Arabia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77"/>
        </w:trPr>
        <w:tc>
          <w:tcPr>
            <w:tcW w:w="17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22"/>
                <w:szCs w:val="22"/>
                <w:color w:val="auto"/>
              </w:rPr>
              <w:t>4,654,595</w:t>
            </w:r>
          </w:p>
        </w:tc>
        <w:tc>
          <w:tcPr>
            <w:tcW w:w="0" w:type="dxa"/>
            <w:vAlign w:val="bottom"/>
          </w:tcPr>
          <w:p>
            <w:pPr>
              <w:spacing w:after="0"/>
              <w:rPr>
                <w:sz w:val="1"/>
                <w:szCs w:val="1"/>
                <w:color w:val="auto"/>
              </w:rPr>
            </w:pPr>
          </w:p>
        </w:tc>
      </w:tr>
      <w:tr>
        <w:trPr>
          <w:trHeight w:val="49"/>
        </w:trPr>
        <w:tc>
          <w:tcPr>
            <w:tcW w:w="1780" w:type="dxa"/>
            <w:vAlign w:val="bottom"/>
            <w:vMerge w:val="continue"/>
          </w:tcPr>
          <w:p>
            <w:pPr>
              <w:spacing w:after="0"/>
              <w:rPr>
                <w:sz w:val="4"/>
                <w:szCs w:val="4"/>
                <w:color w:val="auto"/>
              </w:rPr>
            </w:pP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8</w:t>
            </w:r>
          </w:p>
        </w:tc>
        <w:tc>
          <w:tcPr>
            <w:tcW w:w="80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7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7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00" w:type="dxa"/>
            <w:vAlign w:val="bottom"/>
            <w:vMerge w:val="restart"/>
          </w:tcPr>
          <w:p>
            <w:pPr>
              <w:ind w:left="840"/>
              <w:spacing w:after="0"/>
              <w:rPr>
                <w:sz w:val="20"/>
                <w:szCs w:val="20"/>
                <w:color w:val="auto"/>
              </w:rPr>
            </w:pPr>
            <w:r>
              <w:rPr>
                <w:rFonts w:ascii="Times New Roman" w:cs="Times New Roman" w:eastAsia="Times New Roman" w:hAnsi="Times New Roman"/>
                <w:sz w:val="22"/>
                <w:szCs w:val="22"/>
                <w:color w:val="auto"/>
              </w:rPr>
              <w:t>1,100,965,202 (see Item 5 below)</w:t>
            </w:r>
          </w:p>
        </w:tc>
        <w:tc>
          <w:tcPr>
            <w:tcW w:w="0" w:type="dxa"/>
            <w:vAlign w:val="bottom"/>
          </w:tcPr>
          <w:p>
            <w:pPr>
              <w:spacing w:after="0"/>
              <w:rPr>
                <w:sz w:val="1"/>
                <w:szCs w:val="1"/>
                <w:color w:val="auto"/>
              </w:rPr>
            </w:pPr>
          </w:p>
        </w:tc>
      </w:tr>
      <w:tr>
        <w:trPr>
          <w:trHeight w:val="228"/>
        </w:trPr>
        <w:tc>
          <w:tcPr>
            <w:tcW w:w="17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19"/>
                <w:szCs w:val="19"/>
                <w:color w:val="auto"/>
              </w:rPr>
            </w:pPr>
          </w:p>
        </w:tc>
        <w:tc>
          <w:tcPr>
            <w:tcW w:w="8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780" w:type="dxa"/>
            <w:vAlign w:val="bottom"/>
          </w:tcPr>
          <w:p>
            <w:pPr>
              <w:jc w:val="center"/>
              <w:ind w:right="410"/>
              <w:spacing w:after="0" w:line="184"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b w:val="1"/>
                <w:bCs w:val="1"/>
                <w:color w:val="auto"/>
              </w:rPr>
              <w:t>9</w:t>
            </w:r>
          </w:p>
        </w:tc>
        <w:tc>
          <w:tcPr>
            <w:tcW w:w="800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21"/>
        </w:trPr>
        <w:tc>
          <w:tcPr>
            <w:tcW w:w="17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tcPr>
          <w:p>
            <w:pPr>
              <w:spacing w:after="0"/>
              <w:rPr>
                <w:sz w:val="19"/>
                <w:szCs w:val="19"/>
                <w:color w:val="auto"/>
              </w:rPr>
            </w:pPr>
          </w:p>
        </w:tc>
        <w:tc>
          <w:tcPr>
            <w:tcW w:w="8000" w:type="dxa"/>
            <w:vAlign w:val="bottom"/>
          </w:tcPr>
          <w:p>
            <w:pPr>
              <w:ind w:left="840"/>
              <w:spacing w:after="0" w:line="221" w:lineRule="exact"/>
              <w:rPr>
                <w:sz w:val="20"/>
                <w:szCs w:val="20"/>
                <w:color w:val="auto"/>
              </w:rPr>
            </w:pPr>
            <w:r>
              <w:rPr>
                <w:rFonts w:ascii="Times New Roman" w:cs="Times New Roman" w:eastAsia="Times New Roman" w:hAnsi="Times New Roman"/>
                <w:sz w:val="22"/>
                <w:szCs w:val="22"/>
                <w:color w:val="auto"/>
              </w:rPr>
              <w:t>4,654,595</w:t>
            </w:r>
          </w:p>
        </w:tc>
        <w:tc>
          <w:tcPr>
            <w:tcW w:w="0" w:type="dxa"/>
            <w:vAlign w:val="bottom"/>
          </w:tcPr>
          <w:p>
            <w:pPr>
              <w:spacing w:after="0"/>
              <w:rPr>
                <w:sz w:val="1"/>
                <w:szCs w:val="1"/>
                <w:color w:val="auto"/>
              </w:rPr>
            </w:pPr>
          </w:p>
        </w:tc>
      </w:tr>
      <w:tr>
        <w:trPr>
          <w:trHeight w:val="61"/>
        </w:trPr>
        <w:tc>
          <w:tcPr>
            <w:tcW w:w="17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9"/>
              </w:rPr>
              <w:t>PERSON WITH</w:t>
            </w:r>
          </w:p>
        </w:tc>
        <w:tc>
          <w:tcPr>
            <w:tcW w:w="920" w:type="dxa"/>
            <w:vAlign w:val="bottom"/>
            <w:tcBorders>
              <w:bottom w:val="single" w:sz="8" w:color="auto"/>
            </w:tcBorders>
          </w:tcPr>
          <w:p>
            <w:pPr>
              <w:spacing w:after="0"/>
              <w:rPr>
                <w:sz w:val="5"/>
                <w:szCs w:val="5"/>
                <w:color w:val="auto"/>
              </w:rPr>
            </w:pPr>
          </w:p>
        </w:tc>
        <w:tc>
          <w:tcPr>
            <w:tcW w:w="8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780" w:type="dxa"/>
            <w:vAlign w:val="bottom"/>
            <w:vMerge w:val="continue"/>
          </w:tcPr>
          <w:p>
            <w:pPr>
              <w:spacing w:after="0"/>
              <w:rPr>
                <w:sz w:val="13"/>
                <w:szCs w:val="13"/>
                <w:color w:val="auto"/>
              </w:rPr>
            </w:pP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10</w:t>
            </w:r>
          </w:p>
        </w:tc>
        <w:tc>
          <w:tcPr>
            <w:tcW w:w="80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7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0</w:t>
      </w:r>
    </w:p>
    <w:p>
      <w:pPr>
        <w:spacing w:after="0" w:line="29" w:lineRule="exact"/>
        <w:rPr>
          <w:sz w:val="20"/>
          <w:szCs w:val="20"/>
          <w:color w:val="auto"/>
        </w:rPr>
      </w:pPr>
    </w:p>
    <w:p>
      <w:pPr>
        <w:ind w:left="840" w:hanging="825"/>
        <w:spacing w:after="0"/>
        <w:tabs>
          <w:tab w:leader="none" w:pos="8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4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1,105,619,797 (see Item 5 below)</w:t>
      </w:r>
    </w:p>
    <w:p>
      <w:pPr>
        <w:spacing w:after="0" w:line="29" w:lineRule="exact"/>
        <w:rPr>
          <w:sz w:val="20"/>
          <w:szCs w:val="20"/>
          <w:color w:val="auto"/>
        </w:rPr>
      </w:pPr>
    </w:p>
    <w:p>
      <w:pPr>
        <w:ind w:left="840" w:hanging="830"/>
        <w:spacing w:after="0"/>
        <w:tabs>
          <w:tab w:leader="none" w:pos="8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219" w:lineRule="exact"/>
        <w:rPr>
          <w:sz w:val="20"/>
          <w:szCs w:val="20"/>
          <w:color w:val="auto"/>
        </w:rPr>
      </w:pPr>
    </w:p>
    <w:p>
      <w:pPr>
        <w:ind w:left="84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840" w:hanging="830"/>
        <w:spacing w:after="0"/>
        <w:tabs>
          <w:tab w:leader="none" w:pos="8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60.47% (see Item 5 below)</w:t>
      </w:r>
    </w:p>
    <w:p>
      <w:pPr>
        <w:spacing w:after="0" w:line="29" w:lineRule="exact"/>
        <w:rPr>
          <w:sz w:val="20"/>
          <w:szCs w:val="20"/>
          <w:color w:val="auto"/>
        </w:rPr>
      </w:pPr>
    </w:p>
    <w:p>
      <w:pPr>
        <w:ind w:left="840" w:hanging="830"/>
        <w:spacing w:after="0"/>
        <w:tabs>
          <w:tab w:leader="none" w:pos="8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4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267970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860" w:top="391" w:right="339" w:bottom="1440" w:gutter="0" w:footer="0" w:header="0"/>
        </w:sectPr>
      </w:pPr>
    </w:p>
    <w:bookmarkStart w:id="4" w:name="page5"/>
    <w:bookmarkEnd w:id="4"/>
    <w:p>
      <w:pPr>
        <w:ind w:left="840" w:hanging="470"/>
        <w:spacing w:after="0"/>
        <w:tabs>
          <w:tab w:leader="none" w:pos="8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6035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035040"/>
                    </a:xfrm>
                    <a:prstGeom prst="rect">
                      <a:avLst/>
                    </a:prstGeom>
                    <a:noFill/>
                  </pic:spPr>
                </pic:pic>
              </a:graphicData>
            </a:graphic>
          </wp:anchor>
        </w:drawing>
        <w:t>NAME OF REPORTING PERSONS</w:t>
      </w:r>
    </w:p>
    <w:p>
      <w:pPr>
        <w:spacing w:after="0" w:line="24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Turqi A. Alnowaiser</w:t>
      </w:r>
    </w:p>
    <w:p>
      <w:pPr>
        <w:spacing w:after="0" w:line="29" w:lineRule="exact"/>
        <w:rPr>
          <w:sz w:val="20"/>
          <w:szCs w:val="20"/>
          <w:color w:val="auto"/>
        </w:rPr>
      </w:pPr>
    </w:p>
    <w:p>
      <w:pPr>
        <w:ind w:left="840" w:hanging="740"/>
        <w:spacing w:after="0"/>
        <w:tabs>
          <w:tab w:leader="none" w:pos="8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19" w:lineRule="exact"/>
        <w:rPr>
          <w:sz w:val="20"/>
          <w:szCs w:val="20"/>
          <w:color w:val="auto"/>
        </w:rPr>
      </w:pPr>
    </w:p>
    <w:p>
      <w:pPr>
        <w:ind w:left="840"/>
        <w:spacing w:after="0" w:line="207" w:lineRule="exact"/>
        <w:tabs>
          <w:tab w:leader="none" w:pos="168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40" w:hanging="740"/>
        <w:spacing w:after="0"/>
        <w:tabs>
          <w:tab w:leader="none" w:pos="8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840" w:hanging="740"/>
        <w:spacing w:after="0"/>
        <w:tabs>
          <w:tab w:leader="none" w:pos="8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w:t>
      </w:r>
    </w:p>
    <w:p>
      <w:pPr>
        <w:spacing w:after="0" w:line="24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OO</w:t>
      </w:r>
    </w:p>
    <w:p>
      <w:pPr>
        <w:spacing w:after="0" w:line="29" w:lineRule="exact"/>
        <w:rPr>
          <w:sz w:val="20"/>
          <w:szCs w:val="20"/>
          <w:color w:val="auto"/>
        </w:rPr>
      </w:pPr>
    </w:p>
    <w:p>
      <w:pPr>
        <w:ind w:left="840" w:hanging="740"/>
        <w:spacing w:after="0"/>
        <w:tabs>
          <w:tab w:leader="none" w:pos="8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DISCLOSURE OF LEGAL PROCEEDINGS IS REQUIRED PURSUANT TO ITEM 2(d) or 2(e)</w:t>
      </w:r>
    </w:p>
    <w:p>
      <w:pPr>
        <w:spacing w:after="0" w:line="219" w:lineRule="exact"/>
        <w:rPr>
          <w:sz w:val="20"/>
          <w:szCs w:val="20"/>
          <w:color w:val="auto"/>
        </w:rPr>
      </w:pPr>
    </w:p>
    <w:p>
      <w:pPr>
        <w:ind w:left="84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840" w:hanging="740"/>
        <w:spacing w:after="0"/>
        <w:tabs>
          <w:tab w:leader="none" w:pos="8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Kingdom of Saudi Arabia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77"/>
        </w:trPr>
        <w:tc>
          <w:tcPr>
            <w:tcW w:w="17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22"/>
                <w:szCs w:val="22"/>
                <w:color w:val="auto"/>
              </w:rPr>
              <w:t>2,091,169 (see Item 5 below)</w:t>
            </w:r>
          </w:p>
        </w:tc>
        <w:tc>
          <w:tcPr>
            <w:tcW w:w="0" w:type="dxa"/>
            <w:vAlign w:val="bottom"/>
          </w:tcPr>
          <w:p>
            <w:pPr>
              <w:spacing w:after="0"/>
              <w:rPr>
                <w:sz w:val="1"/>
                <w:szCs w:val="1"/>
                <w:color w:val="auto"/>
              </w:rPr>
            </w:pPr>
          </w:p>
        </w:tc>
      </w:tr>
      <w:tr>
        <w:trPr>
          <w:trHeight w:val="49"/>
        </w:trPr>
        <w:tc>
          <w:tcPr>
            <w:tcW w:w="1780" w:type="dxa"/>
            <w:vAlign w:val="bottom"/>
            <w:vMerge w:val="continue"/>
          </w:tcPr>
          <w:p>
            <w:pPr>
              <w:spacing w:after="0"/>
              <w:rPr>
                <w:sz w:val="4"/>
                <w:szCs w:val="4"/>
                <w:color w:val="auto"/>
              </w:rPr>
            </w:pP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8</w:t>
            </w:r>
          </w:p>
        </w:tc>
        <w:tc>
          <w:tcPr>
            <w:tcW w:w="80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7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7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00" w:type="dxa"/>
            <w:vAlign w:val="bottom"/>
            <w:vMerge w:val="restart"/>
          </w:tcPr>
          <w:p>
            <w:pPr>
              <w:ind w:left="840"/>
              <w:spacing w:after="0"/>
              <w:rPr>
                <w:sz w:val="20"/>
                <w:szCs w:val="20"/>
                <w:color w:val="auto"/>
              </w:rPr>
            </w:pPr>
            <w:r>
              <w:rPr>
                <w:rFonts w:ascii="Times New Roman" w:cs="Times New Roman" w:eastAsia="Times New Roman" w:hAnsi="Times New Roman"/>
                <w:sz w:val="22"/>
                <w:szCs w:val="22"/>
                <w:color w:val="auto"/>
              </w:rPr>
              <w:t>1,100,965,202 (see Item 5 below)</w:t>
            </w:r>
          </w:p>
        </w:tc>
        <w:tc>
          <w:tcPr>
            <w:tcW w:w="0" w:type="dxa"/>
            <w:vAlign w:val="bottom"/>
          </w:tcPr>
          <w:p>
            <w:pPr>
              <w:spacing w:after="0"/>
              <w:rPr>
                <w:sz w:val="1"/>
                <w:szCs w:val="1"/>
                <w:color w:val="auto"/>
              </w:rPr>
            </w:pPr>
          </w:p>
        </w:tc>
      </w:tr>
      <w:tr>
        <w:trPr>
          <w:trHeight w:val="228"/>
        </w:trPr>
        <w:tc>
          <w:tcPr>
            <w:tcW w:w="17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19"/>
                <w:szCs w:val="19"/>
                <w:color w:val="auto"/>
              </w:rPr>
            </w:pPr>
          </w:p>
        </w:tc>
        <w:tc>
          <w:tcPr>
            <w:tcW w:w="8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780" w:type="dxa"/>
            <w:vAlign w:val="bottom"/>
          </w:tcPr>
          <w:p>
            <w:pPr>
              <w:jc w:val="center"/>
              <w:ind w:right="410"/>
              <w:spacing w:after="0" w:line="184"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b w:val="1"/>
                <w:bCs w:val="1"/>
                <w:color w:val="auto"/>
              </w:rPr>
              <w:t>9</w:t>
            </w:r>
          </w:p>
        </w:tc>
        <w:tc>
          <w:tcPr>
            <w:tcW w:w="800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21"/>
        </w:trPr>
        <w:tc>
          <w:tcPr>
            <w:tcW w:w="17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tcPr>
          <w:p>
            <w:pPr>
              <w:spacing w:after="0"/>
              <w:rPr>
                <w:sz w:val="19"/>
                <w:szCs w:val="19"/>
                <w:color w:val="auto"/>
              </w:rPr>
            </w:pPr>
          </w:p>
        </w:tc>
        <w:tc>
          <w:tcPr>
            <w:tcW w:w="8000" w:type="dxa"/>
            <w:vAlign w:val="bottom"/>
          </w:tcPr>
          <w:p>
            <w:pPr>
              <w:ind w:left="900"/>
              <w:spacing w:after="0" w:line="221" w:lineRule="exact"/>
              <w:rPr>
                <w:sz w:val="20"/>
                <w:szCs w:val="20"/>
                <w:color w:val="auto"/>
              </w:rPr>
            </w:pPr>
            <w:r>
              <w:rPr>
                <w:rFonts w:ascii="Times New Roman" w:cs="Times New Roman" w:eastAsia="Times New Roman" w:hAnsi="Times New Roman"/>
                <w:sz w:val="22"/>
                <w:szCs w:val="22"/>
                <w:color w:val="auto"/>
              </w:rPr>
              <w:t>2,091,169 (see Item 5 below)</w:t>
            </w:r>
          </w:p>
        </w:tc>
        <w:tc>
          <w:tcPr>
            <w:tcW w:w="0" w:type="dxa"/>
            <w:vAlign w:val="bottom"/>
          </w:tcPr>
          <w:p>
            <w:pPr>
              <w:spacing w:after="0"/>
              <w:rPr>
                <w:sz w:val="1"/>
                <w:szCs w:val="1"/>
                <w:color w:val="auto"/>
              </w:rPr>
            </w:pPr>
          </w:p>
        </w:tc>
      </w:tr>
      <w:tr>
        <w:trPr>
          <w:trHeight w:val="61"/>
        </w:trPr>
        <w:tc>
          <w:tcPr>
            <w:tcW w:w="17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9"/>
              </w:rPr>
              <w:t>PERSON WITH</w:t>
            </w:r>
          </w:p>
        </w:tc>
        <w:tc>
          <w:tcPr>
            <w:tcW w:w="920" w:type="dxa"/>
            <w:vAlign w:val="bottom"/>
            <w:tcBorders>
              <w:bottom w:val="single" w:sz="8" w:color="auto"/>
            </w:tcBorders>
          </w:tcPr>
          <w:p>
            <w:pPr>
              <w:spacing w:after="0"/>
              <w:rPr>
                <w:sz w:val="5"/>
                <w:szCs w:val="5"/>
                <w:color w:val="auto"/>
              </w:rPr>
            </w:pPr>
          </w:p>
        </w:tc>
        <w:tc>
          <w:tcPr>
            <w:tcW w:w="8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780" w:type="dxa"/>
            <w:vAlign w:val="bottom"/>
            <w:vMerge w:val="continue"/>
          </w:tcPr>
          <w:p>
            <w:pPr>
              <w:spacing w:after="0"/>
              <w:rPr>
                <w:sz w:val="13"/>
                <w:szCs w:val="13"/>
                <w:color w:val="auto"/>
              </w:rPr>
            </w:pP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10</w:t>
            </w:r>
          </w:p>
        </w:tc>
        <w:tc>
          <w:tcPr>
            <w:tcW w:w="80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7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0</w:t>
      </w:r>
    </w:p>
    <w:p>
      <w:pPr>
        <w:spacing w:after="0" w:line="29" w:lineRule="exact"/>
        <w:rPr>
          <w:sz w:val="20"/>
          <w:szCs w:val="20"/>
          <w:color w:val="auto"/>
        </w:rPr>
      </w:pPr>
    </w:p>
    <w:p>
      <w:pPr>
        <w:ind w:left="840" w:hanging="735"/>
        <w:spacing w:after="0"/>
        <w:tabs>
          <w:tab w:leader="none" w:pos="8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4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1,103,056,371 (see Item 5 below)</w:t>
      </w:r>
    </w:p>
    <w:p>
      <w:pPr>
        <w:spacing w:after="0" w:line="29" w:lineRule="exact"/>
        <w:rPr>
          <w:sz w:val="20"/>
          <w:szCs w:val="20"/>
          <w:color w:val="auto"/>
        </w:rPr>
      </w:pPr>
    </w:p>
    <w:p>
      <w:pPr>
        <w:ind w:left="840" w:hanging="830"/>
        <w:spacing w:after="0"/>
        <w:tabs>
          <w:tab w:leader="none" w:pos="8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219" w:lineRule="exact"/>
        <w:rPr>
          <w:sz w:val="20"/>
          <w:szCs w:val="20"/>
          <w:color w:val="auto"/>
        </w:rPr>
      </w:pPr>
    </w:p>
    <w:p>
      <w:pPr>
        <w:ind w:left="84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840" w:hanging="830"/>
        <w:spacing w:after="0"/>
        <w:tabs>
          <w:tab w:leader="none" w:pos="8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60.33% (see Item 5 below)</w:t>
      </w:r>
    </w:p>
    <w:p>
      <w:pPr>
        <w:spacing w:after="0" w:line="29" w:lineRule="exact"/>
        <w:rPr>
          <w:sz w:val="20"/>
          <w:szCs w:val="20"/>
          <w:color w:val="auto"/>
        </w:rPr>
      </w:pPr>
    </w:p>
    <w:p>
      <w:pPr>
        <w:ind w:left="840" w:hanging="830"/>
        <w:spacing w:after="0"/>
        <w:tabs>
          <w:tab w:leader="none" w:pos="8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4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147955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860" w:top="56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EXPLANATORY STATEMENT</w:t>
      </w:r>
    </w:p>
    <w:p>
      <w:pPr>
        <w:spacing w:after="0" w:line="31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The following constitutes Amendment No. 2 (“Amendment No. 2”) to the initial statement on Schedule 13D, filed on July 27, 2021 (the “Initial Schedule 13D”) by the undersigned, and amendment No. 1 to the Initial Schedule 13D, filed on November 15, 2022 (“Amendment No. 1” collectively with the Initial Schedule 13D, referred to as the “Prior Schedule 13D”). This Amendment No. 2 amends the Prior Schedule 13D as specifically set forth herein. Capitalized terms used in this Amendment No. 2 and not otherwise defined herein have the meanings given to them in the Prior Schedule 13D.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u w:val="single" w:color="auto"/>
          <w:color w:val="auto"/>
        </w:rPr>
        <w:t>Purpose of Transaction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Item 4 of the Prior Schedule 13D is hereby amended to add the following language: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 December 9, 2022, PIF purchased shares of Lucid Group, Inc. (the “Company”) Class A Common Stock in the open market.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reason for the purchase was made for investment purpose.</w:t>
      </w:r>
    </w:p>
    <w:p>
      <w:pPr>
        <w:spacing w:after="0" w:line="18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Pursuant to that Subscription Agreement, dated November 8, 2022 (the “2022 Subscription Agreement”), between the Company and Ayar, Ayar has purchased 85,712,679 shares of Company’s Class A Common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5. </w:t>
      </w:r>
      <w:r>
        <w:rPr>
          <w:rFonts w:ascii="Times New Roman" w:cs="Times New Roman" w:eastAsia="Times New Roman" w:hAnsi="Times New Roman"/>
          <w:sz w:val="22"/>
          <w:szCs w:val="22"/>
          <w:b w:val="1"/>
          <w:bCs w:val="1"/>
          <w:u w:val="single" w:color="auto"/>
          <w:color w:val="auto"/>
        </w:rPr>
        <w:t>Interest in Securities of the Issuer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Item 5(a), (b) and (c) of the Prior Schedule 13D are hereby amended and replaced in their entirety with the following language: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the date hereof:</w:t>
      </w:r>
    </w:p>
    <w:p>
      <w:pPr>
        <w:spacing w:after="0" w:line="200" w:lineRule="exact"/>
        <w:rPr>
          <w:sz w:val="20"/>
          <w:szCs w:val="20"/>
          <w:color w:val="auto"/>
        </w:rPr>
      </w:pPr>
    </w:p>
    <w:p>
      <w:pPr>
        <w:spacing w:after="0" w:line="231" w:lineRule="exact"/>
        <w:rPr>
          <w:sz w:val="20"/>
          <w:szCs w:val="20"/>
          <w:color w:val="auto"/>
        </w:rPr>
      </w:pPr>
    </w:p>
    <w:p>
      <w:pPr>
        <w:ind w:left="700" w:hanging="328"/>
        <w:spacing w:after="0" w:line="258"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PIF directly owns 8,041,393 shares of Class A Common Stock and has sole voting and dispositive power of such shares. PIF may, pursuant to Rule 13d-3, be deemed to beneficially own the 1,100,965,202 shares of Class A Common Stock directly owned by Ayar and aggregating to a beneficial ownership of 1,109,006,595 shares. The Ayar securities and the Class A Common held directly by PIF represent approximately 60.66% of the Issuer’s issued and outstanding shares Class A Common Stock. PIF disclaims beneficial ownership of the Ayar securities except to the extent of its pecuniary interest therein.</w:t>
      </w:r>
    </w:p>
    <w:p>
      <w:pPr>
        <w:spacing w:after="0" w:line="399" w:lineRule="exact"/>
        <w:rPr>
          <w:rFonts w:ascii="Times New Roman" w:cs="Times New Roman" w:eastAsia="Times New Roman" w:hAnsi="Times New Roman"/>
          <w:sz w:val="18"/>
          <w:szCs w:val="18"/>
          <w:color w:val="auto"/>
        </w:rPr>
      </w:pPr>
    </w:p>
    <w:p>
      <w:pPr>
        <w:ind w:left="700" w:hanging="328"/>
        <w:spacing w:after="0" w:line="282"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Ayar directly owns 1,100,965,202 shares of Class A Common Stock and has shared voting power over such shares which represent approximately 60.22% of the Issuer’s issued and outstanding shares of Class A Common Stock.</w:t>
      </w:r>
    </w:p>
    <w:p>
      <w:pPr>
        <w:spacing w:after="0" w:line="377" w:lineRule="exact"/>
        <w:rPr>
          <w:rFonts w:ascii="Times New Roman" w:cs="Times New Roman" w:eastAsia="Times New Roman" w:hAnsi="Times New Roman"/>
          <w:sz w:val="18"/>
          <w:szCs w:val="18"/>
          <w:color w:val="auto"/>
        </w:rPr>
      </w:pPr>
    </w:p>
    <w:p>
      <w:pPr>
        <w:jc w:val="both"/>
        <w:ind w:left="700" w:right="140" w:hanging="328"/>
        <w:spacing w:after="0" w:line="257"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Al Rumayyan as the sole manager of Ayar has shared voting power over 1,100,965,202 shares of Class A Common Stock held by Ayar. In addition, H.E. Al Rumayyan has sole voting and dispositive power over 4,654,595 shares of Class A Common Stock held in his name, which do not include options to purchase 400,000 shares of Class A Common Stock that are not exercisable within 60 days from the date hereof.</w:t>
      </w:r>
    </w:p>
    <w:p>
      <w:pPr>
        <w:spacing w:after="0" w:line="1" w:lineRule="exact"/>
        <w:rPr>
          <w:rFonts w:ascii="Times New Roman" w:cs="Times New Roman" w:eastAsia="Times New Roman" w:hAnsi="Times New Roman"/>
          <w:sz w:val="18"/>
          <w:szCs w:val="18"/>
          <w:color w:val="auto"/>
        </w:rPr>
      </w:pPr>
    </w:p>
    <w:p>
      <w:pPr>
        <w:ind w:left="700" w:right="5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H.E. Al Rumayyan may be deemed to beneficially own an aggregate of 1,105,619,797 shares of Class A Common Stock, representing approximately 60.47% of the Issuer’s issued and outstanding shares of Class A Common Stock. H.E. Al Rumayyan disclaims beneficial ownership of any securities held by Ayar.</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700" w:right="20" w:hanging="328"/>
        <w:spacing w:after="0" w:line="263"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Alnowaiser, based on his authority delegated to him by H.E. Al Rumayyan, the sole manager of Ayar, has shared voting power over 1,100,965,202 shares of Class A Common Stock held by Ayar. In addition, Mr. Alnowaiser has sole voting and dispositive power over 2,091,169 shares of Class A Common Stock held in his name, which includes 17,295 shares issuable pursuant to Restricted Stock Units that will not vest for more than 60 days from the date hereof. Accordingly, Mr. Alnowaiser may be deemed the beneficial owner of an aggregate of 1,103,056,371 shares of Class A Common Stock, representing approximately 60.33% of the Issuer’s issued and outstanding shares of Class A Common Stock. Mr. Alnowaiser disclaims beneficial ownership of any securities held by Ayar.</w:t>
      </w:r>
    </w:p>
    <w:p>
      <w:pPr>
        <w:spacing w:after="0" w:line="169"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Based on conversations with the Issuer, the percentages set forth in this Item 5(a) are based on 1,828,310,203 shares of Class A Common Stock issued and outstanding as of December 23, 2022, as reported by the Issuer in connection with the closing of a transaction dated December 22, 2022.</w:t>
      </w:r>
    </w:p>
    <w:p>
      <w:pPr>
        <w:spacing w:after="0" w:line="173"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Each of the Reporting Persons may be deemed to be a member of a group with respect to the Issuer or securities of the Issuer for the purposes of Section 13(d) or 13(g) of the Act. Each of the Reporting Persons disclaims beneficial ownership of all of the shares of Class A Common Stock included in this report, except to the extent of any pecuniary interests therein, and the filing of this report shall not be construed as an admission that any such person or entity is the beneficial owner of any such securities for purposes of Section 13(d) or 13(g) of the Act, or for any other purpose.</w:t>
      </w:r>
    </w:p>
    <w:p>
      <w:pPr>
        <w:spacing w:after="0" w:line="177" w:lineRule="exact"/>
        <w:rPr>
          <w:sz w:val="20"/>
          <w:szCs w:val="20"/>
          <w:color w:val="auto"/>
        </w:rPr>
      </w:pPr>
    </w:p>
    <w:p>
      <w:pPr>
        <w:ind w:right="340" w:firstLine="8"/>
        <w:spacing w:after="0" w:line="244" w:lineRule="auto"/>
        <w:tabs>
          <w:tab w:leader="none" w:pos="29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Public Investment Fund engaged in an Open market purchase of 8,041,393 shares of Class A Common Stock on December 9, 2022, for an average price of $8.5241. Ayar Third Investment Company engaged in a private placement with the issuer on December 23, 2022, purchasing 85,712,679 shares Class A Common Stock at a purchase price of $10.6752.</w:t>
      </w:r>
    </w:p>
    <w:p>
      <w:pPr>
        <w:sectPr>
          <w:pgSz w:w="11900" w:h="16838" w:orient="portrait"/>
          <w:cols w:equalWidth="0" w:num="1">
            <w:col w:w="11220"/>
          </w:cols>
          <w:pgMar w:left="320" w:top="1175" w:right="359" w:bottom="0" w:gutter="0" w:footer="0" w:header="0"/>
        </w:sectPr>
      </w:pPr>
    </w:p>
    <w:bookmarkStart w:id="6" w:name="page7"/>
    <w:bookmarkEnd w:id="6"/>
    <w:p>
      <w:pPr>
        <w:ind w:right="319"/>
        <w:spacing w:after="0" w:line="437" w:lineRule="auto"/>
        <w:rPr>
          <w:sz w:val="20"/>
          <w:szCs w:val="20"/>
          <w:color w:val="auto"/>
        </w:rPr>
      </w:pPr>
      <w:r>
        <w:rPr>
          <w:rFonts w:ascii="Times New Roman" w:cs="Times New Roman" w:eastAsia="Times New Roman" w:hAnsi="Times New Roman"/>
          <w:sz w:val="22"/>
          <w:szCs w:val="22"/>
          <w:b w:val="1"/>
          <w:bCs w:val="1"/>
          <w:color w:val="auto"/>
        </w:rPr>
        <w:t xml:space="preserve">Item 6. </w:t>
      </w:r>
      <w:r>
        <w:rPr>
          <w:rFonts w:ascii="Times New Roman" w:cs="Times New Roman" w:eastAsia="Times New Roman" w:hAnsi="Times New Roman"/>
          <w:sz w:val="22"/>
          <w:szCs w:val="22"/>
          <w:b w:val="1"/>
          <w:bCs w:val="1"/>
          <w:u w:val="single" w:color="auto"/>
          <w:color w:val="auto"/>
        </w:rPr>
        <w:t>Contracts, Arrangements, Understandings or Relationships with Respect to Securities of the Issuer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Item 6 of the Prior Schedule 13D is hereby amended to add the following language: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response to Item 4 of this Schedule 13D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[The 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December 27, 2022</w:t>
      </w:r>
    </w:p>
    <w:p>
      <w:pPr>
        <w:spacing w:after="0" w:line="24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PUBLIC INVESTMENT FUND</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The Public Investment Fund, /s/ H.E. Yasir O. Al Rumayyan,</w:t>
            </w:r>
          </w:p>
        </w:tc>
        <w:tc>
          <w:tcPr>
            <w:tcW w:w="0" w:type="dxa"/>
            <w:vAlign w:val="bottom"/>
          </w:tcPr>
          <w:p>
            <w:pPr>
              <w:spacing w:after="0"/>
              <w:rPr>
                <w:sz w:val="1"/>
                <w:szCs w:val="1"/>
                <w:color w:val="auto"/>
              </w:rPr>
            </w:pPr>
          </w:p>
        </w:tc>
      </w:tr>
      <w:tr>
        <w:trPr>
          <w:trHeight w:val="241"/>
        </w:trPr>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Governor</w:t>
            </w:r>
          </w:p>
        </w:tc>
        <w:tc>
          <w:tcPr>
            <w:tcW w:w="0" w:type="dxa"/>
            <w:vAlign w:val="bottom"/>
          </w:tcPr>
          <w:p>
            <w:pPr>
              <w:spacing w:after="0"/>
              <w:rPr>
                <w:sz w:val="1"/>
                <w:szCs w:val="1"/>
                <w:color w:val="auto"/>
              </w:rPr>
            </w:pPr>
          </w:p>
        </w:tc>
      </w:tr>
      <w:tr>
        <w:trPr>
          <w:trHeight w:val="198"/>
        </w:trPr>
        <w:tc>
          <w:tcPr>
            <w:tcW w:w="900" w:type="dxa"/>
            <w:vAlign w:val="bottom"/>
            <w:vMerge w:val="continue"/>
          </w:tcPr>
          <w:p>
            <w:pPr>
              <w:spacing w:after="0"/>
              <w:rPr>
                <w:sz w:val="17"/>
                <w:szCs w:val="17"/>
                <w:color w:val="auto"/>
              </w:rPr>
            </w:pPr>
          </w:p>
        </w:tc>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His Excellency Yasir O. Al Rumayyan</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Governor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bullet"/>
      <w:start w:val="1"/>
    </w:lvl>
  </w:abstractNum>
  <w:abstractNum w:abstractNumId="2">
    <w:nsid w:val="2D1D5AE9"/>
    <w:multiLevelType w:val="hybridMultilevel"/>
    <w:lvl w:ilvl="0">
      <w:lvlJc w:val="left"/>
      <w:lvlText w:val="2"/>
      <w:numFmt w:val="bullet"/>
      <w:start w:val="1"/>
    </w:lvl>
  </w:abstractNum>
  <w:abstractNum w:abstractNumId="3">
    <w:nsid w:val="6763845E"/>
    <w:multiLevelType w:val="hybridMultilevel"/>
    <w:lvl w:ilvl="0">
      <w:lvlJc w:val="left"/>
      <w:lvlText w:val="3"/>
      <w:numFmt w:val="bullet"/>
      <w:start w:val="1"/>
    </w:lvl>
  </w:abstractNum>
  <w:abstractNum w:abstractNumId="4">
    <w:nsid w:val="75A2A8D4"/>
    <w:multiLevelType w:val="hybridMultilevel"/>
    <w:lvl w:ilvl="0">
      <w:lvlJc w:val="left"/>
      <w:lvlText w:val="4"/>
      <w:numFmt w:val="bullet"/>
      <w:start w:val="1"/>
    </w:lvl>
  </w:abstractNum>
  <w:abstractNum w:abstractNumId="5">
    <w:nsid w:val="8EDBDAB"/>
    <w:multiLevelType w:val="hybridMultilevel"/>
    <w:lvl w:ilvl="0">
      <w:lvlJc w:val="left"/>
      <w:lvlText w:val="5"/>
      <w:numFmt w:val="bullet"/>
      <w:start w:val="1"/>
    </w:lvl>
  </w:abstractNum>
  <w:abstractNum w:abstractNumId="6">
    <w:nsid w:val="79838CB2"/>
    <w:multiLevelType w:val="hybridMultilevel"/>
    <w:lvl w:ilvl="0">
      <w:lvlJc w:val="left"/>
      <w:lvlText w:val="6"/>
      <w:numFmt w:val="bullet"/>
      <w:start w:val="1"/>
    </w:lvl>
  </w:abstractNum>
  <w:abstractNum w:abstractNumId="7">
    <w:nsid w:val="4353D0CD"/>
    <w:multiLevelType w:val="hybridMultilevel"/>
    <w:lvl w:ilvl="0">
      <w:lvlJc w:val="left"/>
      <w:lvlText w:val="%1"/>
      <w:numFmt w:val="decimal"/>
      <w:start w:val="11"/>
    </w:lvl>
  </w:abstractNum>
  <w:abstractNum w:abstractNumId="8">
    <w:nsid w:val="B03E0C6"/>
    <w:multiLevelType w:val="hybridMultilevel"/>
    <w:lvl w:ilvl="0">
      <w:lvlJc w:val="left"/>
      <w:lvlText w:val="%1"/>
      <w:numFmt w:val="decimal"/>
      <w:start w:val="12"/>
    </w:lvl>
  </w:abstractNum>
  <w:abstractNum w:abstractNumId="9">
    <w:nsid w:val="189A769B"/>
    <w:multiLevelType w:val="hybridMultilevel"/>
    <w:lvl w:ilvl="0">
      <w:lvlJc w:val="left"/>
      <w:lvlText w:val="%1"/>
      <w:numFmt w:val="decimal"/>
      <w:start w:val="13"/>
    </w:lvl>
  </w:abstractNum>
  <w:abstractNum w:abstractNumId="10">
    <w:nsid w:val="54E49EB4"/>
    <w:multiLevelType w:val="hybridMultilevel"/>
    <w:lvl w:ilvl="0">
      <w:lvlJc w:val="left"/>
      <w:lvlText w:val="%1"/>
      <w:numFmt w:val="decimal"/>
      <w:start w:val="14"/>
    </w:lvl>
    <w:lvl w:ilvl="1">
      <w:lvlJc w:val="left"/>
      <w:lvlText w:val="%2"/>
      <w:numFmt w:val="upperLetter"/>
      <w:start w:val="41"/>
    </w:lvl>
  </w:abstractNum>
  <w:abstractNum w:abstractNumId="11">
    <w:nsid w:val="71F32454"/>
    <w:multiLevelType w:val="hybridMultilevel"/>
    <w:lvl w:ilvl="0">
      <w:lvlJc w:val="left"/>
      <w:lvlText w:val="1"/>
      <w:numFmt w:val="bullet"/>
      <w:start w:val="1"/>
    </w:lvl>
  </w:abstractNum>
  <w:abstractNum w:abstractNumId="12">
    <w:nsid w:val="2CA88611"/>
    <w:multiLevelType w:val="hybridMultilevel"/>
    <w:lvl w:ilvl="0">
      <w:lvlJc w:val="left"/>
      <w:lvlText w:val="2"/>
      <w:numFmt w:val="bullet"/>
      <w:start w:val="1"/>
    </w:lvl>
  </w:abstractNum>
  <w:abstractNum w:abstractNumId="13">
    <w:nsid w:val="836C40E"/>
    <w:multiLevelType w:val="hybridMultilevel"/>
    <w:lvl w:ilvl="0">
      <w:lvlJc w:val="left"/>
      <w:lvlText w:val="3"/>
      <w:numFmt w:val="bullet"/>
      <w:start w:val="1"/>
    </w:lvl>
  </w:abstractNum>
  <w:abstractNum w:abstractNumId="14">
    <w:nsid w:val="2901D82"/>
    <w:multiLevelType w:val="hybridMultilevel"/>
    <w:lvl w:ilvl="0">
      <w:lvlJc w:val="left"/>
      <w:lvlText w:val="4"/>
      <w:numFmt w:val="bullet"/>
      <w:start w:val="1"/>
    </w:lvl>
  </w:abstractNum>
  <w:abstractNum w:abstractNumId="15">
    <w:nsid w:val="3A95F874"/>
    <w:multiLevelType w:val="hybridMultilevel"/>
    <w:lvl w:ilvl="0">
      <w:lvlJc w:val="left"/>
      <w:lvlText w:val="5"/>
      <w:numFmt w:val="bullet"/>
      <w:start w:val="1"/>
    </w:lvl>
  </w:abstractNum>
  <w:abstractNum w:abstractNumId="16">
    <w:nsid w:val="8138641"/>
    <w:multiLevelType w:val="hybridMultilevel"/>
    <w:lvl w:ilvl="0">
      <w:lvlJc w:val="left"/>
      <w:lvlText w:val="6"/>
      <w:numFmt w:val="bullet"/>
      <w:start w:val="1"/>
    </w:lvl>
  </w:abstractNum>
  <w:abstractNum w:abstractNumId="17">
    <w:nsid w:val="1E7FF521"/>
    <w:multiLevelType w:val="hybridMultilevel"/>
    <w:lvl w:ilvl="0">
      <w:lvlJc w:val="left"/>
      <w:lvlText w:val="%1"/>
      <w:numFmt w:val="decimal"/>
      <w:start w:val="11"/>
    </w:lvl>
  </w:abstractNum>
  <w:abstractNum w:abstractNumId="18">
    <w:nsid w:val="7C3DBD3D"/>
    <w:multiLevelType w:val="hybridMultilevel"/>
    <w:lvl w:ilvl="0">
      <w:lvlJc w:val="left"/>
      <w:lvlText w:val="%1"/>
      <w:numFmt w:val="decimal"/>
      <w:start w:val="12"/>
    </w:lvl>
  </w:abstractNum>
  <w:abstractNum w:abstractNumId="19">
    <w:nsid w:val="737B8DDC"/>
    <w:multiLevelType w:val="hybridMultilevel"/>
    <w:lvl w:ilvl="0">
      <w:lvlJc w:val="left"/>
      <w:lvlText w:val="%1"/>
      <w:numFmt w:val="decimal"/>
      <w:start w:val="13"/>
    </w:lvl>
  </w:abstractNum>
  <w:abstractNum w:abstractNumId="20">
    <w:nsid w:val="6CEAF087"/>
    <w:multiLevelType w:val="hybridMultilevel"/>
    <w:lvl w:ilvl="0">
      <w:lvlJc w:val="left"/>
      <w:lvlText w:val="%1"/>
      <w:numFmt w:val="decimal"/>
      <w:start w:val="14"/>
    </w:lvl>
  </w:abstractNum>
  <w:abstractNum w:abstractNumId="21">
    <w:nsid w:val="22221A70"/>
    <w:multiLevelType w:val="hybridMultilevel"/>
    <w:lvl w:ilvl="0">
      <w:lvlJc w:val="left"/>
      <w:lvlText w:val="1"/>
      <w:numFmt w:val="bullet"/>
      <w:start w:val="1"/>
    </w:lvl>
  </w:abstractNum>
  <w:abstractNum w:abstractNumId="22">
    <w:nsid w:val="4516DDE9"/>
    <w:multiLevelType w:val="hybridMultilevel"/>
    <w:lvl w:ilvl="0">
      <w:lvlJc w:val="left"/>
      <w:lvlText w:val="2"/>
      <w:numFmt w:val="bullet"/>
      <w:start w:val="1"/>
    </w:lvl>
  </w:abstractNum>
  <w:abstractNum w:abstractNumId="23">
    <w:nsid w:val="3006C83E"/>
    <w:multiLevelType w:val="hybridMultilevel"/>
    <w:lvl w:ilvl="0">
      <w:lvlJc w:val="left"/>
      <w:lvlText w:val="3"/>
      <w:numFmt w:val="bullet"/>
      <w:start w:val="1"/>
    </w:lvl>
  </w:abstractNum>
  <w:abstractNum w:abstractNumId="24">
    <w:nsid w:val="614FD4A1"/>
    <w:multiLevelType w:val="hybridMultilevel"/>
    <w:lvl w:ilvl="0">
      <w:lvlJc w:val="left"/>
      <w:lvlText w:val="4"/>
      <w:numFmt w:val="bullet"/>
      <w:start w:val="1"/>
    </w:lvl>
  </w:abstractNum>
  <w:abstractNum w:abstractNumId="25">
    <w:nsid w:val="419AC241"/>
    <w:multiLevelType w:val="hybridMultilevel"/>
    <w:lvl w:ilvl="0">
      <w:lvlJc w:val="left"/>
      <w:lvlText w:val="5"/>
      <w:numFmt w:val="bullet"/>
      <w:start w:val="1"/>
    </w:lvl>
  </w:abstractNum>
  <w:abstractNum w:abstractNumId="26">
    <w:nsid w:val="5577F8E1"/>
    <w:multiLevelType w:val="hybridMultilevel"/>
    <w:lvl w:ilvl="0">
      <w:lvlJc w:val="left"/>
      <w:lvlText w:val="6"/>
      <w:numFmt w:val="bullet"/>
      <w:start w:val="1"/>
    </w:lvl>
  </w:abstractNum>
  <w:abstractNum w:abstractNumId="27">
    <w:nsid w:val="440BADFC"/>
    <w:multiLevelType w:val="hybridMultilevel"/>
    <w:lvl w:ilvl="0">
      <w:lvlJc w:val="left"/>
      <w:lvlText w:val="%1"/>
      <w:numFmt w:val="decimal"/>
      <w:start w:val="11"/>
    </w:lvl>
  </w:abstractNum>
  <w:abstractNum w:abstractNumId="28">
    <w:nsid w:val="5072367"/>
    <w:multiLevelType w:val="hybridMultilevel"/>
    <w:lvl w:ilvl="0">
      <w:lvlJc w:val="left"/>
      <w:lvlText w:val="%1"/>
      <w:numFmt w:val="decimal"/>
      <w:start w:val="12"/>
    </w:lvl>
  </w:abstractNum>
  <w:abstractNum w:abstractNumId="29">
    <w:nsid w:val="3804823E"/>
    <w:multiLevelType w:val="hybridMultilevel"/>
    <w:lvl w:ilvl="0">
      <w:lvlJc w:val="left"/>
      <w:lvlText w:val="%1"/>
      <w:numFmt w:val="decimal"/>
      <w:start w:val="13"/>
    </w:lvl>
  </w:abstractNum>
  <w:abstractNum w:abstractNumId="30">
    <w:nsid w:val="77465F01"/>
    <w:multiLevelType w:val="hybridMultilevel"/>
    <w:lvl w:ilvl="0">
      <w:lvlJc w:val="left"/>
      <w:lvlText w:val="%1"/>
      <w:numFmt w:val="decimal"/>
      <w:start w:val="14"/>
    </w:lvl>
  </w:abstractNum>
  <w:abstractNum w:abstractNumId="31">
    <w:nsid w:val="7724C67E"/>
    <w:multiLevelType w:val="hybridMultilevel"/>
    <w:lvl w:ilvl="0">
      <w:lvlJc w:val="left"/>
      <w:lvlText w:val="1"/>
      <w:numFmt w:val="bullet"/>
      <w:start w:val="1"/>
    </w:lvl>
  </w:abstractNum>
  <w:abstractNum w:abstractNumId="32">
    <w:nsid w:val="5C482A97"/>
    <w:multiLevelType w:val="hybridMultilevel"/>
    <w:lvl w:ilvl="0">
      <w:lvlJc w:val="left"/>
      <w:lvlText w:val="2"/>
      <w:numFmt w:val="bullet"/>
      <w:start w:val="1"/>
    </w:lvl>
  </w:abstractNum>
  <w:abstractNum w:abstractNumId="33">
    <w:nsid w:val="2463B9EA"/>
    <w:multiLevelType w:val="hybridMultilevel"/>
    <w:lvl w:ilvl="0">
      <w:lvlJc w:val="left"/>
      <w:lvlText w:val="3"/>
      <w:numFmt w:val="bullet"/>
      <w:start w:val="1"/>
    </w:lvl>
  </w:abstractNum>
  <w:abstractNum w:abstractNumId="34">
    <w:nsid w:val="5E884ADC"/>
    <w:multiLevelType w:val="hybridMultilevel"/>
    <w:lvl w:ilvl="0">
      <w:lvlJc w:val="left"/>
      <w:lvlText w:val="4"/>
      <w:numFmt w:val="bullet"/>
      <w:start w:val="1"/>
    </w:lvl>
  </w:abstractNum>
  <w:abstractNum w:abstractNumId="35">
    <w:nsid w:val="51EAD36B"/>
    <w:multiLevelType w:val="hybridMultilevel"/>
    <w:lvl w:ilvl="0">
      <w:lvlJc w:val="left"/>
      <w:lvlText w:val="5"/>
      <w:numFmt w:val="bullet"/>
      <w:start w:val="1"/>
    </w:lvl>
  </w:abstractNum>
  <w:abstractNum w:abstractNumId="36">
    <w:nsid w:val="2D517796"/>
    <w:multiLevelType w:val="hybridMultilevel"/>
    <w:lvl w:ilvl="0">
      <w:lvlJc w:val="left"/>
      <w:lvlText w:val="6"/>
      <w:numFmt w:val="bullet"/>
      <w:start w:val="1"/>
    </w:lvl>
  </w:abstractNum>
  <w:abstractNum w:abstractNumId="37">
    <w:nsid w:val="580BD78F"/>
    <w:multiLevelType w:val="hybridMultilevel"/>
    <w:lvl w:ilvl="0">
      <w:lvlJc w:val="left"/>
      <w:lvlText w:val="%1"/>
      <w:numFmt w:val="decimal"/>
      <w:start w:val="11"/>
    </w:lvl>
  </w:abstractNum>
  <w:abstractNum w:abstractNumId="38">
    <w:nsid w:val="153EA438"/>
    <w:multiLevelType w:val="hybridMultilevel"/>
    <w:lvl w:ilvl="0">
      <w:lvlJc w:val="left"/>
      <w:lvlText w:val="%1"/>
      <w:numFmt w:val="decimal"/>
      <w:start w:val="12"/>
    </w:lvl>
  </w:abstractNum>
  <w:abstractNum w:abstractNumId="39">
    <w:nsid w:val="3855585C"/>
    <w:multiLevelType w:val="hybridMultilevel"/>
    <w:lvl w:ilvl="0">
      <w:lvlJc w:val="left"/>
      <w:lvlText w:val="%1"/>
      <w:numFmt w:val="decimal"/>
      <w:start w:val="13"/>
    </w:lvl>
  </w:abstractNum>
  <w:abstractNum w:abstractNumId="40">
    <w:nsid w:val="70A64E2A"/>
    <w:multiLevelType w:val="hybridMultilevel"/>
    <w:lvl w:ilvl="0">
      <w:lvlJc w:val="left"/>
      <w:lvlText w:val="%1"/>
      <w:numFmt w:val="decimal"/>
      <w:start w:val="14"/>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2022-12-28T05:17:17Z</dcterms:created>
  <dcterms:modified xsi:type="dcterms:W3CDTF">2022-12-28T05:17:17Z</dcterms:modified>
</cp:coreProperties>
</file>