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9, 2024</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16"/>
        </w:trPr>
        <w:tc>
          <w:tcPr>
            <w:tcW w:w="37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7373 Gateway Boulevard</w:t>
            </w:r>
          </w:p>
        </w:tc>
        <w:tc>
          <w:tcPr>
            <w:tcW w:w="30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20" w:type="dxa"/>
            <w:vAlign w:val="bottom"/>
          </w:tcPr>
          <w:p>
            <w:pPr>
              <w:spacing w:after="0"/>
              <w:rPr>
                <w:sz w:val="19"/>
                <w:szCs w:val="19"/>
                <w:color w:val="auto"/>
              </w:rPr>
            </w:pPr>
          </w:p>
        </w:tc>
        <w:tc>
          <w:tcPr>
            <w:tcW w:w="35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20" w:type="dxa"/>
            <w:vAlign w:val="bottom"/>
          </w:tcPr>
          <w:p>
            <w:pPr>
              <w:spacing w:after="0"/>
              <w:rPr>
                <w:sz w:val="20"/>
                <w:szCs w:val="20"/>
                <w:color w:val="auto"/>
              </w:rPr>
            </w:pP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2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10"/>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2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800" w:type="dxa"/>
            <w:vAlign w:val="bottom"/>
          </w:tcPr>
          <w:p>
            <w:pPr>
              <w:spacing w:after="0"/>
              <w:rPr>
                <w:sz w:val="24"/>
                <w:szCs w:val="24"/>
                <w:color w:val="auto"/>
              </w:rPr>
            </w:pPr>
          </w:p>
        </w:tc>
      </w:tr>
      <w:tr>
        <w:trPr>
          <w:trHeight w:val="238"/>
        </w:trPr>
        <w:tc>
          <w:tcPr>
            <w:tcW w:w="472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2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Class A Common Stock, $0.0001 par value per</w:t>
            </w:r>
          </w:p>
        </w:tc>
        <w:tc>
          <w:tcPr>
            <w:tcW w:w="24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jc w:val="center"/>
              <w:ind w:right="530"/>
              <w:spacing w:after="0" w:line="191" w:lineRule="exact"/>
              <w:rPr>
                <w:sz w:val="20"/>
                <w:szCs w:val="20"/>
                <w:color w:val="auto"/>
              </w:rPr>
            </w:pPr>
            <w:r>
              <w:rPr>
                <w:rFonts w:ascii="Times New Roman" w:cs="Times New Roman" w:eastAsia="Times New Roman" w:hAnsi="Times New Roman"/>
                <w:sz w:val="18"/>
                <w:szCs w:val="18"/>
                <w:color w:val="auto"/>
                <w:w w:val="99"/>
              </w:rPr>
              <w:t>LCID</w:t>
            </w:r>
          </w:p>
        </w:tc>
        <w:tc>
          <w:tcPr>
            <w:tcW w:w="240" w:type="dxa"/>
            <w:vAlign w:val="bottom"/>
          </w:tcPr>
          <w:p>
            <w:pPr>
              <w:spacing w:after="0"/>
              <w:rPr>
                <w:sz w:val="16"/>
                <w:szCs w:val="16"/>
                <w:color w:val="auto"/>
              </w:rPr>
            </w:pPr>
          </w:p>
        </w:tc>
        <w:tc>
          <w:tcPr>
            <w:tcW w:w="38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72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9"/>
              </w:rPr>
              <w:t>share</w:t>
            </w: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Lucid Group,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unveiled the Lucid Gravity, a luxury sport utility vehicle, to the public at the Los Angeles Auto Show in November 2023, which marked a major technical, commercial, and design milestone achievement for the Company. On February 9, 2024, the Compensation and Human Capital Committee of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recommended and the Board approved payment of a cash bonus to the Company’s Chief Executive Officer and Chief Technology Officer, Peter Rawlinson, in the amount of $6,000,000, in recognition of his significant contributions to this milestone achievement.</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5.08</w:t>
      </w:r>
      <w:r>
        <w:rPr>
          <w:sz w:val="20"/>
          <w:szCs w:val="20"/>
          <w:color w:val="auto"/>
        </w:rPr>
        <w:tab/>
      </w:r>
      <w:r>
        <w:rPr>
          <w:rFonts w:ascii="Times New Roman" w:cs="Times New Roman" w:eastAsia="Times New Roman" w:hAnsi="Times New Roman"/>
          <w:sz w:val="18"/>
          <w:szCs w:val="18"/>
          <w:b w:val="1"/>
          <w:bCs w:val="1"/>
          <w:color w:val="auto"/>
        </w:rPr>
        <w:t>Shareholder Director Nominations.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applicable, the information in Item 8.01 of this Current Report on Form 8-K is incorporated by reference into this Item 5.08.</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February 9, 2024, the Board determined Tuesday, June 4, 2024, as the date of the Company’s 2024 Annual Meeting of Stockholders (the “</w:t>
      </w:r>
      <w:r>
        <w:rPr>
          <w:rFonts w:ascii="Times New Roman" w:cs="Times New Roman" w:eastAsia="Times New Roman" w:hAnsi="Times New Roman"/>
          <w:sz w:val="18"/>
          <w:szCs w:val="18"/>
          <w:b w:val="1"/>
          <w:bCs w:val="1"/>
          <w:i w:val="1"/>
          <w:iCs w:val="1"/>
          <w:color w:val="auto"/>
        </w:rPr>
        <w:t>2024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Meeting</w:t>
      </w:r>
      <w:r>
        <w:rPr>
          <w:rFonts w:ascii="Times New Roman" w:cs="Times New Roman" w:eastAsia="Times New Roman" w:hAnsi="Times New Roman"/>
          <w:sz w:val="18"/>
          <w:szCs w:val="18"/>
          <w:color w:val="auto"/>
        </w:rPr>
        <w:t>”). The time and meeting website information for the 2024 Annual Meeting will be set forth in the Company’s proxy statement for the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Meeting, which will be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prior to the 2024 Annual Meeting.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the date of the 2024 Annual Meeting is being delayed by more than 30 days after the anniversary of the Company’s 2023 annual meeting of stockholders, the Company is providing in this Current Report on Form 8-K the due dates for submissions of qualified stockholder proposals and stockholder director nominations.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stockholder proposal for inclusion in the Company’s proxy statement for the 2024 Annual Meeting pursuant to Rule 14a-8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must be received at the Company’s principal executive offices at 7373 Gateway Blvd., Newark, California, 94560, Attention: Secretary, no later than February 25,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stockholder proposal or director nomination (including nominations pursuant to Rule 14a-19 under the Exchange Act) outside of Rule 14a-8 under the Exchange Act and pursuant to the Company’s Second Amended and Restated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must have been received by the Company by January 25,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Stockholder proposals and stockholder director nominations must comply with all applicable requirements set forth in the rules and regulations of the SEC, the Exchange Act, and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15,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Gagan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Gagan Dhingra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2024-02-15T17:46:55Z</dcterms:created>
  <dcterms:modified xsi:type="dcterms:W3CDTF">2024-02-15T17:46:55Z</dcterms:modified>
</cp:coreProperties>
</file>