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22"/>
          <w:szCs w:val="22"/>
          <w:b w:val="1"/>
          <w:bCs w:val="1"/>
          <w:color w:val="0000FF"/>
        </w:rPr>
        <w:t>Lucid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549498202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549498202</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BANK OF AMERICA CORP /DE/</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17,108,189.00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17,119,165.00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17,119,165.00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Lucid Group,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7373 GATEWAY BLVD., NEWARK, CALIFORNIA, 94560.</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BANK OF AMERICA CORP /DE/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100 N TRYON ST CHARLOTTE, NC 28255</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Class A 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549498202</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w:t>
      </w:r>
    </w:p>
    <w:p>
      <w:pPr>
        <w:sectPr>
          <w:pgSz w:w="11900" w:h="16838" w:orient="portrait"/>
          <w:cols w:equalWidth="0" w:num="1">
            <w:col w:w="10640"/>
          </w:cols>
          <w:pgMar w:left="360" w:top="111" w:right="899" w:bottom="0" w:gutter="0" w:footer="0" w:header="0"/>
          <w:type w:val="continuous"/>
        </w:sectPr>
      </w:pPr>
    </w:p>
    <w:bookmarkStart w:id="2" w:name="page3"/>
    <w:bookmarkEnd w:id="2"/>
    <w:p>
      <w:pPr>
        <w:ind w:left="920"/>
        <w:spacing w:after="0"/>
        <w:rPr>
          <w:sz w:val="20"/>
          <w:szCs w:val="20"/>
          <w:color w:val="auto"/>
        </w:rPr>
      </w:pPr>
      <w:r>
        <w:rPr>
          <w:rFonts w:ascii="Times New Roman" w:cs="Times New Roman" w:eastAsia="Times New Roman" w:hAnsi="Times New Roman"/>
          <w:sz w:val="22"/>
          <w:szCs w:val="22"/>
          <w:color w:val="auto"/>
        </w:rPr>
        <w:t>Investment Company Act of 1940 (15 U.S.C. 80a-3);</w:t>
      </w:r>
    </w:p>
    <w:p>
      <w:pPr>
        <w:spacing w:after="0" w:line="58" w:lineRule="exact"/>
        <w:rPr>
          <w:sz w:val="20"/>
          <w:szCs w:val="20"/>
          <w:color w:val="auto"/>
        </w:rPr>
      </w:pPr>
    </w:p>
    <w:p>
      <w:pPr>
        <w:jc w:val="right"/>
        <w:ind w:right="1020"/>
        <w:spacing w:after="0"/>
        <w:rPr>
          <w:sz w:val="20"/>
          <w:szCs w:val="20"/>
          <w:color w:val="auto"/>
        </w:rPr>
      </w:pPr>
      <w:r>
        <w:rPr>
          <w:rFonts w:ascii="Times New Roman" w:cs="Times New Roman" w:eastAsia="Times New Roman" w:hAnsi="Times New Roman"/>
          <w:sz w:val="22"/>
          <w:szCs w:val="22"/>
          <w:color w:val="auto"/>
        </w:rPr>
        <w:t>A non-U.S. institution in accordance with § 240.13d-1(b)(1)(ii)(J). If filing as a non-U.S. institution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jc w:val="right"/>
        <w:ind w:left="1300" w:right="6640" w:hanging="1292"/>
        <w:spacing w:after="0" w:line="263" w:lineRule="auto"/>
        <w:tabs>
          <w:tab w:leader="none" w:pos="922"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accordance with § 240.13d-1(b)(1)(ii)(J), please specify the type of institution:</w:t>
      </w:r>
    </w:p>
    <w:p>
      <w:pPr>
        <w:spacing w:after="0" w:line="13"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17,119,165.00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5.3%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1"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0.00</w:t>
      </w:r>
    </w:p>
    <w:p>
      <w:pPr>
        <w:spacing w:after="0" w:line="1"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17,108,189.00</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0.00</w:t>
      </w:r>
    </w:p>
    <w:p>
      <w:pPr>
        <w:spacing w:after="0" w:line="287"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17,119,165.00</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ind w:right="200"/>
        <w:spacing w:after="0" w:line="249" w:lineRule="auto"/>
        <w:rPr>
          <w:sz w:val="20"/>
          <w:szCs w:val="20"/>
          <w:color w:val="auto"/>
        </w:rPr>
      </w:pPr>
      <w:r>
        <w:rPr>
          <w:rFonts w:ascii="Times New Roman" w:cs="Times New Roman" w:eastAsia="Times New Roman" w:hAnsi="Times New Roman"/>
          <w:sz w:val="21"/>
          <w:szCs w:val="21"/>
          <w:color w:val="auto"/>
        </w:rPr>
        <w:t>This statement on Schedule 13G is being filed by Bank of America Corporation on behalf of itself and its wholly owned subsidiaries BofA Securities, Inc., a broker dealer registered under section 15 of the Act (15 U.S.C. 78o); Bank of America N.A., a bank as defined in section 3(a)(6) of the Act (15 U.S.C. 78c); Merrill Lynch Pierce Fenner</w:t>
      </w:r>
    </w:p>
    <w:p>
      <w:pPr>
        <w:spacing w:after="0" w:line="1" w:lineRule="exact"/>
        <w:rPr>
          <w:sz w:val="20"/>
          <w:szCs w:val="20"/>
          <w:color w:val="auto"/>
        </w:rPr>
      </w:pPr>
    </w:p>
    <w:p>
      <w:pPr>
        <w:ind w:right="220" w:firstLine="6"/>
        <w:spacing w:after="0" w:line="235" w:lineRule="auto"/>
        <w:tabs>
          <w:tab w:leader="none" w:pos="222"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Smith, Inc., a broker dealer registered under section 15 of the Act (15 U.S.C. 78o); Merrill Lynch International, a non-U.S. institution in accordance with section 240.13d-1(b)(1)(ii)(J); and BofA Securities Europe SA, a non-U.S. institution in accordance with section 240.13d-1(b)(1)(ii)(J).</w:t>
      </w:r>
    </w:p>
    <w:p>
      <w:pPr>
        <w:spacing w:after="0" w:line="16" w:lineRule="exact"/>
        <w:rPr>
          <w:sz w:val="20"/>
          <w:szCs w:val="20"/>
          <w:color w:val="auto"/>
        </w:rPr>
      </w:pPr>
    </w:p>
    <w:p>
      <w:pPr>
        <w:sectPr>
          <w:pgSz w:w="11900" w:h="16838" w:orient="portrait"/>
          <w:cols w:equalWidth="0" w:num="2">
            <w:col w:w="620" w:space="300"/>
            <w:col w:w="10220"/>
          </w:cols>
          <w:pgMar w:left="360" w:top="111"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w:t>
      </w:r>
    </w:p>
    <w:p>
      <w:pPr>
        <w:sectPr>
          <w:pgSz w:w="11900" w:h="16838" w:orient="portrait"/>
          <w:cols w:equalWidth="0" w:num="1">
            <w:col w:w="11140"/>
          </w:cols>
          <w:pgMar w:left="360" w:top="111" w:right="399" w:bottom="0" w:gutter="0" w:footer="0" w:header="0"/>
          <w:type w:val="continuous"/>
        </w:sectPr>
      </w:pPr>
    </w:p>
    <w:bookmarkStart w:id="3" w:name="page4"/>
    <w:bookmarkEnd w:id="3"/>
    <w:p>
      <w:pPr>
        <w:ind w:left="400"/>
        <w:spacing w:after="0"/>
        <w:rPr>
          <w:sz w:val="20"/>
          <w:szCs w:val="20"/>
          <w:color w:val="auto"/>
        </w:rPr>
      </w:pPr>
      <w:r>
        <w:rPr>
          <w:rFonts w:ascii="Times New Roman" w:cs="Times New Roman" w:eastAsia="Times New Roman" w:hAnsi="Times New Roman"/>
          <w:sz w:val="22"/>
          <w:szCs w:val="22"/>
          <w:color w:val="auto"/>
        </w:rPr>
        <w:t>this statement is true, complete and correct.</w:t>
      </w:r>
    </w:p>
    <w:p>
      <w:pPr>
        <w:spacing w:after="0" w:line="355" w:lineRule="exact"/>
        <w:rPr>
          <w:sz w:val="20"/>
          <w:szCs w:val="20"/>
          <w:color w:val="auto"/>
        </w:rPr>
      </w:pPr>
    </w:p>
    <w:p>
      <w:pPr>
        <w:jc w:val="right"/>
        <w:ind w:right="3759"/>
        <w:spacing w:after="0"/>
        <w:rPr>
          <w:sz w:val="20"/>
          <w:szCs w:val="20"/>
          <w:color w:val="auto"/>
        </w:rPr>
      </w:pPr>
      <w:r>
        <w:rPr>
          <w:rFonts w:ascii="Times New Roman" w:cs="Times New Roman" w:eastAsia="Times New Roman" w:hAnsi="Times New Roman"/>
          <w:sz w:val="22"/>
          <w:szCs w:val="22"/>
          <w:color w:val="auto"/>
        </w:rPr>
        <w:t>BANK OF AMERICA CORP /DE/</w:t>
      </w:r>
    </w:p>
    <w:p>
      <w:pPr>
        <w:spacing w:after="0" w:line="152" w:lineRule="exact"/>
        <w:rPr>
          <w:sz w:val="20"/>
          <w:szCs w:val="20"/>
          <w:color w:val="auto"/>
        </w:rPr>
      </w:pPr>
    </w:p>
    <w:p>
      <w:pPr>
        <w:ind w:left="2080"/>
        <w:spacing w:after="0"/>
        <w:tabs>
          <w:tab w:leader="none" w:pos="3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Andres Ortiz</w:t>
      </w:r>
    </w:p>
    <w:p>
      <w:pPr>
        <w:spacing w:after="0" w:line="44"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22"/>
          <w:szCs w:val="22"/>
          <w:color w:val="auto"/>
        </w:rPr>
        <w:t>Name/Title: Authorized Signatory</w:t>
      </w:r>
    </w:p>
    <w:p>
      <w:pPr>
        <w:spacing w:after="0" w:line="44" w:lineRule="exact"/>
        <w:rPr>
          <w:sz w:val="20"/>
          <w:szCs w:val="20"/>
          <w:color w:val="auto"/>
        </w:rPr>
      </w:pPr>
    </w:p>
    <w:p>
      <w:pPr>
        <w:ind w:left="2080"/>
        <w:spacing w:after="0"/>
        <w:tabs>
          <w:tab w:leader="none" w:pos="31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11/14/2025</w:t>
      </w:r>
    </w:p>
    <w:sectPr>
      <w:pgSz w:w="11900" w:h="16838" w:orient="portrait"/>
      <w:cols w:equalWidth="0" w:num="1">
        <w:col w:w="9019"/>
      </w:cols>
      <w:pgMar w:left="144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10"/>
    </w:lvl>
  </w:abstractNum>
  <w:abstractNum w:abstractNumId="4">
    <w:nsid w:val="507ED7AB"/>
    <w:multiLevelType w:val="hybridMultilevel"/>
    <w:lvl w:ilvl="0">
      <w:lvlJc w:val="left"/>
      <w:lvlText w:val="(%1)"/>
      <w:numFmt w:val="lowerLetter"/>
      <w:start w:val="3"/>
    </w:lvl>
  </w:abstractNum>
  <w:abstractNum w:abstractNumId="5">
    <w:nsid w:val="2EB141F2"/>
    <w:multiLevelType w:val="hybridMultilevel"/>
    <w:lvl w:ilvl="0">
      <w:lvlJc w:val="left"/>
      <w:lvlText w:val="(%1)"/>
      <w:numFmt w:val="lowerRoman"/>
      <w:start w:val="1"/>
    </w:lvl>
  </w:abstractNum>
  <w:abstractNum w:abstractNumId="6">
    <w:nsid w:val="41B71EFB"/>
    <w:multiLevelType w:val="hybridMultilevel"/>
    <w:lvl w:ilvl="0">
      <w:lvlJc w:val="left"/>
      <w:lvlText w:val="&amp;"/>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2025-11-14T13:16:56Z</dcterms:created>
  <dcterms:modified xsi:type="dcterms:W3CDTF">2025-11-14T13:16:56Z</dcterms:modified>
</cp:coreProperties>
</file>