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Bach Eric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Lucid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LCID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Product &amp; Chief Engineer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64,804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2,118,227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tax withholding and remittance obligations in connection with the settlement of performance stock units ("PSUs") for which service-based vesting requirements have been satisfied and the time-based vesting of restricted stock units ("RSUs"). The acquisition of such PSUs and RSUs has previously been reported on Forms 4 filed by the reporting person.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Benjamin Uy,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Eric Bach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281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2024-06-07T19:02:08Z</dcterms:created>
  <dcterms:modified xsi:type="dcterms:W3CDTF">2024-06-07T19:02:08Z</dcterms:modified>
</cp:coreProperties>
</file>