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160" w:after="283"/>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160" w:after="283"/>
        <w:jc w:val="center"/>
        <w:rPr>
          <w:rFonts w:ascii="Times New Roman;serif" w:hAnsi="Times New Roman;serif"/>
          <w:b/>
          <w:color w:val="231F20"/>
          <w:sz w:val="24"/>
        </w:rPr>
      </w:pPr>
      <w:r>
        <w:rPr>
          <w:rFonts w:ascii="Times New Roman;serif" w:hAnsi="Times New Roman;serif"/>
          <w:b/>
          <w:color w:val="231F20"/>
          <w:sz w:val="24"/>
        </w:rPr>
        <w:t>CURRENT REPORT</w:t>
      </w:r>
    </w:p>
    <w:p>
      <w:pPr>
        <w:pStyle w:val="TextBody"/>
        <w:bidi w:val="0"/>
        <w:spacing w:lineRule="auto" w:line="288" w:before="20" w:after="283"/>
        <w:jc w:val="center"/>
        <w:rPr>
          <w:rFonts w:ascii="Times New Roman;serif" w:hAnsi="Times New Roman;serif"/>
          <w:b/>
          <w:color w:val="231F20"/>
          <w:sz w:val="24"/>
        </w:rPr>
      </w:pPr>
      <w:r>
        <w:rPr>
          <w:rFonts w:ascii="Times New Roman;serif" w:hAnsi="Times New Roman;serif"/>
          <w:b/>
          <w:color w:val="231F20"/>
          <w:sz w:val="24"/>
        </w:rPr>
        <w:t>Pursuant to Section 13 OR 15(d) of The Securities Exchange Act of 1934</w:t>
      </w:r>
    </w:p>
    <w:p>
      <w:pPr>
        <w:pStyle w:val="TextBody"/>
        <w:bidi w:val="0"/>
        <w:spacing w:lineRule="auto" w:line="288" w:before="240" w:after="283"/>
        <w:jc w:val="center"/>
        <w:rPr/>
      </w:pPr>
      <w:r>
        <w:rPr>
          <w:rFonts w:ascii="Times New Roman;serif" w:hAnsi="Times New Roman;serif"/>
          <w:b w:val="false"/>
          <w:color w:val="000000"/>
          <w:sz w:val="20"/>
        </w:rPr>
        <w:t>Date of Report (date of earliest event reported): August 18, 2025</w:t>
      </w:r>
      <w:r>
        <w:rPr>
          <w:color w:val="000000"/>
        </w:rPr>
        <w:t xml:space="preserve"> </w:t>
      </w:r>
    </w:p>
    <w:p>
      <w:pPr>
        <w:pStyle w:val="TextBody"/>
        <w:bidi w:val="0"/>
        <w:spacing w:lineRule="auto" w:line="288" w:before="160" w:after="283"/>
        <w:jc w:val="center"/>
        <w:rPr>
          <w:rFonts w:ascii="Times New Roman;serif" w:hAnsi="Times New Roman;serif"/>
          <w:b/>
          <w:color w:val="000000"/>
          <w:sz w:val="36"/>
        </w:rPr>
      </w:pPr>
      <w:r>
        <w:rPr>
          <w:rFonts w:ascii="Times New Roman;serif" w:hAnsi="Times New Roman;serif"/>
          <w:b/>
          <w:color w:val="000000"/>
          <w:sz w:val="36"/>
        </w:rPr>
        <w:t>Lucid Group,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(Exact name of registrant as specified in its charter)</w:t>
      </w:r>
    </w:p>
    <w:tbl>
      <w:tblPr>
        <w:tblW w:w="7977" w:type="dxa"/>
        <w:jc w:val="left"/>
        <w:tblInd w:w="0" w:type="dxa"/>
        <w:tblLayout w:type="fixed"/>
        <w:tblCellMar>
          <w:top w:w="28" w:type="dxa"/>
          <w:left w:w="28" w:type="dxa"/>
          <w:bottom w:w="28" w:type="dxa"/>
          <w:right w:w="28" w:type="dxa"/>
        </w:tblCellMar>
      </w:tblPr>
      <w:tblGrid>
        <w:gridCol w:w="1215"/>
        <w:gridCol w:w="1066"/>
        <w:gridCol w:w="1078"/>
        <w:gridCol w:w="528"/>
        <w:gridCol w:w="528"/>
        <w:gridCol w:w="533"/>
        <w:gridCol w:w="884"/>
        <w:gridCol w:w="884"/>
        <w:gridCol w:w="1261"/>
      </w:tblGrid>
      <w:tr>
        <w:trPr/>
        <w:tc>
          <w:tcPr>
            <w:tcW w:w="1215"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001-39408</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85-0891392</w:t>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br/>
              <w:t>incorporation or organization)</w:t>
            </w:r>
          </w:p>
        </w:tc>
        <w:tc>
          <w:tcPr>
            <w:tcW w:w="15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(Commission File </w:t>
              <w:br/>
              <w:t>Number)</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7373 Gateway Boulevard</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Newark, CA</w:t>
            </w:r>
          </w:p>
        </w:tc>
        <w:tc>
          <w:tcPr>
            <w:tcW w:w="1589"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94560</w:t>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160" w:after="283"/>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(510) 648-3553</w:t>
      </w:r>
    </w:p>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(Former name or former address, if changed since last report.)</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0" w:after="0"/>
        <w:ind w:left="0" w:right="0" w:hanging="360"/>
        <w:jc w:val="left"/>
        <w:rPr>
          <w:color w:val="000000"/>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ind w:left="0" w:right="0" w:hanging="360"/>
        <w:jc w:val="left"/>
        <w:rPr/>
      </w:pPr>
      <w:r>
        <w:rPr>
          <w:color w:val="000000"/>
        </w:rPr>
        <w:t>☐    </w:t>
      </w:r>
      <w:r>
        <w:rPr>
          <w:rFonts w:ascii="Times New Roman;serif" w:hAnsi="Times New Roman;serif"/>
          <w:b w:val="false"/>
          <w:color w:val="231F20"/>
          <w:sz w:val="20"/>
        </w:rPr>
        <w:t xml:space="preserve">Soliciting material pursuant to Rule 14a-12 under the Exchange Act (17 CFR 240.14a-12) </w:t>
      </w:r>
    </w:p>
    <w:p>
      <w:pPr>
        <w:pStyle w:val="TextBody"/>
        <w:bidi w:val="0"/>
        <w:spacing w:lineRule="auto" w:line="288" w:before="0" w:after="0"/>
        <w:ind w:left="0" w:right="0" w:hanging="360"/>
        <w:jc w:val="left"/>
        <w:rPr/>
      </w:pPr>
      <w:r>
        <w:rPr>
          <w:color w:val="000000"/>
        </w:rPr>
        <w:t>☐    </w:t>
      </w:r>
      <w:r>
        <w:rPr>
          <w:rFonts w:ascii="Times New Roman;serif" w:hAnsi="Times New Roman;serif"/>
          <w:b w:val="false"/>
          <w:color w:val="231F20"/>
          <w:sz w:val="20"/>
        </w:rPr>
        <w:t xml:space="preserve">Pre-commencement communications pursuant to Rule 14d-2(b) under the Exchange Act (17 CFR 240.14d-2(b)) </w:t>
      </w:r>
    </w:p>
    <w:p>
      <w:pPr>
        <w:pStyle w:val="TextBody"/>
        <w:bidi w:val="0"/>
        <w:spacing w:lineRule="auto" w:line="288" w:before="0" w:after="0"/>
        <w:ind w:left="0" w:right="0" w:hanging="360"/>
        <w:jc w:val="left"/>
        <w:rPr/>
      </w:pPr>
      <w:r>
        <w:rPr>
          <w:color w:val="000000"/>
        </w:rPr>
        <w:t>☐    </w:t>
      </w:r>
      <w:r>
        <w:rPr>
          <w:rFonts w:ascii="Times New Roman;serif" w:hAnsi="Times New Roman;serif"/>
          <w:b w:val="false"/>
          <w:color w:val="231F20"/>
          <w:sz w:val="20"/>
        </w:rPr>
        <w:t xml:space="preserve">Pre-commencement communications pursuant to Rule 13e-4(c) under the Exchange Act (17 CFR 240.13e-4(c)) </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10205" w:type="dxa"/>
        <w:jc w:val="left"/>
        <w:tblInd w:w="0" w:type="dxa"/>
        <w:tblLayout w:type="fixed"/>
        <w:tblCellMar>
          <w:top w:w="28" w:type="dxa"/>
          <w:left w:w="28" w:type="dxa"/>
          <w:bottom w:w="28" w:type="dxa"/>
          <w:right w:w="28" w:type="dxa"/>
        </w:tblCellMar>
      </w:tblPr>
      <w:tblGrid>
        <w:gridCol w:w="1528"/>
        <w:gridCol w:w="1329"/>
        <w:gridCol w:w="1344"/>
        <w:gridCol w:w="109"/>
        <w:gridCol w:w="109"/>
        <w:gridCol w:w="109"/>
        <w:gridCol w:w="550"/>
        <w:gridCol w:w="550"/>
        <w:gridCol w:w="552"/>
        <w:gridCol w:w="109"/>
        <w:gridCol w:w="109"/>
        <w:gridCol w:w="109"/>
        <w:gridCol w:w="1079"/>
        <w:gridCol w:w="1079"/>
        <w:gridCol w:w="1540"/>
      </w:tblGrid>
      <w:tr>
        <w:trPr/>
        <w:tc>
          <w:tcPr>
            <w:tcW w:w="1528"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r>
      <w:tr>
        <w:trPr/>
        <w:tc>
          <w:tcPr>
            <w:tcW w:w="42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2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$0.0001 par value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20"/>
              </w:rPr>
            </w:pPr>
            <w:r>
              <w:rPr>
                <w:rFonts w:ascii="Times New Roman;serif" w:hAnsi="Times New Roman;serif"/>
                <w:b w:val="false"/>
                <w:color w:val="000000"/>
                <w:sz w:val="20"/>
              </w:rPr>
              <w:t>LCID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right"/>
        <w:rPr/>
      </w:pPr>
      <w:r>
        <w:rPr>
          <w:rFonts w:ascii="Times New Roman;serif" w:hAnsi="Times New Roman;serif"/>
          <w:b w:val="false"/>
          <w:color w:val="231F20"/>
          <w:sz w:val="20"/>
        </w:rPr>
        <w:t xml:space="preserve">Emerging growth company </w:t>
      </w:r>
      <w:r>
        <w:rPr>
          <w:color w:val="000000"/>
        </w:rPr>
        <w:t>☐</w:t>
      </w:r>
      <w:r>
        <w:rPr>
          <w:color w:val="231F20"/>
        </w:rPr>
        <w:t xml:space="preserve"> </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0"/>
        <w:jc w:val="right"/>
        <w:rPr>
          <w:color w:val="000000"/>
        </w:rPr>
      </w:pP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5.07 Submission of Matters to a Vote of Security Holders.</w:t>
      </w:r>
    </w:p>
    <w:p>
      <w:pPr>
        <w:pStyle w:val="TextBody"/>
        <w:bidi w:val="0"/>
        <w:spacing w:lineRule="auto" w:line="288" w:before="200" w:after="283"/>
        <w:jc w:val="left"/>
        <w:rPr/>
      </w:pPr>
      <w:r>
        <w:rPr>
          <w:rFonts w:ascii="Times New Roman;serif" w:hAnsi="Times New Roman;serif"/>
          <w:b w:val="false"/>
          <w:color w:val="000000"/>
          <w:sz w:val="20"/>
        </w:rPr>
        <w:t>On August 18, 2025, Lucid Group, Inc. (“</w:t>
      </w:r>
      <w:r>
        <w:rPr>
          <w:rFonts w:ascii="Times New Roman;serif" w:hAnsi="Times New Roman;serif"/>
          <w:b/>
          <w:i/>
          <w:color w:val="000000"/>
          <w:sz w:val="20"/>
        </w:rPr>
        <w:t>Lucid</w:t>
      </w:r>
      <w:r>
        <w:rPr>
          <w:color w:val="000000"/>
        </w:rPr>
        <w:t xml:space="preserve">” </w:t>
      </w:r>
      <w:r>
        <w:rPr>
          <w:rFonts w:ascii="Times New Roman;serif" w:hAnsi="Times New Roman;serif"/>
          <w:b w:val="false"/>
          <w:color w:val="000000"/>
          <w:sz w:val="20"/>
        </w:rPr>
        <w:t>or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held a special meeting of stockholders (the “</w:t>
      </w:r>
      <w:r>
        <w:rPr>
          <w:rFonts w:ascii="Times New Roman;serif" w:hAnsi="Times New Roman;serif"/>
          <w:b/>
          <w:i/>
          <w:color w:val="000000"/>
          <w:sz w:val="20"/>
        </w:rPr>
        <w:t>Special Meeting</w:t>
      </w:r>
      <w:r>
        <w:rPr>
          <w:color w:val="000000"/>
        </w:rPr>
        <w:t>”</w:t>
      </w:r>
      <w:r>
        <w:rPr>
          <w:rFonts w:ascii="Times New Roman;serif" w:hAnsi="Times New Roman;serif"/>
          <w:b w:val="false"/>
          <w:color w:val="000000"/>
          <w:sz w:val="20"/>
        </w:rPr>
        <w:t>). The matter listed below was submitted to a vote of the Company’s stockholders at the Special Meeting through the solicitation of proxies. Detailed descriptions of the proposal are included in the Company’s definitive proxy statement on Schedule 14A filed with the Securities and Exchange Commission (the “</w:t>
      </w:r>
      <w:r>
        <w:rPr>
          <w:rFonts w:ascii="Times New Roman;serif" w:hAnsi="Times New Roman;serif"/>
          <w:b/>
          <w:i/>
          <w:color w:val="000000"/>
          <w:sz w:val="20"/>
        </w:rPr>
        <w:t>SEC</w:t>
      </w:r>
      <w:r>
        <w:rPr>
          <w:color w:val="000000"/>
        </w:rPr>
        <w:t>”</w:t>
      </w:r>
      <w:r>
        <w:rPr>
          <w:rFonts w:ascii="Times New Roman;serif" w:hAnsi="Times New Roman;serif"/>
          <w:b w:val="false"/>
          <w:color w:val="000000"/>
          <w:sz w:val="20"/>
        </w:rPr>
        <w:t>) on July 28, 2025 and definitive additional materials on Schedule 14A filed with the SEC on August 8, 2025.</w:t>
      </w:r>
    </w:p>
    <w:p>
      <w:pPr>
        <w:pStyle w:val="TextBody"/>
        <w:bidi w:val="0"/>
        <w:spacing w:lineRule="auto" w:line="288" w:before="24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stockholders approved an amendment to the Company’s Third Amended and Restated Certificate of Incorporation to effect, at the discretion of the Company’s Board of Directors, a reverse stock split of the common stock.</w:t>
      </w:r>
    </w:p>
    <w:tbl>
      <w:tblPr>
        <w:tblW w:w="3691" w:type="dxa"/>
        <w:jc w:val="left"/>
        <w:tblInd w:w="0" w:type="dxa"/>
        <w:tblLayout w:type="fixed"/>
        <w:tblCellMar>
          <w:top w:w="28" w:type="dxa"/>
          <w:left w:w="28" w:type="dxa"/>
          <w:bottom w:w="28" w:type="dxa"/>
          <w:right w:w="28" w:type="dxa"/>
        </w:tblCellMar>
      </w:tblPr>
      <w:tblGrid>
        <w:gridCol w:w="472"/>
        <w:gridCol w:w="414"/>
        <w:gridCol w:w="420"/>
        <w:gridCol w:w="419"/>
        <w:gridCol w:w="419"/>
        <w:gridCol w:w="421"/>
        <w:gridCol w:w="329"/>
        <w:gridCol w:w="329"/>
        <w:gridCol w:w="468"/>
      </w:tblGrid>
      <w:tr>
        <w:trPr/>
        <w:tc>
          <w:tcPr>
            <w:tcW w:w="47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Votes For</w:t>
            </w:r>
          </w:p>
        </w:tc>
        <w:tc>
          <w:tcPr>
            <w:tcW w:w="125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Votes Against</w:t>
            </w:r>
          </w:p>
        </w:tc>
        <w:tc>
          <w:tcPr>
            <w:tcW w:w="112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Abstentions</w:t>
            </w:r>
          </w:p>
        </w:tc>
      </w:tr>
      <w:tr>
        <w:trPr/>
        <w:tc>
          <w:tcPr>
            <w:tcW w:w="130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20"/>
              </w:rPr>
            </w:pPr>
            <w:r>
              <w:rPr>
                <w:rFonts w:ascii="Times New Roman;serif" w:hAnsi="Times New Roman;serif"/>
                <w:b w:val="false"/>
                <w:color w:val="000000"/>
                <w:sz w:val="20"/>
              </w:rPr>
              <w:t>2,428,788,369</w:t>
            </w:r>
          </w:p>
        </w:tc>
        <w:tc>
          <w:tcPr>
            <w:tcW w:w="125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20"/>
              </w:rPr>
            </w:pPr>
            <w:r>
              <w:rPr>
                <w:rFonts w:ascii="Times New Roman;serif" w:hAnsi="Times New Roman;serif"/>
                <w:b w:val="false"/>
                <w:color w:val="000000"/>
                <w:sz w:val="20"/>
              </w:rPr>
              <w:t>35,327,834</w:t>
            </w:r>
          </w:p>
        </w:tc>
        <w:tc>
          <w:tcPr>
            <w:tcW w:w="112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20"/>
              </w:rPr>
            </w:pPr>
            <w:r>
              <w:rPr>
                <w:rFonts w:ascii="Times New Roman;serif" w:hAnsi="Times New Roman;serif"/>
                <w:b w:val="false"/>
                <w:color w:val="000000"/>
                <w:sz w:val="20"/>
              </w:rPr>
              <w:t>2,247,966</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4988" w:type="dxa"/>
        <w:jc w:val="left"/>
        <w:tblInd w:w="0" w:type="dxa"/>
        <w:tblLayout w:type="fixed"/>
        <w:tblCellMar>
          <w:top w:w="28" w:type="dxa"/>
          <w:left w:w="28" w:type="dxa"/>
          <w:bottom w:w="28" w:type="dxa"/>
          <w:right w:w="28" w:type="dxa"/>
        </w:tblCellMar>
      </w:tblPr>
      <w:tblGrid>
        <w:gridCol w:w="743"/>
        <w:gridCol w:w="653"/>
        <w:gridCol w:w="659"/>
        <w:gridCol w:w="308"/>
        <w:gridCol w:w="308"/>
        <w:gridCol w:w="308"/>
        <w:gridCol w:w="587"/>
        <w:gridCol w:w="587"/>
        <w:gridCol w:w="835"/>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Dated: August 22, 2025</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3"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LUCID GROUP, INC.</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 Taoufiq Boussaid</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Taoufiq Boussaid</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495</Words>
  <Characters>2730</Characters>
  <CharactersWithSpaces>3191</CharactersWithSpaces>
  <Paragraphs>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