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August 5, 2025</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67"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5, 2025, Lucid Group, Inc. (“Lucid” or the “Company”) issued a press release announcing its results for the second quarter ended June 30, 2025. A copy of the press release is attached as Exhibit 99.1 to this Current Report on Form 8-K and is incorporated by reference herein.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Lucid uses its </w:t>
      </w:r>
      <w:r>
        <w:rPr>
          <w:rFonts w:ascii="Times New Roman" w:cs="Times New Roman" w:eastAsia="Times New Roman" w:hAnsi="Times New Roman"/>
          <w:sz w:val="18"/>
          <w:szCs w:val="18"/>
          <w:u w:val="single" w:color="auto"/>
          <w:color w:val="auto"/>
        </w:rPr>
        <w:t>ir.lucidmotors.com</w:t>
      </w:r>
      <w:r>
        <w:rPr>
          <w:rFonts w:ascii="Times New Roman" w:cs="Times New Roman" w:eastAsia="Times New Roman" w:hAnsi="Times New Roman"/>
          <w:sz w:val="18"/>
          <w:szCs w:val="18"/>
          <w:color w:val="auto"/>
        </w:rPr>
        <w:t xml:space="preserve"> website as a means of disclosing material non-public information and for complying with its disclosure obligations under Regulation FD.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80" w:type="dxa"/>
            <w:vAlign w:val="bottom"/>
          </w:tcPr>
          <w:p>
            <w:pPr>
              <w:spacing w:after="0"/>
              <w:rPr>
                <w:sz w:val="20"/>
                <w:szCs w:val="20"/>
                <w:color w:val="auto"/>
              </w:rPr>
            </w:pPr>
          </w:p>
        </w:tc>
        <w:tc>
          <w:tcPr>
            <w:tcW w:w="6920" w:type="dxa"/>
            <w:vAlign w:val="bottom"/>
          </w:tcPr>
          <w:p>
            <w:pPr>
              <w:spacing w:after="0"/>
              <w:rPr>
                <w:sz w:val="20"/>
                <w:szCs w:val="20"/>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80" w:type="dxa"/>
            <w:vAlign w:val="bottom"/>
          </w:tcPr>
          <w:p>
            <w:pPr>
              <w:spacing w:after="0"/>
              <w:rPr>
                <w:sz w:val="24"/>
                <w:szCs w:val="24"/>
                <w:color w:val="auto"/>
              </w:rPr>
            </w:pPr>
          </w:p>
        </w:tc>
        <w:tc>
          <w:tcPr>
            <w:tcW w:w="6920" w:type="dxa"/>
            <w:vAlign w:val="bottom"/>
          </w:tcPr>
          <w:p>
            <w:pPr>
              <w:spacing w:after="0"/>
              <w:rPr>
                <w:sz w:val="24"/>
                <w:szCs w:val="24"/>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Lucid Press Release Dated August 5, 2025</w:t>
            </w:r>
          </w:p>
        </w:tc>
        <w:tc>
          <w:tcPr>
            <w:tcW w:w="6920" w:type="dxa"/>
            <w:vAlign w:val="bottom"/>
          </w:tcPr>
          <w:p>
            <w:pPr>
              <w:spacing w:after="0"/>
              <w:rPr>
                <w:sz w:val="21"/>
                <w:szCs w:val="2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12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5, 2025</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Lucid Announces Second Quarter 2025 Financial Results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Highlights</w:t>
      </w:r>
    </w:p>
    <w:p>
      <w:pPr>
        <w:spacing w:after="0" w:line="58"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Produced 3,863 vehicles in Q2</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3,309 vehicles in Q2; up 38.2% compared to Q2 2024</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Q2 revenue of $259.4 million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Q2 GAAP diluted net loss per share of $(0.28); non-GAAP diluted net loss per share of $(0.24)</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Ended the quarter with approximately $4.86 billion in total liquidity</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outlook for 2025 is revised to 18,000 - 20,000 vehicles from prior guidance of 20,000 vehicles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Operational Highlights</w:t>
      </w:r>
    </w:p>
    <w:p>
      <w:pPr>
        <w:spacing w:after="0" w:line="71" w:lineRule="exact"/>
        <w:rPr>
          <w:sz w:val="20"/>
          <w:szCs w:val="20"/>
          <w:color w:val="auto"/>
        </w:rPr>
      </w:pPr>
    </w:p>
    <w:p>
      <w:pPr>
        <w:ind w:left="660" w:right="20" w:hanging="328"/>
        <w:spacing w:after="0" w:line="254"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Launched next-generation robotaxi partnership that will see Uber deploy a minimum of 20,000 Lucid Gravity vehicles equipped with Nuro Driver</w:t>
      </w:r>
      <w:r>
        <w:rPr>
          <w:rFonts w:ascii="Times New Roman" w:cs="Times New Roman" w:eastAsia="Times New Roman" w:hAnsi="Times New Roman"/>
          <w:sz w:val="11"/>
          <w:szCs w:val="11"/>
          <w:color w:val="auto"/>
        </w:rPr>
        <w:t>TM</w:t>
      </w:r>
      <w:r>
        <w:rPr>
          <w:rFonts w:ascii="Times New Roman" w:cs="Times New Roman" w:eastAsia="Times New Roman" w:hAnsi="Times New Roman"/>
          <w:sz w:val="20"/>
          <w:szCs w:val="20"/>
          <w:color w:val="auto"/>
        </w:rPr>
        <w:t xml:space="preserve"> Level 4 autonomy</w:t>
      </w:r>
    </w:p>
    <w:p>
      <w:pPr>
        <w:spacing w:after="0" w:line="1" w:lineRule="exact"/>
        <w:rPr>
          <w:rFonts w:ascii="Times New Roman" w:cs="Times New Roman" w:eastAsia="Times New Roman" w:hAnsi="Times New Roman"/>
          <w:sz w:val="20"/>
          <w:szCs w:val="20"/>
          <w:color w:val="auto"/>
        </w:rPr>
      </w:pPr>
    </w:p>
    <w:p>
      <w:pPr>
        <w:ind w:left="660" w:right="560" w:hanging="328"/>
        <w:spacing w:after="0" w:line="246"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DreamDrive Pro functionality to add Hands-Free Drive Assist and Lane Change Assist, advancing Lucid’s in-house ADAS autonomy roadmap</w:t>
      </w:r>
    </w:p>
    <w:p>
      <w:pPr>
        <w:spacing w:after="0" w:line="1" w:lineRule="exact"/>
        <w:rPr>
          <w:rFonts w:ascii="Times New Roman" w:cs="Times New Roman" w:eastAsia="Times New Roman" w:hAnsi="Times New Roman"/>
          <w:sz w:val="20"/>
          <w:szCs w:val="20"/>
          <w:color w:val="auto"/>
        </w:rPr>
      </w:pPr>
    </w:p>
    <w:p>
      <w:pPr>
        <w:ind w:left="660" w:right="20" w:hanging="328"/>
        <w:spacing w:after="0" w:line="250"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Introduced access to 23,500+ Tesla Superchargers in North America for all Lucid Air models using a Lucid-approved NACS adapter, significantly increasing driving range</w:t>
      </w:r>
    </w:p>
    <w:p>
      <w:pPr>
        <w:ind w:left="660" w:right="260" w:hanging="328"/>
        <w:spacing w:after="0" w:line="260"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Timothée Chalamet, an award-winning actor and cultural icon, as first-ever brand ambassador, initiating biggest brand awareness push to date</w:t>
      </w:r>
    </w:p>
    <w:p>
      <w:pPr>
        <w:spacing w:after="0" w:line="1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NEWARK, Calif. — August 5, 2025 — Lucid Group, Inc. (NASDAQ: LCID), maker of the world’s most advanced electric vehicles, today announced financial results for its second quarter ended June 30, 2025. The earnings presentation is available on its investor relations website (https://ir.lucidmotors.com).</w:t>
      </w:r>
    </w:p>
    <w:p>
      <w:pPr>
        <w:spacing w:after="0" w:line="181"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Lucid reported second quarter revenue of $259.4 million on deliveries of 3,309 vehicles. Lucid ended the second quarter with approximately $4.86 billion in total liquidity. The Company is also adjusting its production outlook for 2025 to 18,000 - 20,000 vehicles.</w:t>
      </w:r>
    </w:p>
    <w:p>
      <w:pPr>
        <w:spacing w:after="0" w:line="14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“We had our sixth consecutive quarter of record deliveries in Q2 and expect to continue this trend as we ramp up Lucid Gravity production in the second half of the year,” said Marc Winterhoff, Interim CEO at Lucid. “In Q1, we mentioned our ongoing partnership discussions to develop new revenue streams for our EV technology and beyond. The robotaxi partnership we announced with Uber and Nuro is a perfect example aligned with that strategy. We also continued to double down on increasing our brand awareness, introducing Timothée Chalamet, an award-winning actor and cultural icon, as our first global brand ambassador.”</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“We delivered solid performance despite a challenging macroeconomic backdrop, thanks to the adaptability and focus of our team in navigating a dynamic environment,” said Taoufiq Boussaid, CFO at Lucid. “We are focused on business fundamentals to achieve our near-term goals: disciplined cost management, brand building, and continuing to execute our Lucid Gravity launch ramp. We remain committed to strengthening our balance sheet and maintaining long-term alignment with partners and shareholders.”</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Lucid will host a conference call for analysts and investors at 2:30 P.M. PT / 5:30 P.M. ET on August 5, 2025.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31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About Lucid Group</w:t>
      </w:r>
    </w:p>
    <w:p>
      <w:pPr>
        <w:spacing w:after="0" w:line="229"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9"/>
          <w:szCs w:val="19"/>
          <w:color w:val="auto"/>
        </w:rPr>
        <w:t xml:space="preserve">Lucid (NASDAQ: </w:t>
      </w:r>
      <w:r>
        <w:rPr>
          <w:rFonts w:ascii="Times New Roman" w:cs="Times New Roman" w:eastAsia="Times New Roman" w:hAnsi="Times New Roman"/>
          <w:sz w:val="19"/>
          <w:szCs w:val="19"/>
          <w:b w:val="1"/>
          <w:bCs w:val="1"/>
          <w:color w:val="auto"/>
        </w:rPr>
        <w:t>LCID</w:t>
      </w:r>
      <w:r>
        <w:rPr>
          <w:rFonts w:ascii="Times New Roman" w:cs="Times New Roman" w:eastAsia="Times New Roman" w:hAnsi="Times New Roman"/>
          <w:sz w:val="19"/>
          <w:szCs w:val="19"/>
          <w:color w:val="auto"/>
        </w:rPr>
        <w:t>) is a Silicon Valley-based technology company focused on creating the most advanced EVs in the world. The award-winning Lucid Air and new Lucid Gravity deliver best-in-class performance, sophisticated design, expansive interior space and unrivaled energy efficiency. Lucid assembles both vehicles in its state-of-the-art, vertically integrated factory in Arizona. Through its industry-leading technology and innovations, Lucid is advancing the state-of-the-art of EV technology for the benefit of all.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investor@lucidmotors.com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media@lucidmotors.com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B1B1B"/>
        </w:rPr>
        <w:t>Trademarks</w:t>
      </w:r>
    </w:p>
    <w:p>
      <w:pPr>
        <w:spacing w:after="0" w:line="220"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This communication contains trademarks, service marks, trade names and copyrights of Lucid Group, Inc. and its subsidiaries and other companies, which are the property of their respective owners.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These forward-looking statements include, but are not limited to, statements regarding results of operations, financial outlook and condition, guidance, liquidity, capital expenditures, prospects, growth, production volumes, strategies, management, and the markets in which we operate, including expectations of financial and operational metrics, projections of market opportunity, market share and product sales, plans and expectations related to commercial product launches and future programs, initiatives and products, including the Midsize program, plans and expectations on vehicle production and delivery timing and volumes, expectations regarding market opportunities and demand for Lucid’s products, the range, features, specifications, performance, production and delivery of Lucid’s vehicles and potential impact on markets, plans and expectations regarding further monetization opportunities, plans and expectations regarding Lucid’s software, technology features and capabilities, including with respect to battery and powertrain systems, plans and expectations regarding Lucid’s systems approach to the design of the vehicles, estimate of Lucid’s technology lead over competitors, estimate of the length of time Lucid’s existing cash, cash equivalents and investments will be sufficient to fund planned operations, plans and expectations regarding Lucid’s liquidity runway, future capital raises and funding strategy and settlement of the Uber private placement, plans and expectations regarding future manufacturing capabilities and facilities, logistics and supply chain, studio and service center openings, sales channels and strategies, test drive, ability to mitigate supply chain and logistics risks, plans and expectations regarding expansion and construction of Lucid’s AMP-1 and AMP-2 manufacturing facilities and capabilities, including potential benefits, ability to vertically integrate production processes, future sales channels and strategies, future market launches and international expansion, Lucid’s ability to grow its brand awareness, plans and expectations regarding management transitions, the potential success of Lucid’s direct-to-consumer sales strategy and future vehicle programs, potential automotive and strategic partnerships, expectations on the technology licensing landscape, expectations on the regulatory and political environment, the closing of the Uber private placement,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economic, market, financial, political, regulatory and legal conditions, including changes of policies,</w:t>
      </w:r>
    </w:p>
    <w:p>
      <w:pPr>
        <w:sectPr>
          <w:pgSz w:w="11900" w:h="16838" w:orient="portrait"/>
          <w:cols w:equalWidth="0" w:num="1">
            <w:col w:w="11220"/>
          </w:cols>
          <w:pgMar w:left="320" w:top="13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20"/>
          </w:cols>
          <w:pgMar w:left="320" w:top="1314" w:right="359" w:bottom="1440" w:gutter="0" w:footer="0" w:header="0"/>
          <w:type w:val="continuous"/>
        </w:sectPr>
      </w:pPr>
    </w:p>
    <w:bookmarkStart w:id="5" w:name="page6"/>
    <w:bookmarkEnd w:id="5"/>
    <w:p>
      <w:pPr>
        <w:spacing w:after="0" w:line="249" w:lineRule="auto"/>
        <w:rPr>
          <w:sz w:val="20"/>
          <w:szCs w:val="20"/>
          <w:color w:val="auto"/>
        </w:rPr>
      </w:pPr>
      <w:r>
        <w:rPr>
          <w:rFonts w:ascii="Times New Roman" w:cs="Times New Roman" w:eastAsia="Times New Roman" w:hAnsi="Times New Roman"/>
          <w:sz w:val="20"/>
          <w:szCs w:val="20"/>
          <w:color w:val="auto"/>
        </w:rPr>
        <w:t>imposition of tariffs, export controls and threat of a trade war, the risk of a global economic recession or other downturn, bank closures and liquidity concerns at financial institutions, and global or regional conflicts or other geopolitical events; risks related to changes in overall demand for Lucid’s products and services and cancellation of orders for Lucid’s vehicles; risks related to prices and availability of commodities and materials, including rare earth minerals, Lucid’s supply chain, logistics, inventory management and quality control, and Lucid’s ability to complete the tooling of its manufacturing facilities over time and scale production of Lucid’s vehicles; risks related to the uncertainty of Lucid’s projected financial and operational information; risks related to the timing of expected business milestones and commercial product launches; risks related to the construction and expansion of Lucid’s manufacturing facilities and the increase of Lucid’s production capacity; Lucid’s ability to manage expenses and control costs; risks related to future market adoption of Lucid’s offerings; the effects of competition and the pace and depth of electric vehicle adoption generally on Lucid’s business; changes in regulatory requirements, policies, and governmental incentives; changes in fuel and energy prices; Lucid’s ability to rapidly innovate; Lucid’s ability to enter into or maintain partnerships with original equipment manufacturers, vendors and technology providers, including its ability to realize the anticipated benefits of its transactions with Aston Martin, Uber and Nuro; risks related to potential vehicle recalls ; Lucid’s ability to establish and expand its brand, and capture additional market share, and the risks associated with negative press or reputational harm; Lucid’s ability to effectively manage its growth and its ongoing need to attract, retain, and motivate key employees, including engineering and management employees, as Lucid has undertaken multiple significant management changes in the past, including its CEO; risks related to Lucid’s outstanding Convertible Preferred Stock; availability, reduction or elimination of, and Lucid’s ability to obtain and effectively utilize, zero emission vehicles credits, tax incentives, and other governmental and regulatory programs and incentives; Lucid’s ability to conduct equity, equity-linked or debt financings in the future; Lucid’s ability to pay interest and principal on its indebtedness; future changes to vehicle specifications which may impact performance, features, pricing and other expectations; the outcome of any potential litigation, government and regulatory proceedings, investigations and inquiries; and those factors discussed under the cautionary language and the Risk Factors in our Annual Report on Form 10-K for the year ended December 31, 2024, subsequent Quarterly Reports on Form 10-Q, Current Reports on Form 8-K, and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3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Non-GAAP Financial Measures and Key Business Metrics</w:t>
      </w:r>
    </w:p>
    <w:p>
      <w:pPr>
        <w:spacing w:after="0" w:line="2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Condensed consolidated financial information has been presented in accordance with US GAAP (“GAAP”) as well as on a non-GAAP basis to supplement our condensed consolidated financial results. Lucid’s non-GAAP financial measures include Adjusted EBITDA, adjusted net loss attributable to common stockholders (diluted), adjusted net loss per share attributable to common stockholders (diluted), and free cash flow, which are discussed below.</w:t>
      </w:r>
    </w:p>
    <w:p>
      <w:pPr>
        <w:spacing w:after="0" w:line="1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Adjusted EBITDA is defined as net loss attributable to common stockholders (basic) before (1) interest expense, (2) interest income, (3) provision for (benefit from) income taxes, (4) depreciation and amortization, (5) stock-based compensation, (6) restructuring charges, (7) change in fair value of common stock warrant liability, (8) change in fair value of equity securities of a related party, (9) change in fair value of derivative liabilities associated with redeemable convertible preferred stock (related party), (10) accretion of redeemable convertible preferred stock (related party), and (11) gain on extinguishment of debt. Lucid believes that Adjusted EBITDA provides useful information to Lucid’s management and investors about Lucid’s financial performance.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net loss attributable to common stockholders (diluted) is defined as net loss attributable to common stockholders (diluted) excluding</w:t>
      </w:r>
    </w:p>
    <w:p>
      <w:pPr>
        <w:spacing w:after="0" w:line="33" w:lineRule="exact"/>
        <w:rPr>
          <w:sz w:val="20"/>
          <w:szCs w:val="20"/>
          <w:color w:val="auto"/>
        </w:rPr>
      </w:pPr>
    </w:p>
    <w:p>
      <w:pPr>
        <w:jc w:val="both"/>
        <w:ind w:right="160" w:firstLine="8"/>
        <w:spacing w:after="0" w:line="256" w:lineRule="auto"/>
        <w:tabs>
          <w:tab w:leader="none" w:pos="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 (2) restructuring charges, (3) change in fair value of common stock warrant liability, (4) change in fair value of equity securities of a related party, (5) change in fair value of derivative liabilities associated with redeemable convertible preferred stock (related party), and (6) accretion of redeemable convertible preferred stock (related party).</w:t>
      </w:r>
    </w:p>
    <w:p>
      <w:pPr>
        <w:spacing w:after="0" w:line="174"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Lucid defines and calculates adjusted net loss per share attributable to common stockholders (diluted) as adjusted net loss attributable to common stockholders (diluted) divided by weighted-average shares outstanding attributable to common stockholders (diluted).</w:t>
      </w:r>
    </w:p>
    <w:p>
      <w:pPr>
        <w:spacing w:after="0" w:line="14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20"/>
          <w:szCs w:val="20"/>
          <w:color w:val="auto"/>
        </w:rPr>
        <w:t>Lucid believes that adjusted net loss attributable to common stockholders (diluted) and adjusted net loss per share attributable to common stockholders (diluted) financial measures provide investors with useful information to evaluate performance of its business excluding items not reflecting ongoing operating activities.</w:t>
      </w:r>
    </w:p>
    <w:p>
      <w:pPr>
        <w:spacing w:after="0" w:line="161"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9"/>
          <w:szCs w:val="19"/>
          <w:color w:val="auto"/>
        </w:rPr>
        <w:t>Free cash flow is defined as net cash used in operating activities less capital expenditures. Lucid believes that free cash flow provides useful information to Lucid’s management and investors about the amount of cash generated by the business after necessary capital expenditures.</w:t>
      </w:r>
    </w:p>
    <w:p>
      <w:pPr>
        <w:spacing w:after="0" w:line="12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w:t>
      </w:r>
    </w:p>
    <w:p>
      <w:pPr>
        <w:spacing w:after="0" w:line="19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Lucid’s non-GAAP financial measures and key performance measures as tools for comparison. A reconciliation between GAAP and non-GAAP financial information is presented below.</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314" w:right="339" w:bottom="1440" w:gutter="0" w:footer="0" w:header="0"/>
        </w:sectPr>
      </w:pPr>
    </w:p>
    <w:bookmarkStart w:id="7" w:name="page8"/>
    <w:bookmarkEnd w:id="7"/>
    <w:p>
      <w:pPr>
        <w:ind w:left="4780"/>
        <w:spacing w:after="0"/>
        <w:rPr>
          <w:sz w:val="20"/>
          <w:szCs w:val="20"/>
          <w:color w:val="auto"/>
        </w:rPr>
      </w:pPr>
      <w:r>
        <w:rPr>
          <w:rFonts w:ascii="Times New Roman" w:cs="Times New Roman" w:eastAsia="Times New Roman" w:hAnsi="Times New Roman"/>
          <w:sz w:val="17"/>
          <w:szCs w:val="17"/>
          <w:b w:val="1"/>
          <w:bCs w:val="1"/>
          <w:color w:val="auto"/>
        </w:rPr>
        <w:t>LUCID GROUP, INC.</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9"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86" w:lineRule="exact"/>
        <w:rPr>
          <w:sz w:val="20"/>
          <w:szCs w:val="20"/>
          <w:color w:val="auto"/>
        </w:rPr>
      </w:pPr>
    </w:p>
    <w:p>
      <w:pPr>
        <w:ind w:left="500" w:right="160" w:hanging="323"/>
        <w:spacing w:after="0" w:line="298" w:lineRule="auto"/>
        <w:rPr>
          <w:sz w:val="20"/>
          <w:szCs w:val="20"/>
          <w:color w:val="auto"/>
        </w:rPr>
      </w:pPr>
      <w:r>
        <w:rPr>
          <w:rFonts w:ascii="Times New Roman" w:cs="Times New Roman" w:eastAsia="Times New Roman" w:hAnsi="Times New Roman"/>
          <w:sz w:val="16"/>
          <w:szCs w:val="16"/>
          <w:color w:val="auto"/>
        </w:rPr>
        <w:t>Short-term investments (including $35,000 and $15,000 associated with a related party as of June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500" w:right="360" w:hanging="323"/>
        <w:spacing w:after="0" w:line="298" w:lineRule="auto"/>
        <w:rPr>
          <w:sz w:val="20"/>
          <w:szCs w:val="20"/>
          <w:color w:val="auto"/>
        </w:rPr>
      </w:pPr>
      <w:r>
        <w:rPr>
          <w:rFonts w:ascii="Times New Roman" w:cs="Times New Roman" w:eastAsia="Times New Roman" w:hAnsi="Times New Roman"/>
          <w:sz w:val="16"/>
          <w:szCs w:val="16"/>
          <w:color w:val="auto"/>
        </w:rPr>
        <w:t>Accounts receivable, net (including $63,508 and $57,909 from a related party as of June 30, 2025 and December 31, 2024, respectively)</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Prepaid expenses</w:t>
      </w:r>
    </w:p>
    <w:p>
      <w:pPr>
        <w:spacing w:after="0" w:line="86" w:lineRule="exact"/>
        <w:rPr>
          <w:sz w:val="20"/>
          <w:szCs w:val="20"/>
          <w:color w:val="auto"/>
        </w:rPr>
      </w:pPr>
    </w:p>
    <w:p>
      <w:pPr>
        <w:ind w:left="500" w:right="340" w:hanging="323"/>
        <w:spacing w:after="0" w:line="298" w:lineRule="auto"/>
        <w:rPr>
          <w:sz w:val="20"/>
          <w:szCs w:val="20"/>
          <w:color w:val="auto"/>
        </w:rPr>
      </w:pPr>
      <w:r>
        <w:rPr>
          <w:rFonts w:ascii="Times New Roman" w:cs="Times New Roman" w:eastAsia="Times New Roman" w:hAnsi="Times New Roman"/>
          <w:sz w:val="16"/>
          <w:szCs w:val="16"/>
          <w:color w:val="auto"/>
        </w:rPr>
        <w:t>Other current assets (including nil and $34,503 associated with a related party as of June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Right-of-use assets</w:t>
      </w:r>
    </w:p>
    <w:p>
      <w:pPr>
        <w:spacing w:after="0" w:line="86" w:lineRule="exact"/>
        <w:rPr>
          <w:sz w:val="20"/>
          <w:szCs w:val="20"/>
          <w:color w:val="auto"/>
        </w:rPr>
      </w:pPr>
    </w:p>
    <w:p>
      <w:pPr>
        <w:ind w:left="340" w:right="340" w:hanging="323"/>
        <w:spacing w:after="0" w:line="298" w:lineRule="auto"/>
        <w:rPr>
          <w:sz w:val="20"/>
          <w:szCs w:val="20"/>
          <w:color w:val="auto"/>
        </w:rPr>
      </w:pPr>
      <w:r>
        <w:rPr>
          <w:rFonts w:ascii="Times New Roman" w:cs="Times New Roman" w:eastAsia="Times New Roman" w:hAnsi="Times New Roman"/>
          <w:sz w:val="16"/>
          <w:szCs w:val="16"/>
          <w:color w:val="auto"/>
        </w:rPr>
        <w:t>Long-term investments (including $30,000 and $20,000 associated with a related party as of June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Other noncurrent assets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in equity securities of a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3232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3232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53" w:lineRule="exact"/>
        <w:rPr>
          <w:sz w:val="20"/>
          <w:szCs w:val="20"/>
          <w:color w:val="auto"/>
        </w:rPr>
      </w:pPr>
    </w:p>
    <w:p>
      <w:pPr>
        <w:ind w:left="160" w:right="460"/>
        <w:spacing w:after="0" w:line="298" w:lineRule="auto"/>
        <w:rPr>
          <w:sz w:val="20"/>
          <w:szCs w:val="20"/>
          <w:color w:val="auto"/>
        </w:rPr>
      </w:pPr>
      <w:r>
        <w:rPr>
          <w:rFonts w:ascii="Times New Roman" w:cs="Times New Roman" w:eastAsia="Times New Roman" w:hAnsi="Times New Roman"/>
          <w:sz w:val="16"/>
          <w:szCs w:val="16"/>
          <w:color w:val="auto"/>
        </w:rPr>
        <w:t>Accounts payable (including $18,010 and nil associated with a related party as of June 30, 2025 and December 31, 2024, respectively)</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Finance lease liabilities,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323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66" w:lineRule="exact"/>
        <w:rPr>
          <w:sz w:val="20"/>
          <w:szCs w:val="20"/>
          <w:color w:val="auto"/>
        </w:rPr>
      </w:pPr>
    </w:p>
    <w:p>
      <w:pPr>
        <w:ind w:left="500" w:right="20" w:hanging="323"/>
        <w:spacing w:after="0" w:line="298" w:lineRule="auto"/>
        <w:rPr>
          <w:sz w:val="20"/>
          <w:szCs w:val="20"/>
          <w:color w:val="auto"/>
        </w:rPr>
      </w:pPr>
      <w:r>
        <w:rPr>
          <w:rFonts w:ascii="Times New Roman" w:cs="Times New Roman" w:eastAsia="Times New Roman" w:hAnsi="Times New Roman"/>
          <w:sz w:val="16"/>
          <w:szCs w:val="16"/>
          <w:color w:val="auto"/>
        </w:rPr>
        <w:t>Other current liabilities (including $233,308 and $126,417 associated with related parties as of June 30, 2025 and December 31, 2024, respectively)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Finance lease liabilities, net of current portion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debt</w:t>
      </w:r>
    </w:p>
    <w:p>
      <w:pPr>
        <w:spacing w:after="0" w:line="86" w:lineRule="exact"/>
        <w:rPr>
          <w:sz w:val="20"/>
          <w:szCs w:val="20"/>
          <w:color w:val="auto"/>
        </w:rPr>
      </w:pPr>
    </w:p>
    <w:p>
      <w:pPr>
        <w:ind w:left="340" w:hanging="323"/>
        <w:spacing w:after="0" w:line="298" w:lineRule="auto"/>
        <w:rPr>
          <w:sz w:val="20"/>
          <w:szCs w:val="20"/>
          <w:color w:val="auto"/>
        </w:rPr>
      </w:pPr>
      <w:r>
        <w:rPr>
          <w:rFonts w:ascii="Times New Roman" w:cs="Times New Roman" w:eastAsia="Times New Roman" w:hAnsi="Times New Roman"/>
          <w:sz w:val="16"/>
          <w:szCs w:val="16"/>
          <w:color w:val="auto"/>
        </w:rPr>
        <w:t>Other long-term liabilities (including $122,889 and $121,136 associated with related parties as of June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Derivative liabilities associated with redeemable convertible preferred stock (related party)</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132320" cy="419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55" w:lineRule="exact"/>
        <w:rPr>
          <w:sz w:val="20"/>
          <w:szCs w:val="20"/>
          <w:color w:val="auto"/>
        </w:rPr>
      </w:pPr>
    </w:p>
    <w:p>
      <w:pPr>
        <w:ind w:left="340" w:right="20" w:hanging="323"/>
        <w:spacing w:after="0" w:line="281" w:lineRule="auto"/>
        <w:rPr>
          <w:sz w:val="20"/>
          <w:szCs w:val="20"/>
          <w:color w:val="auto"/>
        </w:rPr>
      </w:pPr>
      <w:r>
        <w:rPr>
          <w:rFonts w:ascii="Times New Roman" w:cs="Times New Roman" w:eastAsia="Times New Roman" w:hAnsi="Times New Roman"/>
          <w:sz w:val="16"/>
          <w:szCs w:val="16"/>
          <w:color w:val="auto"/>
        </w:rPr>
        <w:t>Preferred stock 10,000,000 shares authorized as of June 30, 2025 and December 31, 2024, Series A redeemable convertible preferred stock, par value $0.0001; 100,000 shares issued and outstanding as of June 30, 2025 and December 31, 2024; liquidation preference of $1,239,789 and $1,138,825 as of June 30, 2025 and December 31, 2024, respectively (related party)</w:t>
      </w:r>
    </w:p>
    <w:p>
      <w:pPr>
        <w:spacing w:after="0" w:line="15" w:lineRule="exact"/>
        <w:rPr>
          <w:sz w:val="20"/>
          <w:szCs w:val="20"/>
          <w:color w:val="auto"/>
        </w:rPr>
      </w:pPr>
    </w:p>
    <w:p>
      <w:pPr>
        <w:ind w:left="340" w:right="260" w:hanging="323"/>
        <w:spacing w:after="0" w:line="281" w:lineRule="auto"/>
        <w:rPr>
          <w:sz w:val="20"/>
          <w:szCs w:val="20"/>
          <w:color w:val="auto"/>
        </w:rPr>
      </w:pPr>
      <w:r>
        <w:rPr>
          <w:rFonts w:ascii="Times New Roman" w:cs="Times New Roman" w:eastAsia="Times New Roman" w:hAnsi="Times New Roman"/>
          <w:sz w:val="16"/>
          <w:szCs w:val="16"/>
          <w:color w:val="auto"/>
        </w:rPr>
        <w:t>Preferred stock 10,000,000 shares authorized as of June 30, 2025 and December 31, 2024, Series B redeemable convertible preferred stock, par value $0.0001; 75,000 shares issued and outstanding as of June 30, 2025 and December 31, 2024; liquidation preference of $871,051 and $800,442 as of June 30, 2025 and December 31, 2024, respectively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wp:posOffset>
            </wp:positionV>
            <wp:extent cx="71323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6"/>
          <w:szCs w:val="16"/>
          <w:color w:val="auto"/>
        </w:rPr>
        <w:t>Total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p>
      <w:pPr>
        <w:spacing w:after="0" w:line="75" w:lineRule="exact"/>
        <w:rPr>
          <w:sz w:val="20"/>
          <w:szCs w:val="20"/>
          <w:color w:val="auto"/>
        </w:rPr>
      </w:pPr>
    </w:p>
    <w:p>
      <w:pPr>
        <w:ind w:left="340" w:right="80" w:hanging="323"/>
        <w:spacing w:after="0" w:line="281" w:lineRule="auto"/>
        <w:rPr>
          <w:sz w:val="20"/>
          <w:szCs w:val="20"/>
          <w:color w:val="auto"/>
        </w:rPr>
      </w:pPr>
      <w:r>
        <w:rPr>
          <w:rFonts w:ascii="Times New Roman" w:cs="Times New Roman" w:eastAsia="Times New Roman" w:hAnsi="Times New Roman"/>
          <w:sz w:val="16"/>
          <w:szCs w:val="16"/>
          <w:color w:val="auto"/>
        </w:rPr>
        <w:t>Common stock, par value $0.0001; 15,000,000,000 shares authorized as of June 30, 2025 and December 31, 2024; 3,073,203,419 and 3,032,219,724 shares issued and 3,072,345,594 and 3,031,361,899 shares outstanding as of June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Treasury stock, at cost, 857,825 shares at June 30,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Accumulated other comprehensive income (loss)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3232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LIABILITIES, REDEEMABLE CONVERTIBLE PREFERRED STOCK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2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500" w:val="left"/>
          <w:tab w:leader="none" w:pos="1340" w:val="left"/>
          <w:tab w:leader="none" w:pos="18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1,795,719</w:t>
        <w:tab/>
        <w:t>$</w:t>
      </w:r>
      <w:r>
        <w:rPr>
          <w:sz w:val="20"/>
          <w:szCs w:val="20"/>
          <w:color w:val="auto"/>
        </w:rPr>
        <w:tab/>
      </w:r>
      <w:r>
        <w:rPr>
          <w:rFonts w:ascii="Times New Roman" w:cs="Times New Roman" w:eastAsia="Times New Roman" w:hAnsi="Times New Roman"/>
          <w:sz w:val="17"/>
          <w:szCs w:val="17"/>
          <w:color w:val="auto"/>
        </w:rPr>
        <w:t>1,606,865</w:t>
      </w:r>
    </w:p>
    <w:p>
      <w:pPr>
        <w:spacing w:after="0" w:line="169" w:lineRule="exact"/>
        <w:rPr>
          <w:sz w:val="20"/>
          <w:szCs w:val="20"/>
          <w:color w:val="auto"/>
        </w:rPr>
      </w:pPr>
    </w:p>
    <w:p>
      <w:pPr>
        <w:ind w:left="520"/>
        <w:spacing w:after="0"/>
        <w:tabs>
          <w:tab w:leader="none" w:pos="1840" w:val="left"/>
        </w:tabs>
        <w:rPr>
          <w:sz w:val="20"/>
          <w:szCs w:val="20"/>
          <w:color w:val="auto"/>
        </w:rPr>
      </w:pPr>
      <w:r>
        <w:rPr>
          <w:rFonts w:ascii="Times New Roman" w:cs="Times New Roman" w:eastAsia="Times New Roman" w:hAnsi="Times New Roman"/>
          <w:sz w:val="17"/>
          <w:szCs w:val="17"/>
          <w:color w:val="auto"/>
        </w:rPr>
        <w:t>1,030,140</w:t>
      </w:r>
      <w:r>
        <w:rPr>
          <w:sz w:val="20"/>
          <w:szCs w:val="20"/>
          <w:color w:val="auto"/>
        </w:rPr>
        <w:tab/>
      </w:r>
      <w:r>
        <w:rPr>
          <w:rFonts w:ascii="Times New Roman" w:cs="Times New Roman" w:eastAsia="Times New Roman" w:hAnsi="Times New Roman"/>
          <w:sz w:val="17"/>
          <w:szCs w:val="17"/>
          <w:color w:val="auto"/>
        </w:rPr>
        <w:t>2,424,103</w:t>
      </w:r>
    </w:p>
    <w:p>
      <w:pPr>
        <w:spacing w:after="0" w:line="264"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7"/>
          <w:szCs w:val="17"/>
          <w:color w:val="auto"/>
        </w:rPr>
        <w:t>125,265</w:t>
      </w:r>
      <w:r>
        <w:rPr>
          <w:sz w:val="20"/>
          <w:szCs w:val="20"/>
          <w:color w:val="auto"/>
        </w:rPr>
        <w:tab/>
      </w:r>
      <w:r>
        <w:rPr>
          <w:rFonts w:ascii="Times New Roman" w:cs="Times New Roman" w:eastAsia="Times New Roman" w:hAnsi="Times New Roman"/>
          <w:sz w:val="17"/>
          <w:szCs w:val="17"/>
          <w:color w:val="auto"/>
        </w:rPr>
        <w:t>112,025</w:t>
      </w:r>
    </w:p>
    <w:p>
      <w:pPr>
        <w:spacing w:after="0" w:line="169"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7"/>
          <w:szCs w:val="17"/>
          <w:color w:val="auto"/>
        </w:rPr>
        <w:t>713,269</w:t>
      </w:r>
      <w:r>
        <w:rPr>
          <w:sz w:val="20"/>
          <w:szCs w:val="20"/>
          <w:color w:val="auto"/>
        </w:rPr>
        <w:tab/>
      </w:r>
      <w:r>
        <w:rPr>
          <w:rFonts w:ascii="Times New Roman" w:cs="Times New Roman" w:eastAsia="Times New Roman" w:hAnsi="Times New Roman"/>
          <w:sz w:val="17"/>
          <w:szCs w:val="17"/>
          <w:color w:val="auto"/>
        </w:rPr>
        <w:t>407,774</w:t>
      </w:r>
    </w:p>
    <w:p>
      <w:pPr>
        <w:spacing w:after="0" w:line="75" w:lineRule="exact"/>
        <w:rPr>
          <w:sz w:val="20"/>
          <w:szCs w:val="20"/>
          <w:color w:val="auto"/>
        </w:rPr>
      </w:pPr>
    </w:p>
    <w:p>
      <w:pPr>
        <w:ind w:left="740"/>
        <w:spacing w:after="0"/>
        <w:tabs>
          <w:tab w:leader="none" w:pos="2060" w:val="left"/>
        </w:tabs>
        <w:rPr>
          <w:sz w:val="20"/>
          <w:szCs w:val="20"/>
          <w:color w:val="auto"/>
        </w:rPr>
      </w:pPr>
      <w:r>
        <w:rPr>
          <w:rFonts w:ascii="Times New Roman" w:cs="Times New Roman" w:eastAsia="Times New Roman" w:hAnsi="Times New Roman"/>
          <w:sz w:val="17"/>
          <w:szCs w:val="17"/>
          <w:color w:val="auto"/>
        </w:rPr>
        <w:t>63,336</w:t>
      </w:r>
      <w:r>
        <w:rPr>
          <w:sz w:val="20"/>
          <w:szCs w:val="20"/>
          <w:color w:val="auto"/>
        </w:rPr>
        <w:tab/>
      </w:r>
      <w:r>
        <w:rPr>
          <w:rFonts w:ascii="Times New Roman" w:cs="Times New Roman" w:eastAsia="Times New Roman" w:hAnsi="Times New Roman"/>
          <w:sz w:val="17"/>
          <w:szCs w:val="17"/>
          <w:color w:val="auto"/>
        </w:rPr>
        <w:t>52,951</w:t>
      </w:r>
    </w:p>
    <w:p>
      <w:pPr>
        <w:spacing w:after="0" w:line="169"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7"/>
          <w:szCs w:val="17"/>
          <w:color w:val="auto"/>
        </w:rPr>
        <w:t>223,391</w:t>
      </w:r>
      <w:r>
        <w:rPr>
          <w:sz w:val="20"/>
          <w:szCs w:val="20"/>
          <w:color w:val="auto"/>
        </w:rPr>
        <w:tab/>
      </w:r>
      <w:r>
        <w:rPr>
          <w:rFonts w:ascii="Times New Roman" w:cs="Times New Roman" w:eastAsia="Times New Roman" w:hAnsi="Times New Roman"/>
          <w:sz w:val="17"/>
          <w:szCs w:val="17"/>
          <w:color w:val="auto"/>
        </w:rPr>
        <w:t>270,218</w:t>
      </w:r>
    </w:p>
    <w:p>
      <w:pPr>
        <w:spacing w:after="0" w:line="183" w:lineRule="exact"/>
        <w:rPr>
          <w:sz w:val="20"/>
          <w:szCs w:val="20"/>
          <w:color w:val="auto"/>
        </w:rPr>
      </w:pPr>
    </w:p>
    <w:p>
      <w:pPr>
        <w:ind w:left="520"/>
        <w:spacing w:after="0"/>
        <w:tabs>
          <w:tab w:leader="none" w:pos="1840" w:val="left"/>
        </w:tabs>
        <w:rPr>
          <w:sz w:val="20"/>
          <w:szCs w:val="20"/>
          <w:color w:val="auto"/>
        </w:rPr>
      </w:pPr>
      <w:r>
        <w:rPr>
          <w:rFonts w:ascii="Times New Roman" w:cs="Times New Roman" w:eastAsia="Times New Roman" w:hAnsi="Times New Roman"/>
          <w:sz w:val="17"/>
          <w:szCs w:val="17"/>
          <w:color w:val="auto"/>
        </w:rPr>
        <w:t>3,951,120</w:t>
      </w:r>
      <w:r>
        <w:rPr>
          <w:sz w:val="20"/>
          <w:szCs w:val="20"/>
          <w:color w:val="auto"/>
        </w:rPr>
        <w:tab/>
      </w:r>
      <w:r>
        <w:rPr>
          <w:rFonts w:ascii="Times New Roman" w:cs="Times New Roman" w:eastAsia="Times New Roman" w:hAnsi="Times New Roman"/>
          <w:sz w:val="17"/>
          <w:szCs w:val="17"/>
          <w:color w:val="auto"/>
        </w:rPr>
        <w:t>4,873,936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43815</wp:posOffset>
            </wp:positionV>
            <wp:extent cx="16630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68" w:lineRule="exact"/>
        <w:rPr>
          <w:sz w:val="20"/>
          <w:szCs w:val="20"/>
          <w:color w:val="auto"/>
        </w:rPr>
      </w:pPr>
    </w:p>
    <w:p>
      <w:pPr>
        <w:ind w:left="520"/>
        <w:spacing w:after="0"/>
        <w:tabs>
          <w:tab w:leader="none" w:pos="1840" w:val="left"/>
        </w:tabs>
        <w:rPr>
          <w:sz w:val="20"/>
          <w:szCs w:val="20"/>
          <w:color w:val="auto"/>
        </w:rPr>
      </w:pPr>
      <w:r>
        <w:rPr>
          <w:rFonts w:ascii="Times New Roman" w:cs="Times New Roman" w:eastAsia="Times New Roman" w:hAnsi="Times New Roman"/>
          <w:sz w:val="17"/>
          <w:szCs w:val="17"/>
          <w:color w:val="auto"/>
        </w:rPr>
        <w:t>3,568,248</w:t>
      </w:r>
      <w:r>
        <w:rPr>
          <w:sz w:val="20"/>
          <w:szCs w:val="20"/>
          <w:color w:val="auto"/>
        </w:rPr>
        <w:tab/>
      </w:r>
      <w:r>
        <w:rPr>
          <w:rFonts w:ascii="Times New Roman" w:cs="Times New Roman" w:eastAsia="Times New Roman" w:hAnsi="Times New Roman"/>
          <w:sz w:val="17"/>
          <w:szCs w:val="17"/>
          <w:color w:val="auto"/>
        </w:rPr>
        <w:t>3,262,612</w:t>
      </w:r>
    </w:p>
    <w:p>
      <w:pPr>
        <w:spacing w:after="0" w:line="75"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7"/>
          <w:szCs w:val="17"/>
          <w:color w:val="auto"/>
        </w:rPr>
        <w:t>235,821</w:t>
      </w:r>
      <w:r>
        <w:rPr>
          <w:sz w:val="20"/>
          <w:szCs w:val="20"/>
          <w:color w:val="auto"/>
        </w:rPr>
        <w:tab/>
      </w:r>
      <w:r>
        <w:rPr>
          <w:rFonts w:ascii="Times New Roman" w:cs="Times New Roman" w:eastAsia="Times New Roman" w:hAnsi="Times New Roman"/>
          <w:sz w:val="17"/>
          <w:szCs w:val="17"/>
          <w:color w:val="auto"/>
        </w:rPr>
        <w:t>211,886</w:t>
      </w:r>
    </w:p>
    <w:p>
      <w:pPr>
        <w:spacing w:after="0" w:line="169"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17"/>
          <w:szCs w:val="17"/>
          <w:color w:val="auto"/>
        </w:rPr>
        <w:t>776,677</w:t>
      </w:r>
      <w:r>
        <w:rPr>
          <w:sz w:val="20"/>
          <w:szCs w:val="20"/>
          <w:color w:val="auto"/>
        </w:rPr>
        <w:tab/>
      </w:r>
      <w:r>
        <w:rPr>
          <w:rFonts w:ascii="Times New Roman" w:cs="Times New Roman" w:eastAsia="Times New Roman" w:hAnsi="Times New Roman"/>
          <w:sz w:val="17"/>
          <w:szCs w:val="17"/>
          <w:color w:val="auto"/>
        </w:rPr>
        <w:t>1,012,223</w:t>
      </w:r>
    </w:p>
    <w:p>
      <w:pPr>
        <w:spacing w:after="0" w:line="169"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7"/>
          <w:szCs w:val="17"/>
          <w:color w:val="auto"/>
        </w:rPr>
        <w:t>306,095</w:t>
      </w:r>
      <w:r>
        <w:rPr>
          <w:sz w:val="20"/>
          <w:szCs w:val="20"/>
          <w:color w:val="auto"/>
        </w:rPr>
        <w:tab/>
      </w:r>
      <w:r>
        <w:rPr>
          <w:rFonts w:ascii="Times New Roman" w:cs="Times New Roman" w:eastAsia="Times New Roman" w:hAnsi="Times New Roman"/>
          <w:sz w:val="17"/>
          <w:szCs w:val="17"/>
          <w:color w:val="auto"/>
        </w:rPr>
        <w:t>249,443</w:t>
      </w:r>
    </w:p>
    <w:p>
      <w:pPr>
        <w:spacing w:after="0" w:line="75" w:lineRule="exact"/>
        <w:rPr>
          <w:sz w:val="20"/>
          <w:szCs w:val="20"/>
          <w:color w:val="auto"/>
        </w:rPr>
      </w:pPr>
    </w:p>
    <w:p>
      <w:pPr>
        <w:ind w:left="740"/>
        <w:spacing w:after="0"/>
        <w:tabs>
          <w:tab w:leader="none" w:pos="2060" w:val="left"/>
        </w:tabs>
        <w:rPr>
          <w:sz w:val="20"/>
          <w:szCs w:val="20"/>
          <w:color w:val="auto"/>
        </w:rPr>
      </w:pPr>
      <w:r>
        <w:rPr>
          <w:rFonts w:ascii="Times New Roman" w:cs="Times New Roman" w:eastAsia="Times New Roman" w:hAnsi="Times New Roman"/>
          <w:sz w:val="17"/>
          <w:szCs w:val="17"/>
          <w:color w:val="auto"/>
        </w:rPr>
        <w:t>31,117</w:t>
      </w:r>
      <w:r>
        <w:rPr>
          <w:sz w:val="20"/>
          <w:szCs w:val="20"/>
          <w:color w:val="auto"/>
        </w:rPr>
        <w:tab/>
      </w:r>
      <w:r>
        <w:rPr>
          <w:rFonts w:ascii="Times New Roman" w:cs="Times New Roman" w:eastAsia="Times New Roman" w:hAnsi="Times New Roman"/>
          <w:sz w:val="17"/>
          <w:szCs w:val="17"/>
          <w:color w:val="auto"/>
        </w:rPr>
        <w:t>37,831</w:t>
      </w:r>
    </w:p>
    <w:p>
      <w:pPr>
        <w:spacing w:after="0" w:line="84" w:lineRule="exact"/>
        <w:rPr>
          <w:sz w:val="20"/>
          <w:szCs w:val="20"/>
          <w:color w:val="auto"/>
        </w:rPr>
      </w:pPr>
    </w:p>
    <w:p>
      <w:pPr>
        <w:ind w:left="20"/>
        <w:spacing w:after="0"/>
        <w:tabs>
          <w:tab w:leader="none" w:pos="500" w:val="left"/>
          <w:tab w:leader="none" w:pos="1340" w:val="left"/>
          <w:tab w:leader="none" w:pos="1840" w:val="left"/>
        </w:tabs>
        <w:rPr>
          <w:sz w:val="20"/>
          <w:szCs w:val="20"/>
          <w:color w:val="auto"/>
        </w:rPr>
      </w:pP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8,869,078</w:t>
        <w:tab/>
        <w:t>$</w:t>
      </w:r>
      <w:r>
        <w:rPr>
          <w:sz w:val="20"/>
          <w:szCs w:val="20"/>
          <w:color w:val="auto"/>
        </w:rPr>
        <w:tab/>
      </w:r>
      <w:r>
        <w:rPr>
          <w:rFonts w:ascii="Times New Roman" w:cs="Times New Roman" w:eastAsia="Times New Roman" w:hAnsi="Times New Roman"/>
          <w:sz w:val="17"/>
          <w:szCs w:val="17"/>
          <w:b w:val="1"/>
          <w:bCs w:val="1"/>
          <w:color w:val="auto"/>
        </w:rPr>
        <w:t>9,647,931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16630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620" w:val="left"/>
          <w:tab w:leader="none" w:pos="1340" w:val="left"/>
          <w:tab w:leader="none" w:pos="19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213,656</w:t>
        <w:tab/>
        <w:t>$</w:t>
      </w:r>
      <w:r>
        <w:rPr>
          <w:sz w:val="20"/>
          <w:szCs w:val="20"/>
          <w:color w:val="auto"/>
        </w:rPr>
        <w:tab/>
      </w:r>
      <w:r>
        <w:rPr>
          <w:rFonts w:ascii="Times New Roman" w:cs="Times New Roman" w:eastAsia="Times New Roman" w:hAnsi="Times New Roman"/>
          <w:sz w:val="17"/>
          <w:szCs w:val="17"/>
          <w:color w:val="auto"/>
        </w:rPr>
        <w:t>133,832</w:t>
      </w:r>
    </w:p>
    <w:p>
      <w:pPr>
        <w:spacing w:after="0" w:line="169" w:lineRule="exact"/>
        <w:rPr>
          <w:sz w:val="20"/>
          <w:szCs w:val="20"/>
          <w:color w:val="auto"/>
        </w:rPr>
      </w:pPr>
    </w:p>
    <w:p>
      <w:pPr>
        <w:ind w:left="820"/>
        <w:spacing w:after="0"/>
        <w:tabs>
          <w:tab w:leader="none" w:pos="2140" w:val="left"/>
        </w:tabs>
        <w:rPr>
          <w:sz w:val="20"/>
          <w:szCs w:val="20"/>
          <w:color w:val="auto"/>
        </w:rPr>
      </w:pPr>
      <w:r>
        <w:rPr>
          <w:rFonts w:ascii="Times New Roman" w:cs="Times New Roman" w:eastAsia="Times New Roman" w:hAnsi="Times New Roman"/>
          <w:sz w:val="17"/>
          <w:szCs w:val="17"/>
          <w:color w:val="auto"/>
        </w:rPr>
        <w:t>8,141</w:t>
      </w:r>
      <w:r>
        <w:rPr>
          <w:sz w:val="20"/>
          <w:szCs w:val="20"/>
          <w:color w:val="auto"/>
        </w:rPr>
        <w:tab/>
      </w:r>
      <w:r>
        <w:rPr>
          <w:rFonts w:ascii="Times New Roman" w:cs="Times New Roman" w:eastAsia="Times New Roman" w:hAnsi="Times New Roman"/>
          <w:sz w:val="17"/>
          <w:szCs w:val="17"/>
          <w:color w:val="auto"/>
        </w:rPr>
        <w:t>6,788</w:t>
      </w:r>
    </w:p>
    <w:p>
      <w:pPr>
        <w:spacing w:after="0" w:line="169" w:lineRule="exact"/>
        <w:rPr>
          <w:sz w:val="20"/>
          <w:szCs w:val="20"/>
          <w:color w:val="auto"/>
        </w:rPr>
      </w:pPr>
    </w:p>
    <w:p>
      <w:pPr>
        <w:ind w:left="520"/>
        <w:spacing w:after="0"/>
        <w:tabs>
          <w:tab w:leader="none" w:pos="1840" w:val="left"/>
        </w:tabs>
        <w:rPr>
          <w:sz w:val="20"/>
          <w:szCs w:val="20"/>
          <w:color w:val="auto"/>
        </w:rPr>
      </w:pPr>
      <w:r>
        <w:rPr>
          <w:rFonts w:ascii="Times New Roman" w:cs="Times New Roman" w:eastAsia="Times New Roman" w:hAnsi="Times New Roman"/>
          <w:sz w:val="17"/>
          <w:szCs w:val="17"/>
          <w:color w:val="auto"/>
        </w:rPr>
        <w:t>1,312,157</w:t>
      </w:r>
      <w:r>
        <w:rPr>
          <w:sz w:val="20"/>
          <w:szCs w:val="20"/>
          <w:color w:val="auto"/>
        </w:rPr>
        <w:tab/>
      </w:r>
      <w:r>
        <w:rPr>
          <w:rFonts w:ascii="Times New Roman" w:cs="Times New Roman" w:eastAsia="Times New Roman" w:hAnsi="Times New Roman"/>
          <w:sz w:val="17"/>
          <w:szCs w:val="17"/>
          <w:color w:val="auto"/>
        </w:rPr>
        <w:t>1,024,671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104140</wp:posOffset>
            </wp:positionV>
            <wp:extent cx="16630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63" w:lineRule="exact"/>
        <w:rPr>
          <w:sz w:val="20"/>
          <w:szCs w:val="20"/>
          <w:color w:val="auto"/>
        </w:rPr>
      </w:pPr>
    </w:p>
    <w:p>
      <w:pPr>
        <w:ind w:left="520"/>
        <w:spacing w:after="0"/>
        <w:tabs>
          <w:tab w:leader="none" w:pos="1840" w:val="left"/>
        </w:tabs>
        <w:rPr>
          <w:sz w:val="20"/>
          <w:szCs w:val="20"/>
          <w:color w:val="auto"/>
        </w:rPr>
      </w:pPr>
      <w:r>
        <w:rPr>
          <w:rFonts w:ascii="Times New Roman" w:cs="Times New Roman" w:eastAsia="Times New Roman" w:hAnsi="Times New Roman"/>
          <w:sz w:val="17"/>
          <w:szCs w:val="17"/>
          <w:color w:val="auto"/>
        </w:rPr>
        <w:t>1,533,954</w:t>
      </w:r>
      <w:r>
        <w:rPr>
          <w:sz w:val="20"/>
          <w:szCs w:val="20"/>
          <w:color w:val="auto"/>
        </w:rPr>
        <w:tab/>
      </w:r>
      <w:r>
        <w:rPr>
          <w:rFonts w:ascii="Times New Roman" w:cs="Times New Roman" w:eastAsia="Times New Roman" w:hAnsi="Times New Roman"/>
          <w:sz w:val="17"/>
          <w:szCs w:val="17"/>
          <w:color w:val="auto"/>
        </w:rPr>
        <w:t>1,165,291</w:t>
      </w:r>
    </w:p>
    <w:p>
      <w:pPr>
        <w:spacing w:after="0" w:line="75"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7"/>
          <w:szCs w:val="17"/>
          <w:color w:val="auto"/>
        </w:rPr>
        <w:t>176,113</w:t>
      </w:r>
      <w:r>
        <w:rPr>
          <w:sz w:val="20"/>
          <w:szCs w:val="20"/>
          <w:color w:val="auto"/>
        </w:rPr>
        <w:tab/>
      </w:r>
      <w:r>
        <w:rPr>
          <w:rFonts w:ascii="Times New Roman" w:cs="Times New Roman" w:eastAsia="Times New Roman" w:hAnsi="Times New Roman"/>
          <w:sz w:val="17"/>
          <w:szCs w:val="17"/>
          <w:color w:val="auto"/>
        </w:rPr>
        <w:t>76,096</w:t>
      </w:r>
    </w:p>
    <w:p>
      <w:pPr>
        <w:spacing w:after="0" w:line="75" w:lineRule="exact"/>
        <w:rPr>
          <w:sz w:val="20"/>
          <w:szCs w:val="20"/>
          <w:color w:val="auto"/>
        </w:rPr>
      </w:pPr>
    </w:p>
    <w:p>
      <w:pPr>
        <w:ind w:left="820"/>
        <w:spacing w:after="0"/>
        <w:tabs>
          <w:tab w:leader="none" w:pos="2060" w:val="left"/>
        </w:tabs>
        <w:rPr>
          <w:sz w:val="20"/>
          <w:szCs w:val="20"/>
          <w:color w:val="auto"/>
        </w:rPr>
      </w:pPr>
      <w:r>
        <w:rPr>
          <w:rFonts w:ascii="Times New Roman" w:cs="Times New Roman" w:eastAsia="Times New Roman" w:hAnsi="Times New Roman"/>
          <w:sz w:val="17"/>
          <w:szCs w:val="17"/>
          <w:color w:val="auto"/>
        </w:rPr>
        <w:t>1,331</w:t>
      </w:r>
      <w:r>
        <w:rPr>
          <w:sz w:val="20"/>
          <w:szCs w:val="20"/>
          <w:color w:val="auto"/>
        </w:rPr>
        <w:tab/>
      </w:r>
      <w:r>
        <w:rPr>
          <w:rFonts w:ascii="Times New Roman" w:cs="Times New Roman" w:eastAsia="Times New Roman" w:hAnsi="Times New Roman"/>
          <w:sz w:val="17"/>
          <w:szCs w:val="17"/>
          <w:color w:val="auto"/>
        </w:rPr>
        <w:t>19,514</w:t>
      </w:r>
    </w:p>
    <w:p>
      <w:pPr>
        <w:spacing w:after="0" w:line="75" w:lineRule="exact"/>
        <w:rPr>
          <w:sz w:val="20"/>
          <w:szCs w:val="20"/>
          <w:color w:val="auto"/>
        </w:rPr>
      </w:pPr>
    </w:p>
    <w:p>
      <w:pPr>
        <w:ind w:left="520"/>
        <w:spacing w:after="0"/>
        <w:tabs>
          <w:tab w:leader="none" w:pos="1840" w:val="left"/>
        </w:tabs>
        <w:rPr>
          <w:sz w:val="20"/>
          <w:szCs w:val="20"/>
          <w:color w:val="auto"/>
        </w:rPr>
      </w:pPr>
      <w:r>
        <w:rPr>
          <w:rFonts w:ascii="Times New Roman" w:cs="Times New Roman" w:eastAsia="Times New Roman" w:hAnsi="Times New Roman"/>
          <w:sz w:val="17"/>
          <w:szCs w:val="17"/>
          <w:color w:val="auto"/>
        </w:rPr>
        <w:t>2,038,928</w:t>
      </w:r>
      <w:r>
        <w:rPr>
          <w:sz w:val="20"/>
          <w:szCs w:val="20"/>
          <w:color w:val="auto"/>
        </w:rPr>
        <w:tab/>
      </w:r>
      <w:r>
        <w:rPr>
          <w:rFonts w:ascii="Times New Roman" w:cs="Times New Roman" w:eastAsia="Times New Roman" w:hAnsi="Times New Roman"/>
          <w:sz w:val="17"/>
          <w:szCs w:val="17"/>
          <w:color w:val="auto"/>
        </w:rPr>
        <w:t>2,002,151</w:t>
      </w:r>
    </w:p>
    <w:p>
      <w:pPr>
        <w:spacing w:after="0" w:line="169"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7"/>
          <w:szCs w:val="17"/>
          <w:color w:val="auto"/>
        </w:rPr>
        <w:t>600,321</w:t>
      </w:r>
      <w:r>
        <w:rPr>
          <w:sz w:val="20"/>
          <w:szCs w:val="20"/>
          <w:color w:val="auto"/>
        </w:rPr>
        <w:tab/>
      </w:r>
      <w:r>
        <w:rPr>
          <w:rFonts w:ascii="Times New Roman" w:cs="Times New Roman" w:eastAsia="Times New Roman" w:hAnsi="Times New Roman"/>
          <w:sz w:val="17"/>
          <w:szCs w:val="17"/>
          <w:color w:val="auto"/>
        </w:rPr>
        <w:t>572,800</w:t>
      </w:r>
    </w:p>
    <w:p>
      <w:pPr>
        <w:spacing w:after="0" w:line="169"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7"/>
          <w:szCs w:val="17"/>
          <w:color w:val="auto"/>
        </w:rPr>
        <w:t>246,250</w:t>
      </w:r>
      <w:r>
        <w:rPr>
          <w:sz w:val="20"/>
          <w:szCs w:val="20"/>
          <w:color w:val="auto"/>
        </w:rPr>
        <w:tab/>
      </w:r>
      <w:r>
        <w:rPr>
          <w:rFonts w:ascii="Times New Roman" w:cs="Times New Roman" w:eastAsia="Times New Roman" w:hAnsi="Times New Roman"/>
          <w:sz w:val="17"/>
          <w:szCs w:val="17"/>
          <w:color w:val="auto"/>
        </w:rPr>
        <w:t>639,425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43815</wp:posOffset>
            </wp:positionV>
            <wp:extent cx="1663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68" w:lineRule="exact"/>
        <w:rPr>
          <w:sz w:val="20"/>
          <w:szCs w:val="20"/>
          <w:color w:val="auto"/>
        </w:rPr>
      </w:pPr>
    </w:p>
    <w:p>
      <w:pPr>
        <w:ind w:left="520"/>
        <w:spacing w:after="0"/>
        <w:tabs>
          <w:tab w:leader="none" w:pos="1840" w:val="left"/>
        </w:tabs>
        <w:rPr>
          <w:sz w:val="20"/>
          <w:szCs w:val="20"/>
          <w:color w:val="auto"/>
        </w:rPr>
      </w:pPr>
      <w:r>
        <w:rPr>
          <w:rFonts w:ascii="Times New Roman" w:cs="Times New Roman" w:eastAsia="Times New Roman" w:hAnsi="Times New Roman"/>
          <w:sz w:val="17"/>
          <w:szCs w:val="17"/>
          <w:color w:val="auto"/>
        </w:rPr>
        <w:t>4,596,897</w:t>
      </w:r>
      <w:r>
        <w:rPr>
          <w:sz w:val="20"/>
          <w:szCs w:val="20"/>
          <w:color w:val="auto"/>
        </w:rPr>
        <w:tab/>
      </w:r>
      <w:r>
        <w:rPr>
          <w:rFonts w:ascii="Times New Roman" w:cs="Times New Roman" w:eastAsia="Times New Roman" w:hAnsi="Times New Roman"/>
          <w:sz w:val="17"/>
          <w:szCs w:val="17"/>
          <w:color w:val="auto"/>
        </w:rPr>
        <w:t>4,475,277</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
        <w:spacing w:after="0"/>
        <w:tabs>
          <w:tab w:leader="none" w:pos="1980" w:val="left"/>
        </w:tabs>
        <w:rPr>
          <w:sz w:val="20"/>
          <w:szCs w:val="20"/>
          <w:color w:val="auto"/>
        </w:rPr>
      </w:pPr>
      <w:r>
        <w:rPr>
          <w:rFonts w:ascii="Times New Roman" w:cs="Times New Roman" w:eastAsia="Times New Roman" w:hAnsi="Times New Roman"/>
          <w:sz w:val="17"/>
          <w:szCs w:val="17"/>
          <w:color w:val="auto"/>
        </w:rPr>
        <w:t>1,084,589</w:t>
      </w:r>
      <w:r>
        <w:rPr>
          <w:sz w:val="20"/>
          <w:szCs w:val="20"/>
          <w:color w:val="auto"/>
        </w:rPr>
        <w:tab/>
      </w:r>
      <w:r>
        <w:rPr>
          <w:rFonts w:ascii="Times New Roman" w:cs="Times New Roman" w:eastAsia="Times New Roman" w:hAnsi="Times New Roman"/>
          <w:sz w:val="17"/>
          <w:szCs w:val="17"/>
          <w:color w:val="auto"/>
        </w:rPr>
        <w:t>730,025</w:t>
      </w:r>
    </w:p>
    <w:p>
      <w:pPr>
        <w:spacing w:after="0" w:line="200" w:lineRule="exact"/>
        <w:rPr>
          <w:sz w:val="20"/>
          <w:szCs w:val="20"/>
          <w:color w:val="auto"/>
        </w:rPr>
      </w:pPr>
    </w:p>
    <w:p>
      <w:pPr>
        <w:spacing w:after="0" w:line="266"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7"/>
          <w:szCs w:val="17"/>
          <w:color w:val="auto"/>
        </w:rPr>
        <w:t>780,001</w:t>
      </w:r>
      <w:r>
        <w:rPr>
          <w:sz w:val="20"/>
          <w:szCs w:val="20"/>
          <w:color w:val="auto"/>
        </w:rPr>
        <w:tab/>
      </w:r>
      <w:r>
        <w:rPr>
          <w:rFonts w:ascii="Times New Roman" w:cs="Times New Roman" w:eastAsia="Times New Roman" w:hAnsi="Times New Roman"/>
          <w:sz w:val="17"/>
          <w:szCs w:val="17"/>
          <w:color w:val="auto"/>
        </w:rPr>
        <w:t>569,817</w:t>
      </w:r>
    </w:p>
    <w:p>
      <w:pPr>
        <w:spacing w:after="0" w:line="291" w:lineRule="exact"/>
        <w:rPr>
          <w:sz w:val="20"/>
          <w:szCs w:val="20"/>
          <w:color w:val="auto"/>
        </w:rPr>
      </w:pPr>
    </w:p>
    <w:p>
      <w:pPr>
        <w:ind w:left="520"/>
        <w:spacing w:after="0"/>
        <w:tabs>
          <w:tab w:leader="none" w:pos="1840" w:val="left"/>
        </w:tabs>
        <w:rPr>
          <w:sz w:val="20"/>
          <w:szCs w:val="20"/>
          <w:color w:val="auto"/>
        </w:rPr>
      </w:pPr>
      <w:r>
        <w:rPr>
          <w:rFonts w:ascii="Times New Roman" w:cs="Times New Roman" w:eastAsia="Times New Roman" w:hAnsi="Times New Roman"/>
          <w:sz w:val="17"/>
          <w:szCs w:val="17"/>
          <w:color w:val="auto"/>
        </w:rPr>
        <w:t>1,864,590</w:t>
      </w:r>
      <w:r>
        <w:rPr>
          <w:sz w:val="20"/>
          <w:szCs w:val="20"/>
          <w:color w:val="auto"/>
        </w:rPr>
        <w:tab/>
      </w:r>
      <w:r>
        <w:rPr>
          <w:rFonts w:ascii="Times New Roman" w:cs="Times New Roman" w:eastAsia="Times New Roman" w:hAnsi="Times New Roman"/>
          <w:sz w:val="17"/>
          <w:szCs w:val="17"/>
          <w:color w:val="auto"/>
        </w:rPr>
        <w:t>1,299,842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40"/>
        <w:spacing w:after="0"/>
        <w:tabs>
          <w:tab w:leader="none" w:pos="2280" w:val="left"/>
        </w:tabs>
        <w:rPr>
          <w:sz w:val="20"/>
          <w:szCs w:val="20"/>
          <w:color w:val="auto"/>
        </w:rPr>
      </w:pPr>
      <w:r>
        <w:rPr>
          <w:rFonts w:ascii="Times New Roman" w:cs="Times New Roman" w:eastAsia="Times New Roman" w:hAnsi="Times New Roman"/>
          <w:sz w:val="17"/>
          <w:szCs w:val="17"/>
          <w:color w:val="auto"/>
        </w:rPr>
        <w:t>307</w:t>
      </w:r>
      <w:r>
        <w:rPr>
          <w:sz w:val="20"/>
          <w:szCs w:val="20"/>
          <w:color w:val="auto"/>
        </w:rPr>
        <w:tab/>
      </w:r>
      <w:r>
        <w:rPr>
          <w:rFonts w:ascii="Times New Roman" w:cs="Times New Roman" w:eastAsia="Times New Roman" w:hAnsi="Times New Roman"/>
          <w:sz w:val="17"/>
          <w:szCs w:val="17"/>
          <w:color w:val="auto"/>
        </w:rPr>
        <w:t>303</w:t>
      </w:r>
    </w:p>
    <w:p>
      <w:pPr>
        <w:spacing w:after="0" w:line="277" w:lineRule="exact"/>
        <w:rPr>
          <w:sz w:val="20"/>
          <w:szCs w:val="20"/>
          <w:color w:val="auto"/>
        </w:rPr>
      </w:pPr>
    </w:p>
    <w:p>
      <w:pPr>
        <w:ind w:left="440"/>
        <w:spacing w:after="0"/>
        <w:tabs>
          <w:tab w:leader="none" w:pos="1760" w:val="left"/>
        </w:tabs>
        <w:rPr>
          <w:sz w:val="20"/>
          <w:szCs w:val="20"/>
          <w:color w:val="auto"/>
        </w:rPr>
      </w:pPr>
      <w:r>
        <w:rPr>
          <w:rFonts w:ascii="Times New Roman" w:cs="Times New Roman" w:eastAsia="Times New Roman" w:hAnsi="Times New Roman"/>
          <w:sz w:val="17"/>
          <w:szCs w:val="17"/>
          <w:color w:val="auto"/>
        </w:rPr>
        <w:t>16,231,681</w:t>
      </w:r>
      <w:r>
        <w:rPr>
          <w:sz w:val="20"/>
          <w:szCs w:val="20"/>
          <w:color w:val="auto"/>
        </w:rPr>
        <w:tab/>
      </w:r>
      <w:r>
        <w:rPr>
          <w:rFonts w:ascii="Times New Roman" w:cs="Times New Roman" w:eastAsia="Times New Roman" w:hAnsi="Times New Roman"/>
          <w:sz w:val="17"/>
          <w:szCs w:val="17"/>
          <w:color w:val="auto"/>
        </w:rPr>
        <w:t>16,808,018</w:t>
      </w:r>
    </w:p>
    <w:p>
      <w:pPr>
        <w:spacing w:after="0" w:line="75" w:lineRule="exact"/>
        <w:rPr>
          <w:sz w:val="20"/>
          <w:szCs w:val="20"/>
          <w:color w:val="auto"/>
        </w:rPr>
      </w:pPr>
    </w:p>
    <w:p>
      <w:pPr>
        <w:jc w:val="both"/>
        <w:ind w:left="660"/>
        <w:spacing w:after="0"/>
        <w:tabs>
          <w:tab w:leader="none" w:pos="1980" w:val="left"/>
        </w:tabs>
        <w:rPr>
          <w:sz w:val="20"/>
          <w:szCs w:val="20"/>
          <w:color w:val="auto"/>
        </w:rPr>
      </w:pPr>
      <w:r>
        <w:rPr>
          <w:rFonts w:ascii="Times New Roman" w:cs="Times New Roman" w:eastAsia="Times New Roman" w:hAnsi="Times New Roman"/>
          <w:sz w:val="17"/>
          <w:szCs w:val="17"/>
          <w:color w:val="auto"/>
        </w:rPr>
        <w:t>(20,716)</w:t>
      </w:r>
      <w:r>
        <w:rPr>
          <w:sz w:val="20"/>
          <w:szCs w:val="20"/>
          <w:color w:val="auto"/>
        </w:rPr>
        <w:tab/>
      </w:r>
      <w:r>
        <w:rPr>
          <w:rFonts w:ascii="Times New Roman" w:cs="Times New Roman" w:eastAsia="Times New Roman" w:hAnsi="Times New Roman"/>
          <w:sz w:val="17"/>
          <w:szCs w:val="17"/>
          <w:color w:val="auto"/>
        </w:rPr>
        <w:t>(20,716)</w:t>
      </w:r>
    </w:p>
    <w:p>
      <w:pPr>
        <w:spacing w:after="0" w:line="75" w:lineRule="exact"/>
        <w:rPr>
          <w:sz w:val="20"/>
          <w:szCs w:val="20"/>
          <w:color w:val="auto"/>
        </w:rPr>
      </w:pPr>
    </w:p>
    <w:p>
      <w:pPr>
        <w:jc w:val="both"/>
        <w:ind w:left="740"/>
        <w:spacing w:after="0"/>
        <w:tabs>
          <w:tab w:leader="none" w:pos="2080" w:val="left"/>
        </w:tabs>
        <w:rPr>
          <w:sz w:val="20"/>
          <w:szCs w:val="20"/>
          <w:color w:val="auto"/>
        </w:rPr>
      </w:pPr>
      <w:r>
        <w:rPr>
          <w:rFonts w:ascii="Times New Roman" w:cs="Times New Roman" w:eastAsia="Times New Roman" w:hAnsi="Times New Roman"/>
          <w:sz w:val="17"/>
          <w:szCs w:val="17"/>
          <w:color w:val="auto"/>
        </w:rPr>
        <w:t>14,616</w:t>
      </w:r>
      <w:r>
        <w:rPr>
          <w:sz w:val="20"/>
          <w:szCs w:val="20"/>
          <w:color w:val="auto"/>
        </w:rPr>
        <w:tab/>
      </w:r>
      <w:r>
        <w:rPr>
          <w:rFonts w:ascii="Times New Roman" w:cs="Times New Roman" w:eastAsia="Times New Roman" w:hAnsi="Times New Roman"/>
          <w:sz w:val="17"/>
          <w:szCs w:val="17"/>
          <w:color w:val="auto"/>
        </w:rPr>
        <w:t>(2,099)</w:t>
      </w:r>
    </w:p>
    <w:p>
      <w:pPr>
        <w:spacing w:after="0" w:line="75" w:lineRule="exact"/>
        <w:rPr>
          <w:sz w:val="20"/>
          <w:szCs w:val="20"/>
          <w:color w:val="auto"/>
        </w:rPr>
      </w:pPr>
    </w:p>
    <w:p>
      <w:pPr>
        <w:jc w:val="both"/>
        <w:ind w:left="360"/>
        <w:spacing w:after="0"/>
        <w:tabs>
          <w:tab w:leader="none" w:pos="1700" w:val="left"/>
        </w:tabs>
        <w:rPr>
          <w:sz w:val="20"/>
          <w:szCs w:val="20"/>
          <w:color w:val="auto"/>
        </w:rPr>
      </w:pPr>
      <w:r>
        <w:rPr>
          <w:rFonts w:ascii="Times New Roman" w:cs="Times New Roman" w:eastAsia="Times New Roman" w:hAnsi="Times New Roman"/>
          <w:sz w:val="17"/>
          <w:szCs w:val="17"/>
          <w:color w:val="auto"/>
        </w:rPr>
        <w:t>(13,818,297)</w:t>
      </w:r>
      <w:r>
        <w:rPr>
          <w:sz w:val="20"/>
          <w:szCs w:val="20"/>
          <w:color w:val="auto"/>
        </w:rPr>
        <w:tab/>
      </w:r>
      <w:r>
        <w:rPr>
          <w:rFonts w:ascii="Times New Roman" w:cs="Times New Roman" w:eastAsia="Times New Roman" w:hAnsi="Times New Roman"/>
          <w:sz w:val="17"/>
          <w:szCs w:val="17"/>
          <w:color w:val="auto"/>
        </w:rPr>
        <w:t>(12,912,694)</w:t>
      </w:r>
    </w:p>
    <w:p>
      <w:pPr>
        <w:spacing w:after="0" w:line="88" w:lineRule="exact"/>
        <w:rPr>
          <w:sz w:val="20"/>
          <w:szCs w:val="20"/>
          <w:color w:val="auto"/>
        </w:rPr>
      </w:pPr>
    </w:p>
    <w:p>
      <w:pPr>
        <w:ind w:left="520"/>
        <w:spacing w:after="0"/>
        <w:tabs>
          <w:tab w:leader="none" w:pos="1840" w:val="left"/>
        </w:tabs>
        <w:rPr>
          <w:sz w:val="20"/>
          <w:szCs w:val="20"/>
          <w:color w:val="auto"/>
        </w:rPr>
      </w:pPr>
      <w:r>
        <w:rPr>
          <w:rFonts w:ascii="Times New Roman" w:cs="Times New Roman" w:eastAsia="Times New Roman" w:hAnsi="Times New Roman"/>
          <w:sz w:val="17"/>
          <w:szCs w:val="17"/>
          <w:color w:val="auto"/>
        </w:rPr>
        <w:t>2,407,591</w:t>
      </w:r>
      <w:r>
        <w:rPr>
          <w:sz w:val="20"/>
          <w:szCs w:val="20"/>
          <w:color w:val="auto"/>
        </w:rPr>
        <w:tab/>
      </w:r>
      <w:r>
        <w:rPr>
          <w:rFonts w:ascii="Times New Roman" w:cs="Times New Roman" w:eastAsia="Times New Roman" w:hAnsi="Times New Roman"/>
          <w:sz w:val="17"/>
          <w:szCs w:val="17"/>
          <w:color w:val="auto"/>
        </w:rPr>
        <w:t>3,872,812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43815</wp:posOffset>
            </wp:positionV>
            <wp:extent cx="1663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64" w:lineRule="exact"/>
        <w:rPr>
          <w:sz w:val="20"/>
          <w:szCs w:val="20"/>
          <w:color w:val="auto"/>
        </w:rPr>
      </w:pPr>
    </w:p>
    <w:p>
      <w:pPr>
        <w:ind w:left="20"/>
        <w:spacing w:after="0"/>
        <w:tabs>
          <w:tab w:leader="none" w:pos="500" w:val="left"/>
          <w:tab w:leader="none" w:pos="1340" w:val="left"/>
          <w:tab w:leader="none" w:pos="1840" w:val="left"/>
        </w:tabs>
        <w:rPr>
          <w:sz w:val="20"/>
          <w:szCs w:val="20"/>
          <w:color w:val="auto"/>
        </w:rPr>
      </w:pP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8,869,078</w:t>
        <w:tab/>
        <w:t>$</w:t>
      </w:r>
      <w:r>
        <w:rPr>
          <w:sz w:val="20"/>
          <w:szCs w:val="20"/>
          <w:color w:val="auto"/>
        </w:rPr>
        <w:tab/>
      </w:r>
      <w:r>
        <w:rPr>
          <w:rFonts w:ascii="Times New Roman" w:cs="Times New Roman" w:eastAsia="Times New Roman" w:hAnsi="Times New Roman"/>
          <w:sz w:val="17"/>
          <w:szCs w:val="17"/>
          <w:b w:val="1"/>
          <w:bCs w:val="1"/>
          <w:color w:val="auto"/>
        </w:rPr>
        <w:t>9,647,931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1663065"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63065" cy="3429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8480" w:space="120"/>
            <w:col w:w="2620"/>
          </w:cols>
          <w:pgMar w:left="340" w:top="532" w:right="339" w:bottom="425"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20"/>
          </w:cols>
          <w:pgMar w:left="340" w:top="532" w:right="339" w:bottom="425" w:gutter="0" w:footer="0" w:header="0"/>
          <w:type w:val="continuous"/>
        </w:sectPr>
      </w:pPr>
    </w:p>
    <w:bookmarkStart w:id="8" w:name="page9"/>
    <w:bookmarkEnd w:id="8"/>
    <w:p>
      <w:pPr>
        <w:ind w:left="4780"/>
        <w:spacing w:after="0"/>
        <w:rPr>
          <w:sz w:val="20"/>
          <w:szCs w:val="20"/>
          <w:color w:val="auto"/>
        </w:rPr>
      </w:pPr>
      <w:r>
        <w:rPr>
          <w:rFonts w:ascii="Times New Roman" w:cs="Times New Roman" w:eastAsia="Times New Roman" w:hAnsi="Times New Roman"/>
          <w:sz w:val="17"/>
          <w:szCs w:val="17"/>
          <w:b w:val="1"/>
          <w:bCs w:val="1"/>
          <w:color w:val="auto"/>
        </w:rPr>
        <w:t>LUCID GROUP, INC.</w:t>
      </w:r>
    </w:p>
    <w:p>
      <w:pPr>
        <w:spacing w:after="0" w:line="3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48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(including $30,247 and $36,470 from a related party for the three months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ended June 30, 2025 and 2024, and $35,343 and $87,836 for the six months ended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259,432</w:t>
            </w:r>
          </w:p>
        </w:tc>
        <w:tc>
          <w:tcPr>
            <w:tcW w:w="8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200,581</w:t>
            </w:r>
          </w:p>
        </w:tc>
        <w:tc>
          <w:tcPr>
            <w:tcW w:w="8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494,480</w:t>
            </w:r>
          </w:p>
        </w:tc>
        <w:tc>
          <w:tcPr>
            <w:tcW w:w="8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373,321</w:t>
            </w:r>
          </w:p>
        </w:tc>
        <w:tc>
          <w:tcPr>
            <w:tcW w:w="0" w:type="dxa"/>
            <w:vAlign w:val="bottom"/>
          </w:tcPr>
          <w:p>
            <w:pPr>
              <w:spacing w:after="0"/>
              <w:rPr>
                <w:sz w:val="1"/>
                <w:szCs w:val="1"/>
                <w:color w:val="auto"/>
              </w:rPr>
            </w:pPr>
          </w:p>
        </w:tc>
      </w:tr>
      <w:tr>
        <w:trPr>
          <w:trHeight w:val="231"/>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30, 2025 and 2024, respectively)</w:t>
            </w: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Cost of revenue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531,783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470,355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995,343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875,151</w:t>
            </w: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273,839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287,170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525,085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571,797</w:t>
            </w:r>
          </w:p>
        </w:tc>
        <w:tc>
          <w:tcPr>
            <w:tcW w:w="0" w:type="dxa"/>
            <w:vAlign w:val="bottom"/>
          </w:tcPr>
          <w:p>
            <w:pPr>
              <w:spacing w:after="0"/>
              <w:rPr>
                <w:sz w:val="1"/>
                <w:szCs w:val="1"/>
                <w:color w:val="auto"/>
              </w:rPr>
            </w:pPr>
          </w:p>
        </w:tc>
      </w:tr>
      <w:tr>
        <w:trPr>
          <w:trHeight w:val="227"/>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469,032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423,477</w:t>
            </w: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20,228</w:t>
            </w:r>
          </w:p>
        </w:tc>
        <w:tc>
          <w:tcPr>
            <w:tcW w:w="0" w:type="dxa"/>
            <w:vAlign w:val="bottom"/>
          </w:tcPr>
          <w:p>
            <w:pPr>
              <w:spacing w:after="0"/>
              <w:rPr>
                <w:sz w:val="1"/>
                <w:szCs w:val="1"/>
                <w:color w:val="auto"/>
              </w:rPr>
            </w:pPr>
          </w:p>
        </w:tc>
      </w:tr>
      <w:tr>
        <w:trPr>
          <w:trHeight w:val="221"/>
        </w:trPr>
        <w:tc>
          <w:tcPr>
            <w:tcW w:w="5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cost and expenses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1,062,479</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987,998</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1,989,460</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1,890,653</w:t>
            </w:r>
          </w:p>
        </w:tc>
        <w:tc>
          <w:tcPr>
            <w:tcW w:w="0" w:type="dxa"/>
            <w:vAlign w:val="bottom"/>
          </w:tcPr>
          <w:p>
            <w:pPr>
              <w:spacing w:after="0"/>
              <w:rPr>
                <w:sz w:val="1"/>
                <w:szCs w:val="1"/>
                <w:color w:val="auto"/>
              </w:rPr>
            </w:pPr>
          </w:p>
        </w:tc>
      </w:tr>
      <w:tr>
        <w:trPr>
          <w:trHeight w:val="43"/>
        </w:trPr>
        <w:tc>
          <w:tcPr>
            <w:tcW w:w="5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(803,047)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(787,417)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(1,494,980)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(1,517,332)</w:t>
            </w: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34,593</w:t>
            </w:r>
          </w:p>
        </w:tc>
        <w:tc>
          <w:tcPr>
            <w:tcW w:w="0" w:type="dxa"/>
            <w:vAlign w:val="bottom"/>
          </w:tcPr>
          <w:p>
            <w:pPr>
              <w:spacing w:after="0"/>
              <w:rPr>
                <w:sz w:val="1"/>
                <w:szCs w:val="1"/>
                <w:color w:val="auto"/>
              </w:rPr>
            </w:pPr>
          </w:p>
        </w:tc>
      </w:tr>
      <w:tr>
        <w:trPr>
          <w:trHeight w:val="228"/>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(29,323)</w:t>
            </w: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convertible preferred stock (related party)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393,175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103,000</w:t>
            </w:r>
          </w:p>
        </w:tc>
        <w:tc>
          <w:tcPr>
            <w:tcW w:w="0" w:type="dxa"/>
            <w:vAlign w:val="bottom"/>
          </w:tcPr>
          <w:p>
            <w:pPr>
              <w:spacing w:after="0"/>
              <w:rPr>
                <w:sz w:val="1"/>
                <w:szCs w:val="1"/>
                <w:color w:val="auto"/>
              </w:rPr>
            </w:pPr>
          </w:p>
        </w:tc>
      </w:tr>
      <w:tr>
        <w:trPr>
          <w:trHeight w:val="228"/>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54,553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96,527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105,184</w:t>
            </w:r>
          </w:p>
        </w:tc>
        <w:tc>
          <w:tcPr>
            <w:tcW w:w="0" w:type="dxa"/>
            <w:vAlign w:val="bottom"/>
          </w:tcPr>
          <w:p>
            <w:pPr>
              <w:spacing w:after="0"/>
              <w:rPr>
                <w:sz w:val="1"/>
                <w:szCs w:val="1"/>
                <w:color w:val="auto"/>
              </w:rPr>
            </w:pPr>
          </w:p>
        </w:tc>
      </w:tr>
      <w:tr>
        <w:trPr>
          <w:trHeight w:val="221"/>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(including $4,912 and $1,322 to a related party for the three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months ended June 30, 2025 and 2024, and $8,612 and $2,703 for the six months</w:t>
            </w:r>
          </w:p>
        </w:tc>
        <w:tc>
          <w:tcPr>
            <w:tcW w:w="1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(23,749)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(6,673)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(35,632)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(14,174)</w:t>
            </w:r>
          </w:p>
        </w:tc>
        <w:tc>
          <w:tcPr>
            <w:tcW w:w="0" w:type="dxa"/>
            <w:vAlign w:val="bottom"/>
          </w:tcPr>
          <w:p>
            <w:pPr>
              <w:spacing w:after="0"/>
              <w:rPr>
                <w:sz w:val="1"/>
                <w:szCs w:val="1"/>
                <w:color w:val="auto"/>
              </w:rPr>
            </w:pPr>
          </w:p>
        </w:tc>
      </w:tr>
      <w:tr>
        <w:trPr>
          <w:trHeight w:val="222"/>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ended June 30, 2025 and 2024, respectively)</w:t>
            </w: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(6,074)</w:t>
            </w:r>
          </w:p>
        </w:tc>
        <w:tc>
          <w:tcPr>
            <w:tcW w:w="0" w:type="dxa"/>
            <w:vAlign w:val="bottom"/>
          </w:tcPr>
          <w:p>
            <w:pPr>
              <w:spacing w:after="0"/>
              <w:rPr>
                <w:sz w:val="1"/>
                <w:szCs w:val="1"/>
                <w:color w:val="auto"/>
              </w:rPr>
            </w:pPr>
          </w:p>
        </w:tc>
      </w:tr>
      <w:tr>
        <w:trPr>
          <w:trHeight w:val="221"/>
        </w:trPr>
        <w:tc>
          <w:tcPr>
            <w:tcW w:w="5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other income, net</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261,246</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143,962</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585,645</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193,206</w:t>
            </w:r>
          </w:p>
        </w:tc>
        <w:tc>
          <w:tcPr>
            <w:tcW w:w="0" w:type="dxa"/>
            <w:vAlign w:val="bottom"/>
          </w:tcPr>
          <w:p>
            <w:pPr>
              <w:spacing w:after="0"/>
              <w:rPr>
                <w:sz w:val="1"/>
                <w:szCs w:val="1"/>
                <w:color w:val="auto"/>
              </w:rPr>
            </w:pPr>
          </w:p>
        </w:tc>
      </w:tr>
      <w:tr>
        <w:trPr>
          <w:trHeight w:val="43"/>
        </w:trPr>
        <w:tc>
          <w:tcPr>
            <w:tcW w:w="5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provision for (benefit from)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(541,801)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(643,455)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(909,335)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(1,324,126)</w:t>
            </w:r>
          </w:p>
        </w:tc>
        <w:tc>
          <w:tcPr>
            <w:tcW w:w="0" w:type="dxa"/>
            <w:vAlign w:val="bottom"/>
          </w:tcPr>
          <w:p>
            <w:pPr>
              <w:spacing w:after="0"/>
              <w:rPr>
                <w:sz w:val="1"/>
                <w:szCs w:val="1"/>
                <w:color w:val="auto"/>
              </w:rPr>
            </w:pPr>
          </w:p>
        </w:tc>
      </w:tr>
      <w:tr>
        <w:trPr>
          <w:trHeight w:val="228"/>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42"/>
        </w:trPr>
        <w:tc>
          <w:tcPr>
            <w:tcW w:w="5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(539,432)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(643,390)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(905,603)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(1,324,249)</w:t>
            </w:r>
          </w:p>
        </w:tc>
        <w:tc>
          <w:tcPr>
            <w:tcW w:w="0" w:type="dxa"/>
            <w:vAlign w:val="bottom"/>
          </w:tcPr>
          <w:p>
            <w:pPr>
              <w:spacing w:after="0"/>
              <w:rPr>
                <w:sz w:val="1"/>
                <w:szCs w:val="1"/>
                <w:color w:val="auto"/>
              </w:rPr>
            </w:pPr>
          </w:p>
        </w:tc>
      </w:tr>
      <w:tr>
        <w:trPr>
          <w:trHeight w:val="228"/>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(199,823)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(564,748)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(150,762)</w:t>
            </w:r>
          </w:p>
        </w:tc>
        <w:tc>
          <w:tcPr>
            <w:tcW w:w="0" w:type="dxa"/>
            <w:vAlign w:val="bottom"/>
          </w:tcPr>
          <w:p>
            <w:pPr>
              <w:spacing w:after="0"/>
              <w:rPr>
                <w:sz w:val="1"/>
                <w:szCs w:val="1"/>
                <w:color w:val="auto"/>
              </w:rPr>
            </w:pPr>
          </w:p>
        </w:tc>
      </w:tr>
      <w:tr>
        <w:trPr>
          <w:trHeight w:val="43"/>
        </w:trPr>
        <w:tc>
          <w:tcPr>
            <w:tcW w:w="5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basic</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(739,255)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(790,251)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(1,470,351)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(1,475,011)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Interest expense on 2026 Notes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(116,360)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(116,360)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diluted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(855,306)</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(790,251)</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(1,582,428)</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(1,475,011)</w:t>
            </w: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 attributable to common stockholders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3,056,404,834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2,310,360,525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3,046,411,837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2,306,209,050</w:t>
            </w:r>
          </w:p>
        </w:tc>
        <w:tc>
          <w:tcPr>
            <w:tcW w:w="0" w:type="dxa"/>
            <w:vAlign w:val="bottom"/>
          </w:tcPr>
          <w:p>
            <w:pPr>
              <w:spacing w:after="0"/>
              <w:rPr>
                <w:sz w:val="1"/>
                <w:szCs w:val="1"/>
                <w:color w:val="auto"/>
              </w:rPr>
            </w:pPr>
          </w:p>
        </w:tc>
      </w:tr>
      <w:tr>
        <w:trPr>
          <w:trHeight w:val="228"/>
        </w:trPr>
        <w:tc>
          <w:tcPr>
            <w:tcW w:w="58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Diluted</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3,057,882,724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2,310,360,525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3,056,708,079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2,306,209,050</w:t>
            </w: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common stockholders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0" w:type="dxa"/>
            <w:vAlign w:val="bottom"/>
          </w:tcPr>
          <w:p>
            <w:pPr>
              <w:spacing w:after="0"/>
              <w:rPr>
                <w:sz w:val="1"/>
                <w:szCs w:val="1"/>
                <w:color w:val="auto"/>
              </w:rPr>
            </w:pPr>
          </w:p>
        </w:tc>
      </w:tr>
      <w:tr>
        <w:trPr>
          <w:trHeight w:val="228"/>
        </w:trPr>
        <w:tc>
          <w:tcPr>
            <w:tcW w:w="58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8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8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0" w:type="dxa"/>
            <w:vAlign w:val="bottom"/>
          </w:tcPr>
          <w:p>
            <w:pPr>
              <w:spacing w:after="0"/>
              <w:rPr>
                <w:sz w:val="1"/>
                <w:szCs w:val="1"/>
                <w:color w:val="auto"/>
              </w:rPr>
            </w:pPr>
          </w:p>
        </w:tc>
      </w:tr>
      <w:tr>
        <w:trPr>
          <w:trHeight w:val="42"/>
        </w:trPr>
        <w:tc>
          <w:tcPr>
            <w:tcW w:w="5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unrealized gains (losses) on investments, net of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(4,219)</w:t>
            </w:r>
          </w:p>
        </w:tc>
        <w:tc>
          <w:tcPr>
            <w:tcW w:w="0" w:type="dxa"/>
            <w:vAlign w:val="bottom"/>
          </w:tcPr>
          <w:p>
            <w:pPr>
              <w:spacing w:after="0"/>
              <w:rPr>
                <w:sz w:val="1"/>
                <w:szCs w:val="1"/>
                <w:color w:val="auto"/>
              </w:rPr>
            </w:pPr>
          </w:p>
        </w:tc>
      </w:tr>
      <w:tr>
        <w:trPr>
          <w:trHeight w:val="228"/>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(4,790)</w:t>
            </w:r>
          </w:p>
        </w:tc>
        <w:tc>
          <w:tcPr>
            <w:tcW w:w="0" w:type="dxa"/>
            <w:vAlign w:val="bottom"/>
          </w:tcPr>
          <w:p>
            <w:pPr>
              <w:spacing w:after="0"/>
              <w:rPr>
                <w:sz w:val="1"/>
                <w:szCs w:val="1"/>
                <w:color w:val="auto"/>
              </w:rPr>
            </w:pPr>
          </w:p>
        </w:tc>
      </w:tr>
      <w:tr>
        <w:trPr>
          <w:trHeight w:val="43"/>
        </w:trPr>
        <w:tc>
          <w:tcPr>
            <w:tcW w:w="5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(9,009)</w:t>
            </w:r>
          </w:p>
        </w:tc>
        <w:tc>
          <w:tcPr>
            <w:tcW w:w="0" w:type="dxa"/>
            <w:vAlign w:val="bottom"/>
          </w:tcPr>
          <w:p>
            <w:pPr>
              <w:spacing w:after="0"/>
              <w:rPr>
                <w:sz w:val="1"/>
                <w:szCs w:val="1"/>
                <w:color w:val="auto"/>
              </w:rPr>
            </w:pPr>
          </w:p>
        </w:tc>
      </w:tr>
      <w:tr>
        <w:trPr>
          <w:trHeight w:val="221"/>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(530,166)</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(645,149)</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(888,888)</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(1,333,258)</w:t>
            </w:r>
          </w:p>
        </w:tc>
        <w:tc>
          <w:tcPr>
            <w:tcW w:w="0" w:type="dxa"/>
            <w:vAlign w:val="bottom"/>
          </w:tcPr>
          <w:p>
            <w:pPr>
              <w:spacing w:after="0"/>
              <w:rPr>
                <w:sz w:val="1"/>
                <w:szCs w:val="1"/>
                <w:color w:val="auto"/>
              </w:rPr>
            </w:pPr>
          </w:p>
        </w:tc>
      </w:tr>
      <w:tr>
        <w:trPr>
          <w:trHeight w:val="43"/>
        </w:trPr>
        <w:tc>
          <w:tcPr>
            <w:tcW w:w="5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(199,823)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(146,861)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(564,748)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(150,762)</w:t>
            </w:r>
          </w:p>
        </w:tc>
        <w:tc>
          <w:tcPr>
            <w:tcW w:w="0" w:type="dxa"/>
            <w:vAlign w:val="bottom"/>
          </w:tcPr>
          <w:p>
            <w:pPr>
              <w:spacing w:after="0"/>
              <w:rPr>
                <w:sz w:val="1"/>
                <w:szCs w:val="1"/>
                <w:color w:val="auto"/>
              </w:rPr>
            </w:pPr>
          </w:p>
        </w:tc>
      </w:tr>
      <w:tr>
        <w:trPr>
          <w:trHeight w:val="257"/>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(729,989)</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(792,010)</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(1,453,636)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(1,484,020)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ectPr>
          <w:pgSz w:w="11900" w:h="16838" w:orient="portrait"/>
          <w:cols w:equalWidth="0" w:num="1">
            <w:col w:w="11200"/>
          </w:cols>
          <w:pgMar w:left="340" w:top="532" w:right="359" w:bottom="83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00"/>
          </w:cols>
          <w:pgMar w:left="340" w:top="532" w:right="359" w:bottom="830" w:gutter="0" w:footer="0" w:header="0"/>
          <w:type w:val="continuous"/>
        </w:sectPr>
      </w:pPr>
    </w:p>
    <w:bookmarkStart w:id="9" w:name="page10"/>
    <w:bookmarkEnd w:id="9"/>
    <w:p>
      <w:pPr>
        <w:ind w:left="4740"/>
        <w:spacing w:after="0"/>
        <w:rPr>
          <w:sz w:val="20"/>
          <w:szCs w:val="20"/>
          <w:color w:val="auto"/>
        </w:rPr>
      </w:pPr>
      <w:r>
        <w:rPr>
          <w:rFonts w:ascii="Times New Roman" w:cs="Times New Roman" w:eastAsia="Times New Roman" w:hAnsi="Times New Roman"/>
          <w:sz w:val="17"/>
          <w:szCs w:val="17"/>
          <w:b w:val="1"/>
          <w:bCs w:val="1"/>
          <w:color w:val="auto"/>
        </w:rPr>
        <w:t>LUCID GROUP, INC.</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r>
        <w:rPr>
          <w:rFonts w:ascii="Times New Roman" w:cs="Times New Roman" w:eastAsia="Times New Roman" w:hAnsi="Times New Roman"/>
          <w:sz w:val="17"/>
          <w:szCs w:val="17"/>
          <w:color w:val="auto"/>
        </w:rPr>
        <w: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360" w:type="dxa"/>
            <w:vAlign w:val="bottom"/>
            <w:gridSpan w:val="4"/>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(539,432)</w:t>
            </w:r>
          </w:p>
        </w:tc>
        <w:tc>
          <w:tcPr>
            <w:tcW w:w="8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(643,390)</w:t>
            </w:r>
          </w:p>
        </w:tc>
        <w:tc>
          <w:tcPr>
            <w:tcW w:w="8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(905,603)</w:t>
            </w:r>
          </w:p>
        </w:tc>
        <w:tc>
          <w:tcPr>
            <w:tcW w:w="8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(1,324,249)</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135,021</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 of insurance premium</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17,314</w:t>
            </w:r>
          </w:p>
        </w:tc>
        <w:tc>
          <w:tcPr>
            <w:tcW w:w="0" w:type="dxa"/>
            <w:vAlign w:val="bottom"/>
          </w:tcPr>
          <w:p>
            <w:pPr>
              <w:spacing w:after="0"/>
              <w:rPr>
                <w:sz w:val="1"/>
                <w:szCs w:val="1"/>
                <w:color w:val="auto"/>
              </w:rPr>
            </w:pPr>
          </w:p>
        </w:tc>
      </w:tr>
      <w:tr>
        <w:trPr>
          <w:trHeight w:val="227"/>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Non-cash operating lease cost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15,136</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56,319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57,013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120,709</w:t>
            </w:r>
          </w:p>
        </w:tc>
        <w:tc>
          <w:tcPr>
            <w:tcW w:w="0" w:type="dxa"/>
            <w:vAlign w:val="bottom"/>
          </w:tcPr>
          <w:p>
            <w:pPr>
              <w:spacing w:after="0"/>
              <w:rPr>
                <w:sz w:val="1"/>
                <w:szCs w:val="1"/>
                <w:color w:val="auto"/>
              </w:rPr>
            </w:pPr>
          </w:p>
        </w:tc>
      </w:tr>
      <w:tr>
        <w:trPr>
          <w:trHeight w:val="227"/>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Inventory and firm purchase commitments write-downs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327,806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277,541</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(34,593)</w:t>
            </w:r>
          </w:p>
        </w:tc>
        <w:tc>
          <w:tcPr>
            <w:tcW w:w="0" w:type="dxa"/>
            <w:vAlign w:val="bottom"/>
          </w:tcPr>
          <w:p>
            <w:pPr>
              <w:spacing w:after="0"/>
              <w:rPr>
                <w:sz w:val="1"/>
                <w:szCs w:val="1"/>
                <w:color w:val="auto"/>
              </w:rPr>
            </w:pPr>
          </w:p>
        </w:tc>
      </w:tr>
      <w:tr>
        <w:trPr>
          <w:trHeight w:val="227"/>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29,323</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convertible preferred stock (related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(393,175)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(103,000)</w:t>
            </w:r>
          </w:p>
        </w:tc>
        <w:tc>
          <w:tcPr>
            <w:tcW w:w="0" w:type="dxa"/>
            <w:vAlign w:val="bottom"/>
          </w:tcPr>
          <w:p>
            <w:pPr>
              <w:spacing w:after="0"/>
              <w:rPr>
                <w:sz w:val="1"/>
                <w:szCs w:val="1"/>
                <w:color w:val="auto"/>
              </w:rPr>
            </w:pPr>
          </w:p>
        </w:tc>
      </w:tr>
      <w:tr>
        <w:trPr>
          <w:trHeight w:val="228"/>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accretion of investment discounts/premiums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(44,308)</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(116,360)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(116,360)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non-cash items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4,944</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 (including $(9,715) and $7,076 from a related party for the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three months ended June 30, 2025 and 2024, and $(5,599) and $(42,282) for the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six months ended June 30, 2025 and 2024, respectively)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(49,612)</w:t>
            </w:r>
          </w:p>
        </w:tc>
        <w:tc>
          <w:tcPr>
            <w:tcW w:w="0" w:type="dxa"/>
            <w:vAlign w:val="bottom"/>
          </w:tcPr>
          <w:p>
            <w:pPr>
              <w:spacing w:after="0"/>
              <w:rPr>
                <w:sz w:val="1"/>
                <w:szCs w:val="1"/>
                <w:color w:val="auto"/>
              </w:rPr>
            </w:pPr>
          </w:p>
        </w:tc>
      </w:tr>
      <w:tr>
        <w:trPr>
          <w:trHeight w:val="42"/>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(379,573)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(62,408)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(586,043)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(83,410)</w:t>
            </w:r>
          </w:p>
        </w:tc>
        <w:tc>
          <w:tcPr>
            <w:tcW w:w="0" w:type="dxa"/>
            <w:vAlign w:val="bottom"/>
          </w:tcPr>
          <w:p>
            <w:pPr>
              <w:spacing w:after="0"/>
              <w:rPr>
                <w:sz w:val="1"/>
                <w:szCs w:val="1"/>
                <w:color w:val="auto"/>
              </w:rPr>
            </w:pPr>
          </w:p>
        </w:tc>
      </w:tr>
      <w:tr>
        <w:trPr>
          <w:trHeight w:val="228"/>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Prepaid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(19,269)</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(32,874)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(26,224)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(22,310)</w:t>
            </w:r>
          </w:p>
        </w:tc>
        <w:tc>
          <w:tcPr>
            <w:tcW w:w="0" w:type="dxa"/>
            <w:vAlign w:val="bottom"/>
          </w:tcPr>
          <w:p>
            <w:pPr>
              <w:spacing w:after="0"/>
              <w:rPr>
                <w:sz w:val="1"/>
                <w:szCs w:val="1"/>
                <w:color w:val="auto"/>
              </w:rPr>
            </w:pPr>
          </w:p>
        </w:tc>
      </w:tr>
      <w:tr>
        <w:trPr>
          <w:trHeight w:val="228"/>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noncurrent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(23,392)</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3,181</w:t>
            </w:r>
          </w:p>
        </w:tc>
        <w:tc>
          <w:tcPr>
            <w:tcW w:w="0" w:type="dxa"/>
            <w:vAlign w:val="bottom"/>
          </w:tcPr>
          <w:p>
            <w:pPr>
              <w:spacing w:after="0"/>
              <w:rPr>
                <w:sz w:val="1"/>
                <w:szCs w:val="1"/>
                <w:color w:val="auto"/>
              </w:rPr>
            </w:pPr>
          </w:p>
        </w:tc>
      </w:tr>
      <w:tr>
        <w:trPr>
          <w:trHeight w:val="228"/>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5,520</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52,697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71,722</w:t>
            </w:r>
          </w:p>
        </w:tc>
        <w:tc>
          <w:tcPr>
            <w:tcW w:w="0" w:type="dxa"/>
            <w:vAlign w:val="bottom"/>
          </w:tcPr>
          <w:p>
            <w:pPr>
              <w:spacing w:after="0"/>
              <w:rPr>
                <w:sz w:val="1"/>
                <w:szCs w:val="1"/>
                <w:color w:val="auto"/>
              </w:rPr>
            </w:pPr>
          </w:p>
        </w:tc>
      </w:tr>
      <w:tr>
        <w:trPr>
          <w:trHeight w:val="221"/>
        </w:trPr>
        <w:tc>
          <w:tcPr>
            <w:tcW w:w="57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(830,241)</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(506,987)</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(1,258,854)</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(1,023,732)</w:t>
            </w:r>
          </w:p>
        </w:tc>
        <w:tc>
          <w:tcPr>
            <w:tcW w:w="0" w:type="dxa"/>
            <w:vAlign w:val="bottom"/>
          </w:tcPr>
          <w:p>
            <w:pPr>
              <w:spacing w:after="0"/>
              <w:rPr>
                <w:sz w:val="1"/>
                <w:szCs w:val="1"/>
                <w:color w:val="auto"/>
              </w:rPr>
            </w:pPr>
          </w:p>
        </w:tc>
      </w:tr>
      <w:tr>
        <w:trPr>
          <w:trHeight w:val="42"/>
        </w:trPr>
        <w:tc>
          <w:tcPr>
            <w:tcW w:w="57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property, plant and equipment (including $(25,675) and $(28,042)</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from a related party for the three months ended June 30, 2025 and 2024, and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$(67,668) and $(34,068) for the six months ended June 30, 2025 and 2024,</w:t>
            </w:r>
          </w:p>
        </w:tc>
        <w:tc>
          <w:tcPr>
            <w:tcW w:w="30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(182,663)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(234,315)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(343,904)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(432,512)</w:t>
            </w:r>
          </w:p>
        </w:tc>
        <w:tc>
          <w:tcPr>
            <w:tcW w:w="0" w:type="dxa"/>
            <w:vAlign w:val="bottom"/>
          </w:tcPr>
          <w:p>
            <w:pPr>
              <w:spacing w:after="0"/>
              <w:rPr>
                <w:sz w:val="1"/>
                <w:szCs w:val="1"/>
                <w:color w:val="auto"/>
              </w:rPr>
            </w:pPr>
          </w:p>
        </w:tc>
      </w:tr>
      <w:tr>
        <w:trPr>
          <w:trHeight w:val="222"/>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respectively)</w:t>
            </w: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investments (including nil from a related party for the three months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ended June 30, 2025 and 2024, and $(30,000) and nil for the six months ended</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June 30, 2025 and 2024,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(1,339,579)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(309,557)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(1,854,127)</w:t>
            </w:r>
          </w:p>
        </w:tc>
        <w:tc>
          <w:tcPr>
            <w:tcW w:w="0" w:type="dxa"/>
            <w:vAlign w:val="bottom"/>
          </w:tcPr>
          <w:p>
            <w:pPr>
              <w:spacing w:after="0"/>
              <w:rPr>
                <w:sz w:val="1"/>
                <w:szCs w:val="1"/>
                <w:color w:val="auto"/>
              </w:rPr>
            </w:pPr>
          </w:p>
        </w:tc>
      </w:tr>
      <w:tr>
        <w:trPr>
          <w:trHeight w:val="228"/>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maturities of investments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899,194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1,257,603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1,961,485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2,287,894</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sale of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21"/>
        </w:trPr>
        <w:tc>
          <w:tcPr>
            <w:tcW w:w="57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694,003</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(311,291)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1,308,024</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6,255</w:t>
            </w:r>
          </w:p>
        </w:tc>
        <w:tc>
          <w:tcPr>
            <w:tcW w:w="0" w:type="dxa"/>
            <w:vAlign w:val="bottom"/>
          </w:tcPr>
          <w:p>
            <w:pPr>
              <w:spacing w:after="0"/>
              <w:rPr>
                <w:sz w:val="1"/>
                <w:szCs w:val="1"/>
                <w:color w:val="auto"/>
              </w:rPr>
            </w:pPr>
          </w:p>
        </w:tc>
      </w:tr>
      <w:tr>
        <w:trPr>
          <w:trHeight w:val="43"/>
        </w:trPr>
        <w:tc>
          <w:tcPr>
            <w:tcW w:w="5760" w:type="dxa"/>
            <w:vAlign w:val="bottom"/>
            <w:vMerge w:val="restart"/>
          </w:tcPr>
          <w:p>
            <w:pPr>
              <w:ind w:left="5520"/>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68"/>
        </w:trPr>
        <w:tc>
          <w:tcPr>
            <w:tcW w:w="5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80" w:top="532" w:right="399" w:bottom="1440" w:gutter="0" w:footer="0" w:header="0"/>
        </w:sectPr>
      </w:pPr>
    </w:p>
    <w:bookmarkStart w:id="10" w:name="page11"/>
    <w:bookmarkEnd w:id="10"/>
    <w:p>
      <w:pPr>
        <w:ind w:left="4740"/>
        <w:spacing w:after="0"/>
        <w:rPr>
          <w:sz w:val="20"/>
          <w:szCs w:val="20"/>
          <w:color w:val="auto"/>
        </w:rPr>
      </w:pPr>
      <w:r>
        <w:rPr>
          <w:rFonts w:ascii="Times New Roman" w:cs="Times New Roman" w:eastAsia="Times New Roman" w:hAnsi="Times New Roman"/>
          <w:sz w:val="17"/>
          <w:szCs w:val="17"/>
          <w:b w:val="1"/>
          <w:bCs w:val="1"/>
          <w:color w:val="auto"/>
        </w:rPr>
        <w:t>LUCID GROUP, INC.</w:t>
      </w:r>
    </w:p>
    <w:p>
      <w:pPr>
        <w:spacing w:after="0" w:line="3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 continued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340" w:type="dxa"/>
            <w:vAlign w:val="bottom"/>
            <w:gridSpan w:val="4"/>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Series A redeemable convertible preferred stock to a</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related party</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Payments of issuance costs for Series A redeemable convertible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0" w:type="dxa"/>
            <w:vAlign w:val="bottom"/>
          </w:tcPr>
          <w:p>
            <w:pPr>
              <w:spacing w:after="0"/>
              <w:rPr>
                <w:sz w:val="1"/>
                <w:szCs w:val="1"/>
                <w:color w:val="auto"/>
              </w:rPr>
            </w:pPr>
          </w:p>
        </w:tc>
      </w:tr>
      <w:tr>
        <w:trPr>
          <w:trHeight w:val="227"/>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 for finance lease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(1,929)</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issuance of 2030 Notes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 of transaction costs for the issuance of 2030 Notes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capped call options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(118,250)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(118,250)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Repurchase of 2026 Notes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(931,433)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(931,433)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borrowings from a 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39,989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106,645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Repayment of borrowings to a related party</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(4,266)</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w:t>
            </w:r>
          </w:p>
        </w:tc>
        <w:tc>
          <w:tcPr>
            <w:tcW w:w="0" w:type="dxa"/>
            <w:vAlign w:val="bottom"/>
          </w:tcPr>
          <w:p>
            <w:pPr>
              <w:spacing w:after="0"/>
              <w:rPr>
                <w:sz w:val="1"/>
                <w:szCs w:val="1"/>
                <w:color w:val="auto"/>
              </w:rPr>
            </w:pPr>
          </w:p>
        </w:tc>
      </w:tr>
      <w:tr>
        <w:trPr>
          <w:trHeight w:val="228"/>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employee stock purchase plan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11,104</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 withholding payments for net settlement of employee awards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(5,312)</w:t>
            </w:r>
          </w:p>
        </w:tc>
        <w:tc>
          <w:tcPr>
            <w:tcW w:w="0" w:type="dxa"/>
            <w:vAlign w:val="bottom"/>
          </w:tcPr>
          <w:p>
            <w:pPr>
              <w:spacing w:after="0"/>
              <w:rPr>
                <w:sz w:val="1"/>
                <w:szCs w:val="1"/>
                <w:color w:val="auto"/>
              </w:rPr>
            </w:pPr>
          </w:p>
        </w:tc>
      </w:tr>
      <w:tr>
        <w:trPr>
          <w:trHeight w:val="228"/>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 for credit facility issuance costs to a related party</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3"/>
        </w:trPr>
        <w:tc>
          <w:tcPr>
            <w:tcW w:w="57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7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78,945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141,676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999,565</w:t>
            </w:r>
          </w:p>
        </w:tc>
        <w:tc>
          <w:tcPr>
            <w:tcW w:w="0" w:type="dxa"/>
            <w:vAlign w:val="bottom"/>
          </w:tcPr>
          <w:p>
            <w:pPr>
              <w:spacing w:after="0"/>
              <w:rPr>
                <w:sz w:val="1"/>
                <w:szCs w:val="1"/>
                <w:color w:val="auto"/>
              </w:rPr>
            </w:pPr>
          </w:p>
        </w:tc>
      </w:tr>
      <w:tr>
        <w:trPr>
          <w:trHeight w:val="221"/>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(57,293)</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(815,915)</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190,846</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(17,912)</w:t>
            </w: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cash, cash equivalents, and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1,855,191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2,169,510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1,607,052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1,371,507</w:t>
            </w:r>
          </w:p>
        </w:tc>
        <w:tc>
          <w:tcPr>
            <w:tcW w:w="0" w:type="dxa"/>
            <w:vAlign w:val="bottom"/>
          </w:tcPr>
          <w:p>
            <w:pPr>
              <w:spacing w:after="0"/>
              <w:rPr>
                <w:sz w:val="1"/>
                <w:szCs w:val="1"/>
                <w:color w:val="auto"/>
              </w:rPr>
            </w:pPr>
          </w:p>
        </w:tc>
      </w:tr>
      <w:tr>
        <w:trPr>
          <w:trHeight w:val="257"/>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cash, cash equivalents, and restricted cash</w:t>
            </w: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1,797,898</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1,353,595</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1,797,898</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1,353,595</w:t>
            </w:r>
          </w:p>
        </w:tc>
        <w:tc>
          <w:tcPr>
            <w:tcW w:w="0" w:type="dxa"/>
            <w:vAlign w:val="bottom"/>
          </w:tcPr>
          <w:p>
            <w:pPr>
              <w:spacing w:after="0"/>
              <w:rPr>
                <w:sz w:val="1"/>
                <w:szCs w:val="1"/>
                <w:color w:val="auto"/>
              </w:rPr>
            </w:pPr>
          </w:p>
        </w:tc>
      </w:tr>
      <w:tr>
        <w:trPr>
          <w:trHeight w:val="27"/>
        </w:trPr>
        <w:tc>
          <w:tcPr>
            <w:tcW w:w="5760" w:type="dxa"/>
            <w:vAlign w:val="bottom"/>
            <w:vMerge w:val="restart"/>
          </w:tcPr>
          <w:p>
            <w:pPr>
              <w:ind w:left="5520"/>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5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80" w:top="586" w:right="3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RECONCIL</w:t>
      </w:r>
      <w:r>
        <w:rPr>
          <w:rFonts w:ascii="Times New Roman" w:cs="Times New Roman" w:eastAsia="Times New Roman" w:hAnsi="Times New Roman"/>
          <w:sz w:val="17"/>
          <w:szCs w:val="17"/>
          <w:b w:val="1"/>
          <w:bCs w:val="1"/>
          <w:color w:val="auto"/>
        </w:rPr>
        <w:t>IATION OF GAAP TO NON-GAAP FINANCIAL MEASURES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Adjusted EBITDA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360" w:type="dxa"/>
            <w:vAlign w:val="bottom"/>
            <w:gridSpan w:val="4"/>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39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basic (GAAP)</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(739,255)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(790,251)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(1,470,351)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(1,475,011)</w:t>
            </w:r>
          </w:p>
        </w:tc>
        <w:tc>
          <w:tcPr>
            <w:tcW w:w="0" w:type="dxa"/>
            <w:vAlign w:val="bottom"/>
          </w:tcPr>
          <w:p>
            <w:pPr>
              <w:spacing w:after="0"/>
              <w:rPr>
                <w:sz w:val="1"/>
                <w:szCs w:val="1"/>
                <w:color w:val="auto"/>
              </w:rPr>
            </w:pPr>
          </w:p>
        </w:tc>
      </w:tr>
      <w:tr>
        <w:trPr>
          <w:trHeight w:val="241"/>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35,632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14,174</w:t>
            </w:r>
          </w:p>
        </w:tc>
        <w:tc>
          <w:tcPr>
            <w:tcW w:w="0" w:type="dxa"/>
            <w:vAlign w:val="bottom"/>
          </w:tcPr>
          <w:p>
            <w:pPr>
              <w:spacing w:after="0"/>
              <w:rPr>
                <w:sz w:val="1"/>
                <w:szCs w:val="1"/>
                <w:color w:val="auto"/>
              </w:rPr>
            </w:pPr>
          </w:p>
        </w:tc>
      </w:tr>
      <w:tr>
        <w:trPr>
          <w:trHeight w:val="29"/>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(54,553)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(105,184)</w:t>
            </w:r>
          </w:p>
        </w:tc>
        <w:tc>
          <w:tcPr>
            <w:tcW w:w="0" w:type="dxa"/>
            <w:vAlign w:val="bottom"/>
          </w:tcPr>
          <w:p>
            <w:pPr>
              <w:spacing w:after="0"/>
              <w:rPr>
                <w:sz w:val="1"/>
                <w:szCs w:val="1"/>
                <w:color w:val="auto"/>
              </w:rPr>
            </w:pPr>
          </w:p>
        </w:tc>
      </w:tr>
      <w:tr>
        <w:trPr>
          <w:trHeight w:val="228"/>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43"/>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66,183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209,047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135,021</w:t>
            </w:r>
          </w:p>
        </w:tc>
        <w:tc>
          <w:tcPr>
            <w:tcW w:w="0" w:type="dxa"/>
            <w:vAlign w:val="bottom"/>
          </w:tcPr>
          <w:p>
            <w:pPr>
              <w:spacing w:after="0"/>
              <w:rPr>
                <w:sz w:val="1"/>
                <w:szCs w:val="1"/>
                <w:color w:val="auto"/>
              </w:rPr>
            </w:pPr>
          </w:p>
        </w:tc>
      </w:tr>
      <w:tr>
        <w:trPr>
          <w:trHeight w:val="228"/>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122,189</w:t>
            </w:r>
          </w:p>
        </w:tc>
        <w:tc>
          <w:tcPr>
            <w:tcW w:w="0" w:type="dxa"/>
            <w:vAlign w:val="bottom"/>
          </w:tcPr>
          <w:p>
            <w:pPr>
              <w:spacing w:after="0"/>
              <w:rPr>
                <w:sz w:val="1"/>
                <w:szCs w:val="1"/>
                <w:color w:val="auto"/>
              </w:rPr>
            </w:pPr>
          </w:p>
        </w:tc>
      </w:tr>
      <w:tr>
        <w:trPr>
          <w:trHeight w:val="43"/>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20,228</w:t>
            </w:r>
          </w:p>
        </w:tc>
        <w:tc>
          <w:tcPr>
            <w:tcW w:w="0" w:type="dxa"/>
            <w:vAlign w:val="bottom"/>
          </w:tcPr>
          <w:p>
            <w:pPr>
              <w:spacing w:after="0"/>
              <w:rPr>
                <w:sz w:val="1"/>
                <w:szCs w:val="1"/>
                <w:color w:val="auto"/>
              </w:rPr>
            </w:pPr>
          </w:p>
        </w:tc>
      </w:tr>
      <w:tr>
        <w:trPr>
          <w:trHeight w:val="228"/>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(34,593)</w:t>
            </w:r>
          </w:p>
        </w:tc>
        <w:tc>
          <w:tcPr>
            <w:tcW w:w="0" w:type="dxa"/>
            <w:vAlign w:val="bottom"/>
          </w:tcPr>
          <w:p>
            <w:pPr>
              <w:spacing w:after="0"/>
              <w:rPr>
                <w:sz w:val="1"/>
                <w:szCs w:val="1"/>
                <w:color w:val="auto"/>
              </w:rPr>
            </w:pPr>
          </w:p>
        </w:tc>
      </w:tr>
      <w:tr>
        <w:trPr>
          <w:trHeight w:val="43"/>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29,323</w:t>
            </w:r>
          </w:p>
        </w:tc>
        <w:tc>
          <w:tcPr>
            <w:tcW w:w="0" w:type="dxa"/>
            <w:vAlign w:val="bottom"/>
          </w:tcPr>
          <w:p>
            <w:pPr>
              <w:spacing w:after="0"/>
              <w:rPr>
                <w:sz w:val="1"/>
                <w:szCs w:val="1"/>
                <w:color w:val="auto"/>
              </w:rPr>
            </w:pPr>
          </w:p>
        </w:tc>
      </w:tr>
      <w:tr>
        <w:trPr>
          <w:trHeight w:val="221"/>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preferred stock (related party)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(393,175)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(103,000)</w:t>
            </w:r>
          </w:p>
        </w:tc>
        <w:tc>
          <w:tcPr>
            <w:tcW w:w="0" w:type="dxa"/>
            <w:vAlign w:val="bottom"/>
          </w:tcPr>
          <w:p>
            <w:pPr>
              <w:spacing w:after="0"/>
              <w:rPr>
                <w:sz w:val="1"/>
                <w:szCs w:val="1"/>
                <w:color w:val="auto"/>
              </w:rPr>
            </w:pPr>
          </w:p>
        </w:tc>
      </w:tr>
      <w:tr>
        <w:trPr>
          <w:trHeight w:val="43"/>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146,861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564,748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150,762</w:t>
            </w:r>
          </w:p>
        </w:tc>
        <w:tc>
          <w:tcPr>
            <w:tcW w:w="0" w:type="dxa"/>
            <w:vAlign w:val="bottom"/>
          </w:tcPr>
          <w:p>
            <w:pPr>
              <w:spacing w:after="0"/>
              <w:rPr>
                <w:sz w:val="1"/>
                <w:szCs w:val="1"/>
                <w:color w:val="auto"/>
              </w:rPr>
            </w:pPr>
          </w:p>
        </w:tc>
      </w:tr>
      <w:tr>
        <w:trPr>
          <w:trHeight w:val="228"/>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3"/>
        </w:trPr>
        <w:tc>
          <w:tcPr>
            <w:tcW w:w="39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(non-GAAP)</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(632,068)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(647,580)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(1,195,562)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(1,245,968)</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Adjusted Net Loss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8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980" w:type="dxa"/>
            <w:vAlign w:val="bottom"/>
            <w:tcBorders>
              <w:top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1"/>
                <w:szCs w:val="21"/>
                <w:color w:val="auto"/>
              </w:rPr>
            </w:pPr>
          </w:p>
        </w:tc>
        <w:tc>
          <w:tcPr>
            <w:tcW w:w="2360" w:type="dxa"/>
            <w:vAlign w:val="bottom"/>
            <w:gridSpan w:val="4"/>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gridSpan w:val="2"/>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diluted (GAAP)</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(855,306)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(790,251)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(1,582,428)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(1,475,011)</w:t>
            </w:r>
          </w:p>
        </w:tc>
        <w:tc>
          <w:tcPr>
            <w:tcW w:w="0" w:type="dxa"/>
            <w:vAlign w:val="bottom"/>
          </w:tcPr>
          <w:p>
            <w:pPr>
              <w:spacing w:after="0"/>
              <w:rPr>
                <w:sz w:val="1"/>
                <w:szCs w:val="1"/>
                <w:color w:val="auto"/>
              </w:rPr>
            </w:pPr>
          </w:p>
        </w:tc>
      </w:tr>
      <w:tr>
        <w:trPr>
          <w:trHeight w:val="228"/>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122,189</w:t>
            </w:r>
          </w:p>
        </w:tc>
        <w:tc>
          <w:tcPr>
            <w:tcW w:w="0" w:type="dxa"/>
            <w:vAlign w:val="bottom"/>
          </w:tcPr>
          <w:p>
            <w:pPr>
              <w:spacing w:after="0"/>
              <w:rPr>
                <w:sz w:val="1"/>
                <w:szCs w:val="1"/>
                <w:color w:val="auto"/>
              </w:rPr>
            </w:pPr>
          </w:p>
        </w:tc>
      </w:tr>
      <w:tr>
        <w:trPr>
          <w:trHeight w:val="43"/>
        </w:trPr>
        <w:tc>
          <w:tcPr>
            <w:tcW w:w="470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20,228</w:t>
            </w:r>
          </w:p>
        </w:tc>
        <w:tc>
          <w:tcPr>
            <w:tcW w:w="0" w:type="dxa"/>
            <w:vAlign w:val="bottom"/>
          </w:tcPr>
          <w:p>
            <w:pPr>
              <w:spacing w:after="0"/>
              <w:rPr>
                <w:sz w:val="1"/>
                <w:szCs w:val="1"/>
                <w:color w:val="auto"/>
              </w:rPr>
            </w:pPr>
          </w:p>
        </w:tc>
      </w:tr>
      <w:tr>
        <w:trPr>
          <w:trHeight w:val="228"/>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(34,593)</w:t>
            </w:r>
          </w:p>
        </w:tc>
        <w:tc>
          <w:tcPr>
            <w:tcW w:w="0" w:type="dxa"/>
            <w:vAlign w:val="bottom"/>
          </w:tcPr>
          <w:p>
            <w:pPr>
              <w:spacing w:after="0"/>
              <w:rPr>
                <w:sz w:val="1"/>
                <w:szCs w:val="1"/>
                <w:color w:val="auto"/>
              </w:rPr>
            </w:pPr>
          </w:p>
        </w:tc>
      </w:tr>
      <w:tr>
        <w:trPr>
          <w:trHeight w:val="43"/>
        </w:trPr>
        <w:tc>
          <w:tcPr>
            <w:tcW w:w="470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29,323</w:t>
            </w:r>
          </w:p>
        </w:tc>
        <w:tc>
          <w:tcPr>
            <w:tcW w:w="0" w:type="dxa"/>
            <w:vAlign w:val="bottom"/>
          </w:tcPr>
          <w:p>
            <w:pPr>
              <w:spacing w:after="0"/>
              <w:rPr>
                <w:sz w:val="1"/>
                <w:szCs w:val="1"/>
                <w:color w:val="auto"/>
              </w:rPr>
            </w:pPr>
          </w:p>
        </w:tc>
      </w:tr>
      <w:tr>
        <w:trPr>
          <w:trHeight w:val="208"/>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preferred stock (related party)</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(393,175)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(103,000)</w:t>
            </w:r>
          </w:p>
        </w:tc>
        <w:tc>
          <w:tcPr>
            <w:tcW w:w="0" w:type="dxa"/>
            <w:vAlign w:val="bottom"/>
          </w:tcPr>
          <w:p>
            <w:pPr>
              <w:spacing w:after="0"/>
              <w:rPr>
                <w:sz w:val="1"/>
                <w:szCs w:val="1"/>
                <w:color w:val="auto"/>
              </w:rPr>
            </w:pPr>
          </w:p>
        </w:tc>
      </w:tr>
      <w:tr>
        <w:trPr>
          <w:trHeight w:val="43"/>
        </w:trPr>
        <w:tc>
          <w:tcPr>
            <w:tcW w:w="470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146,861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564,748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150,762</w:t>
            </w:r>
          </w:p>
        </w:tc>
        <w:tc>
          <w:tcPr>
            <w:tcW w:w="0" w:type="dxa"/>
            <w:vAlign w:val="bottom"/>
          </w:tcPr>
          <w:p>
            <w:pPr>
              <w:spacing w:after="0"/>
              <w:rPr>
                <w:sz w:val="1"/>
                <w:szCs w:val="1"/>
                <w:color w:val="auto"/>
              </w:rPr>
            </w:pPr>
          </w:p>
        </w:tc>
      </w:tr>
      <w:tr>
        <w:trPr>
          <w:trHeight w:val="262"/>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loss attributable to common stockholders, diluted (non-GAAP)</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(719,909)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(665,818)</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(1,335,699)</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(1,290,102)</w:t>
            </w:r>
          </w:p>
        </w:tc>
        <w:tc>
          <w:tcPr>
            <w:tcW w:w="0" w:type="dxa"/>
            <w:vAlign w:val="bottom"/>
          </w:tcPr>
          <w:p>
            <w:pPr>
              <w:spacing w:after="0"/>
              <w:rPr>
                <w:sz w:val="1"/>
                <w:szCs w:val="1"/>
                <w:color w:val="auto"/>
              </w:rPr>
            </w:pPr>
          </w:p>
        </w:tc>
      </w:tr>
      <w:tr>
        <w:trPr>
          <w:trHeight w:val="23"/>
        </w:trPr>
        <w:tc>
          <w:tcPr>
            <w:tcW w:w="58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Adjusted Net Loss Per Share Attributable to Common Stockholders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8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9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1"/>
                <w:szCs w:val="21"/>
                <w:color w:val="auto"/>
              </w:rPr>
            </w:pPr>
          </w:p>
        </w:tc>
        <w:tc>
          <w:tcPr>
            <w:tcW w:w="2360" w:type="dxa"/>
            <w:vAlign w:val="bottom"/>
            <w:gridSpan w:val="4"/>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860" w:type="dxa"/>
            <w:vAlign w:val="bottom"/>
            <w:tcBorders>
              <w:bottom w:val="single" w:sz="8" w:color="CCEEFF"/>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per share attributable to common stockholders, diluted (GAAP)</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(0.34)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(0.64)</w:t>
            </w:r>
          </w:p>
        </w:tc>
        <w:tc>
          <w:tcPr>
            <w:tcW w:w="0" w:type="dxa"/>
            <w:vAlign w:val="bottom"/>
          </w:tcPr>
          <w:p>
            <w:pPr>
              <w:spacing w:after="0"/>
              <w:rPr>
                <w:sz w:val="1"/>
                <w:szCs w:val="1"/>
                <w:color w:val="auto"/>
              </w:rPr>
            </w:pPr>
          </w:p>
        </w:tc>
      </w:tr>
      <w:tr>
        <w:trPr>
          <w:trHeight w:val="228"/>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0" w:type="dxa"/>
            <w:vAlign w:val="bottom"/>
          </w:tcPr>
          <w:p>
            <w:pPr>
              <w:spacing w:after="0"/>
              <w:rPr>
                <w:sz w:val="1"/>
                <w:szCs w:val="1"/>
                <w:color w:val="auto"/>
              </w:rPr>
            </w:pPr>
          </w:p>
        </w:tc>
      </w:tr>
      <w:tr>
        <w:trPr>
          <w:trHeight w:val="42"/>
        </w:trPr>
        <w:tc>
          <w:tcPr>
            <w:tcW w:w="5860" w:type="dxa"/>
            <w:vAlign w:val="bottom"/>
            <w:gridSpan w:val="3"/>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28"/>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43"/>
        </w:trPr>
        <w:tc>
          <w:tcPr>
            <w:tcW w:w="5860" w:type="dxa"/>
            <w:vAlign w:val="bottom"/>
            <w:gridSpan w:val="3"/>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21"/>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preferred stock (related party)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0" w:type="dxa"/>
            <w:vAlign w:val="bottom"/>
          </w:tcPr>
          <w:p>
            <w:pPr>
              <w:spacing w:after="0"/>
              <w:rPr>
                <w:sz w:val="1"/>
                <w:szCs w:val="1"/>
                <w:color w:val="auto"/>
              </w:rPr>
            </w:pPr>
          </w:p>
        </w:tc>
      </w:tr>
      <w:tr>
        <w:trPr>
          <w:trHeight w:val="42"/>
        </w:trPr>
        <w:tc>
          <w:tcPr>
            <w:tcW w:w="5860" w:type="dxa"/>
            <w:vAlign w:val="bottom"/>
            <w:gridSpan w:val="3"/>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36" w:right="339" w:bottom="1440" w:gutter="0" w:footer="0" w:header="0"/>
        </w:sectPr>
      </w:pPr>
    </w:p>
    <w:p>
      <w:pPr>
        <w:ind w:left="20"/>
        <w:spacing w:after="0" w:line="287" w:lineRule="auto"/>
        <w:rPr>
          <w:sz w:val="20"/>
          <w:szCs w:val="20"/>
          <w:color w:val="auto"/>
        </w:rPr>
      </w:pPr>
      <w:r>
        <w:rPr>
          <w:rFonts w:ascii="Times New Roman" w:cs="Times New Roman" w:eastAsia="Times New Roman" w:hAnsi="Times New Roman"/>
          <w:sz w:val="17"/>
          <w:szCs w:val="17"/>
          <w:b w:val="1"/>
          <w:bCs w:val="1"/>
          <w:color w:val="auto"/>
        </w:rPr>
        <w:t>Adjusted net loss per share attributable to common stockholders, diluted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5" w:lineRule="exact"/>
        <w:rPr>
          <w:sz w:val="20"/>
          <w:szCs w:val="20"/>
          <w:color w:val="auto"/>
        </w:rPr>
      </w:pPr>
    </w:p>
    <w:p>
      <w:pPr>
        <w:ind w:left="20" w:right="220"/>
        <w:spacing w:after="0" w:line="303" w:lineRule="auto"/>
        <w:rPr>
          <w:sz w:val="20"/>
          <w:szCs w:val="20"/>
          <w:color w:val="auto"/>
        </w:rPr>
      </w:pPr>
      <w:r>
        <w:rPr>
          <w:rFonts w:ascii="Times New Roman" w:cs="Times New Roman" w:eastAsia="Times New Roman" w:hAnsi="Times New Roman"/>
          <w:sz w:val="17"/>
          <w:szCs w:val="17"/>
          <w:b w:val="1"/>
          <w:bCs w:val="1"/>
          <w:color w:val="auto"/>
        </w:rPr>
        <w:t>Weighted-average shares outstanding attributable to common stockholders, diluted</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(0.29)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(0.44)</w:t>
            </w:r>
          </w:p>
        </w:tc>
        <w:tc>
          <w:tcPr>
            <w:tcW w:w="8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(0.56)</w:t>
            </w:r>
          </w:p>
        </w:tc>
      </w:tr>
      <w:tr>
        <w:trPr>
          <w:trHeight w:val="43"/>
        </w:trPr>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99"/>
        </w:trPr>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3,057,882,724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2,310,360,525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3,056,708,079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2,306,209,050</w:t>
            </w:r>
          </w:p>
        </w:tc>
      </w:tr>
    </w:tbl>
    <w:p>
      <w:pPr>
        <w:spacing w:after="0" w:line="96" w:lineRule="exact"/>
        <w:rPr>
          <w:sz w:val="20"/>
          <w:szCs w:val="20"/>
          <w:color w:val="auto"/>
        </w:rPr>
      </w:pPr>
    </w:p>
    <w:p>
      <w:pPr>
        <w:sectPr>
          <w:pgSz w:w="11900" w:h="16838" w:orient="portrait"/>
          <w:cols w:equalWidth="0" w:num="2">
            <w:col w:w="5760" w:space="100"/>
            <w:col w:w="5380"/>
          </w:cols>
          <w:pgMar w:left="320" w:top="53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536" w:right="339" w:bottom="1440" w:gutter="0" w:footer="0" w:header="0"/>
          <w:type w:val="continuous"/>
        </w:sectPr>
      </w:pPr>
    </w:p>
    <w:bookmarkStart w:id="12" w:name="page13"/>
    <w:bookmarkEnd w:id="12"/>
    <w:p>
      <w:pPr>
        <w:ind w:left="4800"/>
        <w:spacing w:after="0"/>
        <w:rPr>
          <w:sz w:val="20"/>
          <w:szCs w:val="20"/>
          <w:color w:val="auto"/>
        </w:rPr>
      </w:pPr>
      <w:r>
        <w:rPr>
          <w:rFonts w:ascii="Times New Roman" w:cs="Times New Roman" w:eastAsia="Times New Roman" w:hAnsi="Times New Roman"/>
          <w:sz w:val="17"/>
          <w:szCs w:val="17"/>
          <w:b w:val="1"/>
          <w:bCs w:val="1"/>
          <w:color w:val="auto"/>
        </w:rPr>
        <w:t>LUCID GROUP,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MEASURES - continued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Free Cash Flow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360" w:type="dxa"/>
            <w:vAlign w:val="bottom"/>
            <w:gridSpan w:val="4"/>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4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 (GAAP)</w:t>
            </w: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(830,241)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(506,987)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(1,258,854)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(1,023,732)</w:t>
            </w:r>
          </w:p>
        </w:tc>
        <w:tc>
          <w:tcPr>
            <w:tcW w:w="0" w:type="dxa"/>
            <w:vAlign w:val="bottom"/>
          </w:tcPr>
          <w:p>
            <w:pPr>
              <w:spacing w:after="0"/>
              <w:rPr>
                <w:sz w:val="1"/>
                <w:szCs w:val="1"/>
                <w:color w:val="auto"/>
              </w:rPr>
            </w:pPr>
          </w:p>
        </w:tc>
      </w:tr>
      <w:tr>
        <w:trPr>
          <w:trHeight w:val="241"/>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(234,315)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(343,904)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(432,512)</w:t>
            </w:r>
          </w:p>
        </w:tc>
        <w:tc>
          <w:tcPr>
            <w:tcW w:w="0" w:type="dxa"/>
            <w:vAlign w:val="bottom"/>
          </w:tcPr>
          <w:p>
            <w:pPr>
              <w:spacing w:after="0"/>
              <w:rPr>
                <w:sz w:val="1"/>
                <w:szCs w:val="1"/>
                <w:color w:val="auto"/>
              </w:rPr>
            </w:pPr>
          </w:p>
        </w:tc>
      </w:tr>
      <w:tr>
        <w:trPr>
          <w:trHeight w:val="29"/>
        </w:trPr>
        <w:tc>
          <w:tcPr>
            <w:tcW w:w="44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Free cash flow (non-GAAP)</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(1,012,904)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(741,302)</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(1,602,758)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(1,456,244)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76"/>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4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2025-08-05T15:17:42Z</dcterms:created>
  <dcterms:modified xsi:type="dcterms:W3CDTF">2025-08-05T15:17:42Z</dcterms:modified>
</cp:coreProperties>
</file>