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426052d5_8k.htm"/>
      <w:bookmarkStart w:id="1" w:name="kstm2426052d5_8k"/>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6"/>
        </w:rPr>
        <w:t>UNITED STATES</w:t>
        <w:br/>
        <w:t>SECURITIES AND EXCHANGE COMMISSION</w:t>
      </w:r>
      <w:r>
        <w:rPr>
          <w:rFonts w:ascii="Times New Roman;Times;Serif" w:hAnsi="Times New Roman;Times;Serif"/>
          <w:b/>
          <w:i w:val="false"/>
          <w:caps w:val="false"/>
          <w:smallCaps w:val="false"/>
          <w:sz w:val="28"/>
        </w:rPr>
        <w:br/>
      </w: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2_edei--DocumentType_c20241016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i w:val="false"/>
          <w:caps w:val="false"/>
          <w:smallCaps w:val="false"/>
          <w:sz w:val="20"/>
        </w:rPr>
        <w:t>October 16,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7_edei--EntityRegistrantName_c2024"/>
      <w:bookmarkEnd w:id="4"/>
      <w:r>
        <w:rPr>
          <w:rFonts w:ascii="Times New Roman;Times;Serif" w:hAnsi="Times New Roman;Times;Serif"/>
          <w:b/>
          <w:i w:val="false"/>
          <w:caps w:val="false"/>
          <w:smallCaps w:val="false"/>
          <w:sz w:val="36"/>
        </w:rPr>
        <w:t>Lucid Group,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7695" w:type="dxa"/>
        <w:jc w:val="left"/>
        <w:tblInd w:w="0" w:type="dxa"/>
        <w:tblLayout w:type="fixed"/>
        <w:tblCellMar>
          <w:top w:w="0" w:type="dxa"/>
          <w:left w:w="0" w:type="dxa"/>
          <w:bottom w:w="0" w:type="dxa"/>
          <w:right w:w="0" w:type="dxa"/>
        </w:tblCellMar>
      </w:tblPr>
      <w:tblGrid>
        <w:gridCol w:w="3275"/>
        <w:gridCol w:w="1505"/>
        <w:gridCol w:w="2915"/>
      </w:tblGrid>
      <w:tr>
        <w:trPr/>
        <w:tc>
          <w:tcPr>
            <w:tcW w:w="3275" w:type="dxa"/>
            <w:tcBorders/>
            <w:vAlign w:val="center"/>
          </w:tcPr>
          <w:p>
            <w:pPr>
              <w:pStyle w:val="TableContents"/>
              <w:bidi w:val="0"/>
              <w:spacing w:before="0" w:after="283"/>
              <w:jc w:val="center"/>
              <w:rPr>
                <w:rFonts w:ascii="Times New Roman;Times;Serif" w:hAnsi="Times New Roman;Times;Serif"/>
                <w:b/>
                <w:sz w:val="20"/>
              </w:rPr>
            </w:pPr>
            <w:bookmarkStart w:id="5" w:name="xdx_90C_edei--EntityIncorporationStateCo"/>
            <w:bookmarkEnd w:id="5"/>
            <w:r>
              <w:rPr>
                <w:rFonts w:ascii="Times New Roman;Times;Serif" w:hAnsi="Times New Roman;Times;Serif"/>
                <w:b/>
                <w:sz w:val="20"/>
              </w:rPr>
              <w:t>Delaware</w:t>
            </w:r>
          </w:p>
        </w:tc>
        <w:tc>
          <w:tcPr>
            <w:tcW w:w="1505" w:type="dxa"/>
            <w:tcBorders/>
            <w:shd w:fill="FFFFFF" w:val="clear"/>
            <w:vAlign w:val="center"/>
          </w:tcPr>
          <w:p>
            <w:pPr>
              <w:pStyle w:val="TableContents"/>
              <w:bidi w:val="0"/>
              <w:spacing w:before="0" w:after="283"/>
              <w:jc w:val="center"/>
              <w:rPr>
                <w:rFonts w:ascii="Times New Roman;Times;Serif" w:hAnsi="Times New Roman;Times;Serif"/>
                <w:b/>
                <w:sz w:val="20"/>
              </w:rPr>
            </w:pPr>
            <w:bookmarkStart w:id="6" w:name="xdx_903_edei--EntityFileNumber_c20241016"/>
            <w:bookmarkEnd w:id="6"/>
            <w:r>
              <w:rPr>
                <w:rFonts w:ascii="Times New Roman;Times;Serif" w:hAnsi="Times New Roman;Times;Serif"/>
                <w:b/>
                <w:sz w:val="20"/>
              </w:rPr>
              <w:t>001-39408</w:t>
            </w:r>
          </w:p>
        </w:tc>
        <w:tc>
          <w:tcPr>
            <w:tcW w:w="2915" w:type="dxa"/>
            <w:tcBorders/>
            <w:vAlign w:val="center"/>
          </w:tcPr>
          <w:p>
            <w:pPr>
              <w:pStyle w:val="TableContents"/>
              <w:bidi w:val="0"/>
              <w:spacing w:before="0" w:after="283"/>
              <w:jc w:val="center"/>
              <w:rPr>
                <w:rFonts w:ascii="Times New Roman;Times;Serif" w:hAnsi="Times New Roman;Times;Serif"/>
                <w:b/>
                <w:sz w:val="20"/>
              </w:rPr>
            </w:pPr>
            <w:bookmarkStart w:id="7" w:name="xdx_908_edei--EntityTaxIdentificationNum"/>
            <w:bookmarkEnd w:id="7"/>
            <w:r>
              <w:rPr>
                <w:rFonts w:ascii="Times New Roman;Times;Serif" w:hAnsi="Times New Roman;Times;Serif"/>
                <w:b/>
                <w:sz w:val="20"/>
              </w:rPr>
              <w:t>85-0891392</w:t>
            </w:r>
          </w:p>
        </w:tc>
      </w:tr>
      <w:tr>
        <w:trPr/>
        <w:tc>
          <w:tcPr>
            <w:tcW w:w="32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(State or other jurisdiction of </w:t>
              <w:br/>
              <w:t>incorporation or organization)</w:t>
            </w:r>
          </w:p>
        </w:tc>
        <w:tc>
          <w:tcPr>
            <w:tcW w:w="150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(Commission File </w:t>
              <w:br/>
              <w:t>Number)</w:t>
            </w:r>
          </w:p>
        </w:tc>
        <w:tc>
          <w:tcPr>
            <w:tcW w:w="29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r>
        <w:trPr/>
        <w:tc>
          <w:tcPr>
            <w:tcW w:w="3275"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C_edei--EntityAddressAddressLine1_"/>
            <w:bookmarkEnd w:id="8"/>
            <w:r>
              <w:rPr>
                <w:rFonts w:ascii="Times New Roman;Times;Serif" w:hAnsi="Times New Roman;Times;Serif"/>
                <w:b/>
                <w:i w:val="false"/>
                <w:caps w:val="false"/>
                <w:smallCaps w:val="false"/>
                <w:sz w:val="20"/>
              </w:rPr>
              <w:t>7373 Gateway Boulevard</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9" w:name="xdx_906_edei--EntityAddressCityOrTown_c2"/>
            <w:bookmarkEnd w:id="9"/>
            <w:r>
              <w:rPr>
                <w:rFonts w:ascii="Times New Roman;Times;Serif" w:hAnsi="Times New Roman;Times;Serif"/>
                <w:b/>
                <w:i w:val="false"/>
                <w:caps w:val="false"/>
                <w:smallCaps w:val="false"/>
                <w:sz w:val="20"/>
              </w:rPr>
              <w:t xml:space="preserve">Newark, </w:t>
            </w:r>
            <w:bookmarkStart w:id="10" w:name="xdx_90B_edei--EntityAddressStateOrProvin"/>
            <w:bookmarkEnd w:id="10"/>
            <w:r>
              <w:rPr>
                <w:rFonts w:ascii="Times New Roman;Times;Serif" w:hAnsi="Times New Roman;Times;Serif"/>
                <w:b/>
                <w:i w:val="false"/>
                <w:caps w:val="false"/>
                <w:smallCaps w:val="false"/>
                <w:sz w:val="20"/>
              </w:rPr>
              <w:t>CA</w:t>
            </w:r>
          </w:p>
        </w:tc>
        <w:tc>
          <w:tcPr>
            <w:tcW w:w="1505" w:type="dxa"/>
            <w:tcBorders/>
            <w:vAlign w:val="center"/>
          </w:tcPr>
          <w:p>
            <w:pPr>
              <w:pStyle w:val="TableContents"/>
              <w:bidi w:val="0"/>
              <w:spacing w:before="0" w:after="283"/>
              <w:jc w:val="center"/>
              <w:rPr/>
            </w:pPr>
            <w:r>
              <w:rPr/>
              <w:t> </w:t>
            </w:r>
          </w:p>
        </w:tc>
        <w:tc>
          <w:tcPr>
            <w:tcW w:w="2915" w:type="dxa"/>
            <w:tcBorders/>
            <w:vAlign w:val="center"/>
          </w:tcPr>
          <w:p>
            <w:pPr>
              <w:pStyle w:val="TableContents"/>
              <w:bidi w:val="0"/>
              <w:spacing w:before="0" w:after="283"/>
              <w:jc w:val="center"/>
              <w:rPr>
                <w:rFonts w:ascii="Times New Roman;Times;Serif" w:hAnsi="Times New Roman;Times;Serif"/>
                <w:b/>
                <w:sz w:val="20"/>
              </w:rPr>
            </w:pPr>
            <w:bookmarkStart w:id="11" w:name="xdx_90D_edei--EntityAddressPostalZipCode"/>
            <w:bookmarkEnd w:id="11"/>
            <w:r>
              <w:rPr>
                <w:rFonts w:ascii="Times New Roman;Times;Serif" w:hAnsi="Times New Roman;Times;Serif"/>
                <w:b/>
                <w:sz w:val="20"/>
              </w:rPr>
              <w:t>94560</w:t>
            </w:r>
          </w:p>
        </w:tc>
      </w:tr>
      <w:tr>
        <w:trPr/>
        <w:tc>
          <w:tcPr>
            <w:tcW w:w="32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505"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ind w:left="0" w:right="0" w:hanging="0"/>
        <w:jc w:val="left"/>
        <w:rPr/>
      </w:pPr>
      <w:r>
        <w:rPr/>
        <w:t> </w:t>
      </w:r>
    </w:p>
    <w:tbl>
      <w:tblPr>
        <w:tblW w:w="5615" w:type="dxa"/>
        <w:jc w:val="left"/>
        <w:tblInd w:w="0" w:type="dxa"/>
        <w:tblLayout w:type="fixed"/>
        <w:tblCellMar>
          <w:top w:w="0" w:type="dxa"/>
          <w:left w:w="0" w:type="dxa"/>
          <w:bottom w:w="0" w:type="dxa"/>
          <w:right w:w="0" w:type="dxa"/>
        </w:tblCellMar>
      </w:tblPr>
      <w:tblGrid>
        <w:gridCol w:w="5615"/>
      </w:tblGrid>
      <w:tr>
        <w:trPr/>
        <w:tc>
          <w:tcPr>
            <w:tcW w:w="5615" w:type="dxa"/>
            <w:tcBorders/>
            <w:vAlign w:val="center"/>
          </w:tcPr>
          <w:p>
            <w:pPr>
              <w:pStyle w:val="TableContents"/>
              <w:bidi w:val="0"/>
              <w:spacing w:before="0" w:after="283"/>
              <w:jc w:val="center"/>
              <w:rPr>
                <w:sz w:val="20"/>
              </w:rPr>
            </w:pPr>
            <w:r>
              <w:rPr>
                <w:sz w:val="20"/>
              </w:rPr>
              <w:t xml:space="preserve">Registrant’s telephone number, including area code: </w:t>
            </w:r>
            <w:r>
              <w:rPr>
                <w:b/>
                <w:sz w:val="20"/>
              </w:rPr>
              <w:t>(</w:t>
            </w:r>
            <w:bookmarkStart w:id="12" w:name="xdx_90F_edei--CityAreaCode_c20241016__20"/>
            <w:bookmarkEnd w:id="12"/>
            <w:r>
              <w:rPr>
                <w:b/>
                <w:sz w:val="20"/>
              </w:rPr>
              <w:t xml:space="preserve">510) </w:t>
            </w:r>
            <w:bookmarkStart w:id="13" w:name="xdx_904_edei--LocalPhoneNumber_c20241016"/>
            <w:bookmarkEnd w:id="13"/>
            <w:r>
              <w:rPr>
                <w:b/>
                <w:sz w:val="20"/>
              </w:rPr>
              <w:t>648-3553</w:t>
            </w:r>
          </w:p>
        </w:tc>
      </w:tr>
      <w:tr>
        <w:trPr/>
        <w:tc>
          <w:tcPr>
            <w:tcW w:w="5615" w:type="dxa"/>
            <w:tcBorders/>
            <w:vAlign w:val="center"/>
          </w:tcPr>
          <w:p>
            <w:pPr>
              <w:pStyle w:val="TableContents"/>
              <w:bidi w:val="0"/>
              <w:spacing w:before="0" w:after="283"/>
              <w:jc w:val="center"/>
              <w:rPr/>
            </w:pPr>
            <w:r>
              <w:rPr/>
              <w:t> </w:t>
            </w:r>
          </w:p>
        </w:tc>
      </w:tr>
      <w:tr>
        <w:trPr/>
        <w:tc>
          <w:tcPr>
            <w:tcW w:w="5615" w:type="dxa"/>
            <w:tcBorders/>
            <w:vAlign w:val="center"/>
          </w:tcPr>
          <w:p>
            <w:pPr>
              <w:pStyle w:val="TableContents"/>
              <w:bidi w:val="0"/>
              <w:spacing w:before="0" w:after="283"/>
              <w:jc w:val="center"/>
              <w:rPr>
                <w:sz w:val="20"/>
              </w:rPr>
            </w:pPr>
            <w:r>
              <w:rPr>
                <w:sz w:val="20"/>
              </w:rPr>
              <w:t>(Former name or former address, if changed since last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2" w:right="0" w:hanging="302"/>
        <w:jc w:val="both"/>
        <w:rPr>
          <w:caps w:val="false"/>
          <w:smallCaps w:val="false"/>
        </w:rPr>
      </w:pPr>
      <w:bookmarkStart w:id="14" w:name="xdx_90A_edei--WrittenCommunications_c202"/>
      <w:bookmarkEnd w:id="14"/>
      <w:r>
        <w:rPr>
          <w:caps w:val="false"/>
          <w:smallCaps w:val="false"/>
        </w:rPr>
        <w:t>☐    </w:t>
      </w:r>
      <w:r>
        <w:rPr>
          <w:rFonts w:ascii="Times New Roman;Times;Serif" w:hAnsi="Times New Roman;Times;Serif"/>
          <w:b w:val="false"/>
          <w:i w:val="false"/>
          <w:caps w:val="false"/>
          <w:smallCaps w:val="false"/>
          <w:sz w:val="20"/>
        </w:rPr>
        <w:t>Written communications pursuant to Rule 425 under the Securities Act (17 CFR 230.425) </w:t>
      </w:r>
    </w:p>
    <w:p>
      <w:pPr>
        <w:pStyle w:val="TextBody"/>
        <w:bidi w:val="0"/>
        <w:spacing w:before="0" w:after="0"/>
        <w:ind w:left="302" w:right="0" w:hanging="302"/>
        <w:jc w:val="both"/>
        <w:rPr>
          <w:caps w:val="false"/>
          <w:smallCaps w:val="false"/>
        </w:rPr>
      </w:pPr>
      <w:bookmarkStart w:id="15" w:name="xdx_900_edei--SolicitingMaterial_c202410"/>
      <w:bookmarkEnd w:id="15"/>
      <w:r>
        <w:rPr>
          <w:caps w:val="false"/>
          <w:smallCaps w:val="false"/>
        </w:rPr>
        <w:t>☐    </w:t>
      </w:r>
      <w:r>
        <w:rPr>
          <w:rFonts w:ascii="Times New Roman;Times;Serif" w:hAnsi="Times New Roman;Times;Serif"/>
          <w:b w:val="false"/>
          <w:i w:val="false"/>
          <w:caps w:val="false"/>
          <w:smallCaps w:val="false"/>
          <w:sz w:val="20"/>
        </w:rPr>
        <w:t>Soliciting material pursuant to Rule 14a-12 under the Exchange Act (17 CFR 240.14a-12) </w:t>
      </w:r>
    </w:p>
    <w:p>
      <w:pPr>
        <w:pStyle w:val="TextBody"/>
        <w:bidi w:val="0"/>
        <w:spacing w:before="0" w:after="0"/>
        <w:ind w:left="302" w:right="0" w:hanging="302"/>
        <w:jc w:val="both"/>
        <w:rPr>
          <w:caps w:val="false"/>
          <w:smallCaps w:val="false"/>
        </w:rPr>
      </w:pPr>
      <w:bookmarkStart w:id="16" w:name="xdx_905_edei--PreCommencementTenderOffer"/>
      <w:bookmarkEnd w:id="16"/>
      <w:r>
        <w:rPr>
          <w:caps w:val="false"/>
          <w:smallCaps w:val="false"/>
        </w:rPr>
        <w:t>☐    </w:t>
      </w:r>
      <w:r>
        <w:rPr>
          <w:rFonts w:ascii="Times New Roman;Times;Serif" w:hAnsi="Times New Roman;Times;Serif"/>
          <w:b w:val="false"/>
          <w:i w:val="false"/>
          <w:caps w:val="false"/>
          <w:smallCaps w:val="false"/>
          <w:sz w:val="20"/>
        </w:rPr>
        <w:t>Pre-commencement communications pursuant to Rule 14d-2(b) under the Exchange Act (17 CFR 240.14d-2(b)) </w:t>
      </w:r>
    </w:p>
    <w:p>
      <w:pPr>
        <w:pStyle w:val="TextBody"/>
        <w:bidi w:val="0"/>
        <w:spacing w:before="0" w:after="0"/>
        <w:ind w:left="302" w:right="0" w:hanging="302"/>
        <w:jc w:val="both"/>
        <w:rPr>
          <w:caps w:val="false"/>
          <w:smallCaps w:val="false"/>
        </w:rPr>
      </w:pPr>
      <w:bookmarkStart w:id="17" w:name="xdx_901_edei--PreCommencementIssuerTende"/>
      <w:bookmarkEnd w:id="17"/>
      <w:r>
        <w:rPr>
          <w:caps w:val="false"/>
          <w:smallCaps w:val="false"/>
        </w:rPr>
        <w:t>☐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302" w:right="0" w:hanging="302"/>
        <w:jc w:val="both"/>
        <w:rPr>
          <w:caps w:val="false"/>
          <w:smallCaps w:val="false"/>
        </w:rPr>
      </w:pPr>
      <w:r>
        <w:rPr>
          <w:caps w:val="false"/>
          <w:smallCaps w:val="false"/>
        </w:rPr>
        <w:t> </w:t>
      </w:r>
    </w:p>
    <w:p>
      <w:pPr>
        <w:pStyle w:val="TextBody"/>
        <w:bidi w:val="0"/>
        <w:spacing w:before="0" w:after="0"/>
        <w:ind w:left="302" w:right="0" w:hanging="30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302" w:right="0" w:hanging="302"/>
        <w:jc w:val="both"/>
        <w:rPr>
          <w:caps w:val="false"/>
          <w:smallCaps w:val="false"/>
        </w:rPr>
      </w:pPr>
      <w:r>
        <w:rPr>
          <w:caps w:val="false"/>
          <w:smallCaps w:val="false"/>
        </w:rPr>
        <w:t> </w:t>
      </w:r>
    </w:p>
    <w:tbl>
      <w:tblPr>
        <w:tblW w:w="8970" w:type="dxa"/>
        <w:jc w:val="left"/>
        <w:tblInd w:w="0" w:type="dxa"/>
        <w:tblLayout w:type="fixed"/>
        <w:tblCellMar>
          <w:top w:w="0" w:type="dxa"/>
          <w:left w:w="0" w:type="dxa"/>
          <w:bottom w:w="28" w:type="dxa"/>
          <w:right w:w="0" w:type="dxa"/>
        </w:tblCellMar>
      </w:tblPr>
      <w:tblGrid>
        <w:gridCol w:w="4280"/>
        <w:gridCol w:w="60"/>
        <w:gridCol w:w="860"/>
        <w:gridCol w:w="60"/>
        <w:gridCol w:w="3710"/>
      </w:tblGrid>
      <w:tr>
        <w:trPr/>
        <w:tc>
          <w:tcPr>
            <w:tcW w:w="42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w:t>
              <w:br/>
              <w:t>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4280" w:type="dxa"/>
            <w:tcBorders/>
            <w:tcMar>
              <w:bottom w:w="0" w:type="dxa"/>
            </w:tcMar>
            <w:vAlign w:val="center"/>
          </w:tcPr>
          <w:p>
            <w:pPr>
              <w:pStyle w:val="TableContents"/>
              <w:bidi w:val="0"/>
              <w:spacing w:before="0" w:after="283"/>
              <w:jc w:val="center"/>
              <w:rPr>
                <w:sz w:val="20"/>
              </w:rPr>
            </w:pPr>
            <w:bookmarkStart w:id="18" w:name="xdx_90E_edei--Security12bTitle_c20241016"/>
            <w:bookmarkEnd w:id="18"/>
            <w:r>
              <w:rPr>
                <w:sz w:val="20"/>
              </w:rPr>
              <w:t>Class A Common Stock, $0.0001 par value per share</w:t>
            </w:r>
          </w:p>
        </w:tc>
        <w:tc>
          <w:tcPr>
            <w:tcW w:w="60" w:type="dxa"/>
            <w:tcBorders/>
            <w:tcMar>
              <w:bottom w:w="0" w:type="dxa"/>
            </w:tcMar>
            <w:vAlign w:val="center"/>
          </w:tcPr>
          <w:p>
            <w:pPr>
              <w:pStyle w:val="TableContents"/>
              <w:bidi w:val="0"/>
              <w:spacing w:before="0" w:after="283"/>
              <w:jc w:val="center"/>
              <w:rPr/>
            </w:pPr>
            <w:r>
              <w:rPr/>
              <w:t> </w:t>
            </w:r>
          </w:p>
        </w:tc>
        <w:tc>
          <w:tcPr>
            <w:tcW w:w="860" w:type="dxa"/>
            <w:tcBorders/>
            <w:tcMar>
              <w:bottom w:w="0" w:type="dxa"/>
            </w:tcMar>
            <w:vAlign w:val="center"/>
          </w:tcPr>
          <w:p>
            <w:pPr>
              <w:pStyle w:val="TableContents"/>
              <w:bidi w:val="0"/>
              <w:spacing w:before="0" w:after="283"/>
              <w:jc w:val="center"/>
              <w:rPr>
                <w:sz w:val="20"/>
              </w:rPr>
            </w:pPr>
            <w:bookmarkStart w:id="19" w:name="xdx_909_edei--TradingSymbol_c20241016__2"/>
            <w:bookmarkEnd w:id="19"/>
            <w:r>
              <w:rPr>
                <w:sz w:val="20"/>
              </w:rPr>
              <w:t>LCID</w:t>
            </w:r>
          </w:p>
        </w:tc>
        <w:tc>
          <w:tcPr>
            <w:tcW w:w="60" w:type="dxa"/>
            <w:tcBorders/>
            <w:tcMar>
              <w:bottom w:w="0" w:type="dxa"/>
            </w:tcMar>
            <w:vAlign w:val="center"/>
          </w:tcPr>
          <w:p>
            <w:pPr>
              <w:pStyle w:val="TableContents"/>
              <w:bidi w:val="0"/>
              <w:spacing w:before="0" w:after="283"/>
              <w:jc w:val="center"/>
              <w:rPr/>
            </w:pPr>
            <w:r>
              <w:rPr/>
              <w:t> </w:t>
            </w:r>
          </w:p>
        </w:tc>
        <w:tc>
          <w:tcPr>
            <w:tcW w:w="3710" w:type="dxa"/>
            <w:tcBorders/>
            <w:tcMar>
              <w:bottom w:w="0" w:type="dxa"/>
            </w:tcMar>
            <w:vAlign w:val="center"/>
          </w:tcPr>
          <w:p>
            <w:pPr>
              <w:pStyle w:val="TableContents"/>
              <w:bidi w:val="0"/>
              <w:spacing w:before="0" w:after="283"/>
              <w:jc w:val="center"/>
              <w:rPr>
                <w:sz w:val="20"/>
              </w:rPr>
            </w:pPr>
            <w:bookmarkStart w:id="20" w:name="xdx_90B_edei--SecurityExchangeName_c2024"/>
            <w:bookmarkEnd w:id="20"/>
            <w:r>
              <w:rPr>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B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60" w:after="240"/>
        <w:ind w:left="0" w:right="0" w:firstLine="36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830"/>
        <w:gridCol w:w="374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1.01</w:t>
            </w:r>
          </w:p>
        </w:tc>
        <w:tc>
          <w:tcPr>
            <w:tcW w:w="37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Entry into a Material Definitive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Private 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On October 16, 2024, Lucid Group, Inc. (the “</w:t>
      </w:r>
      <w:r>
        <w:rPr>
          <w:rFonts w:ascii="Times New Roman;Times;Serif" w:hAnsi="Times New Roman;Times;Serif"/>
          <w:b/>
          <w:i/>
          <w:caps w:val="false"/>
          <w:smallCaps w:val="false"/>
          <w:sz w:val="20"/>
          <w:shd w:fill="FFFFFF" w:val="clear"/>
        </w:rPr>
        <w:t>Company</w:t>
      </w:r>
      <w:r>
        <w:rPr>
          <w:rFonts w:ascii="Times New Roman;Times;Serif" w:hAnsi="Times New Roman;Times;Serif"/>
          <w:b w:val="false"/>
          <w:i w:val="false"/>
          <w:caps w:val="false"/>
          <w:smallCaps w:val="false"/>
          <w:sz w:val="20"/>
          <w:shd w:fill="FFFFFF" w:val="clear"/>
        </w:rPr>
        <w:t xml:space="preserve">”) entered into a subscription agreement, dated </w:t>
      </w:r>
      <w:r>
        <w:rPr>
          <w:rFonts w:ascii="Times New Roman;Times;Serif" w:hAnsi="Times New Roman;Times;Serif"/>
          <w:b w:val="false"/>
          <w:i w:val="false"/>
          <w:caps w:val="false"/>
          <w:smallCaps w:val="false"/>
          <w:sz w:val="20"/>
        </w:rPr>
        <w:t xml:space="preserve">October 16, 2024 </w:t>
      </w:r>
      <w:r>
        <w:rPr>
          <w:rFonts w:ascii="Times New Roman;Times;Serif" w:hAnsi="Times New Roman;Times;Serif"/>
          <w:b w:val="false"/>
          <w:i w:val="false"/>
          <w:caps w:val="false"/>
          <w:smallCaps w:val="false"/>
          <w:sz w:val="20"/>
          <w:shd w:fill="FFFFFF" w:val="clear"/>
        </w:rPr>
        <w:t>(the “</w:t>
      </w:r>
      <w:r>
        <w:rPr>
          <w:rFonts w:ascii="Times New Roman;Times;Serif" w:hAnsi="Times New Roman;Times;Serif"/>
          <w:b/>
          <w:i/>
          <w:caps w:val="false"/>
          <w:smallCaps w:val="false"/>
          <w:sz w:val="20"/>
          <w:shd w:fill="FFFFFF" w:val="clear"/>
        </w:rPr>
        <w:t>Subscription Agreement</w:t>
      </w:r>
      <w:r>
        <w:rPr>
          <w:rFonts w:ascii="Times New Roman;Times;Serif" w:hAnsi="Times New Roman;Times;Serif"/>
          <w:b w:val="false"/>
          <w:i w:val="false"/>
          <w:caps w:val="false"/>
          <w:smallCaps w:val="false"/>
          <w:sz w:val="20"/>
          <w:shd w:fill="FFFFFF" w:val="clear"/>
        </w:rPr>
        <w:t>”), between the Company and Ayar Third Investment Company,</w:t>
      </w:r>
      <w:r>
        <w:rPr>
          <w:rFonts w:ascii="Times New Roman;Times;Serif" w:hAnsi="Times New Roman;Times;Serif"/>
          <w:b w:val="false"/>
          <w:i w:val="false"/>
          <w:caps w:val="false"/>
          <w:smallCaps w:val="false"/>
          <w:sz w:val="20"/>
        </w:rPr>
        <w:t xml:space="preserve"> a single shareholder limited liability company organized under the laws of the Kingdom of Saudi Arabia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i/>
          <w:caps w:val="false"/>
          <w:smallCaps w:val="false"/>
          <w:sz w:val="20"/>
          <w:shd w:fill="FFFFFF" w:val="clear"/>
        </w:rPr>
        <w:t>Ayar</w:t>
      </w:r>
      <w:r>
        <w:rPr>
          <w:rFonts w:ascii="Times New Roman;Times;Serif" w:hAnsi="Times New Roman;Times;Serif"/>
          <w:b w:val="false"/>
          <w:i w:val="false"/>
          <w:caps w:val="false"/>
          <w:smallCaps w:val="false"/>
          <w:sz w:val="20"/>
          <w:shd w:fill="FFFFFF" w:val="clear"/>
        </w:rPr>
        <w:t>”), an affiliate of the Public Investment Fund and the Company’s majority shareholder. Pursuant to the Subscription Agreement, Ayar agreed to purchase from the Company 374,717,927 shares of the Company’s Class A common stock (the “</w:t>
      </w:r>
      <w:r>
        <w:rPr>
          <w:rFonts w:ascii="Times New Roman;Times;Serif" w:hAnsi="Times New Roman;Times;Serif"/>
          <w:b/>
          <w:i/>
          <w:caps w:val="false"/>
          <w:smallCaps w:val="false"/>
          <w:sz w:val="20"/>
          <w:shd w:fill="FFFFFF" w:val="clear"/>
        </w:rPr>
        <w:t>common stock</w:t>
      </w:r>
      <w:r>
        <w:rPr>
          <w:rFonts w:ascii="Times New Roman;Times;Serif" w:hAnsi="Times New Roman;Times;Serif"/>
          <w:b w:val="false"/>
          <w:i w:val="false"/>
          <w:caps w:val="false"/>
          <w:smallCaps w:val="false"/>
          <w:sz w:val="20"/>
          <w:shd w:fill="FFFFFF" w:val="clear"/>
        </w:rPr>
        <w:t>”) in a private placement (the “</w:t>
      </w:r>
      <w:r>
        <w:rPr>
          <w:rFonts w:ascii="Times New Roman;Times;Serif" w:hAnsi="Times New Roman;Times;Serif"/>
          <w:b/>
          <w:i/>
          <w:caps w:val="false"/>
          <w:smallCaps w:val="false"/>
          <w:sz w:val="20"/>
          <w:shd w:fill="FFFFFF" w:val="clear"/>
        </w:rPr>
        <w:t>Private Placement</w:t>
      </w:r>
      <w:r>
        <w:rPr>
          <w:rFonts w:ascii="Times New Roman;Times;Serif" w:hAnsi="Times New Roman;Times;Serif"/>
          <w:b w:val="false"/>
          <w:i w:val="false"/>
          <w:caps w:val="false"/>
          <w:smallCaps w:val="false"/>
          <w:sz w:val="20"/>
          <w:shd w:fill="FFFFFF" w:val="clear"/>
        </w:rPr>
        <w:t xml:space="preserve">”), for aggregate net proceeds, before expenses, of approximately $971 million. The Private Placement is expected to close on </w:t>
      </w:r>
      <w:r>
        <w:rPr>
          <w:rFonts w:ascii="Times New Roman;Times;Serif" w:hAnsi="Times New Roman;Times;Serif"/>
          <w:b w:val="false"/>
          <w:i w:val="false"/>
          <w:caps w:val="false"/>
          <w:smallCaps w:val="false"/>
          <w:sz w:val="20"/>
        </w:rPr>
        <w:t xml:space="preserve">October 31, 2024 </w:t>
      </w:r>
      <w:r>
        <w:rPr>
          <w:rFonts w:ascii="Times New Roman;Times;Serif" w:hAnsi="Times New Roman;Times;Serif"/>
          <w:b w:val="false"/>
          <w:i w:val="false"/>
          <w:caps w:val="false"/>
          <w:smallCaps w:val="false"/>
          <w:sz w:val="20"/>
          <w:shd w:fill="FFFFFF" w:val="clear"/>
        </w:rPr>
        <w:t xml:space="preserve">and is subject to customary closing conditions. As a result of the offering described under the caption “Underwriting Agreement” in Item 8.01 below and the Private Placement, Ayar expects to continue to maintain its approximate </w:t>
      </w:r>
      <w:r>
        <w:rPr>
          <w:rFonts w:ascii="Times New Roman;Times;Serif" w:hAnsi="Times New Roman;Times;Serif"/>
          <w:b w:val="false"/>
          <w:i w:val="false"/>
          <w:caps w:val="false"/>
          <w:smallCaps w:val="false"/>
          <w:sz w:val="20"/>
        </w:rPr>
        <w:t>58.8</w:t>
      </w:r>
      <w:r>
        <w:rPr>
          <w:rFonts w:ascii="Times New Roman;Times;Serif" w:hAnsi="Times New Roman;Times;Serif"/>
          <w:b w:val="false"/>
          <w:i w:val="false"/>
          <w:caps w:val="false"/>
          <w:smallCaps w:val="false"/>
          <w:sz w:val="20"/>
          <w:shd w:fill="FFFFFF" w:val="clear"/>
        </w:rPr>
        <w:t xml:space="preserve">% ownership of the Company’s outstanding common stock as of </w:t>
      </w:r>
      <w:r>
        <w:rPr>
          <w:rFonts w:ascii="Times New Roman;Times;Serif" w:hAnsi="Times New Roman;Times;Serif"/>
          <w:b w:val="false"/>
          <w:i w:val="false"/>
          <w:caps w:val="false"/>
          <w:smallCaps w:val="false"/>
          <w:sz w:val="20"/>
        </w:rPr>
        <w:t>September 30, 2024</w:t>
      </w:r>
      <w:r>
        <w:rPr>
          <w:rFonts w:ascii="Times New Roman;Times;Serif" w:hAnsi="Times New Roman;Times;Serif"/>
          <w:b w:val="false"/>
          <w:i w:val="false"/>
          <w:caps w:val="false"/>
          <w:smallCaps w:val="false"/>
          <w:sz w:val="20"/>
          <w:shd w:fill="FFFFFF" w:val="clear"/>
        </w:rPr>
        <w:t>. In addition, given the Underwriter’s (as defined below) exercise of the Overallotment Option (as defined below) disclosed in Item 8.01 below, Ayar has agreed to purchase from us an additional 21,470,459 shares of our common stock to maintain its percentage ownership of Lucid’s outstanding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shares of common stock to be sold to Ayar pursuant to the Subscription Agreement will be sold in reliance on the exemption from registration provided in Section 4(a)(2) of the Securities Act of 1933, as amended (the “</w:t>
      </w:r>
      <w:r>
        <w:rPr>
          <w:rFonts w:ascii="Times New Roman;Times;Serif" w:hAnsi="Times New Roman;Times;Serif"/>
          <w:b/>
          <w:i/>
          <w:caps w:val="false"/>
          <w:smallCaps w:val="false"/>
          <w:sz w:val="20"/>
          <w:shd w:fill="FFFFFF" w:val="clear"/>
        </w:rPr>
        <w:t>Securities Act</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Subscription Agreement contains customary representations, warranties and covenants. Common stock acquired by Ayar under the Subscription Agreement will be subject to the Investor Rights Agreement, dated as of February 22, 2021, by and among the Company, Ayar, and the other parties thereto, as amended from time to time (the “</w:t>
      </w:r>
      <w:r>
        <w:rPr>
          <w:rFonts w:ascii="Times New Roman;Times;Serif" w:hAnsi="Times New Roman;Times;Serif"/>
          <w:b/>
          <w:i/>
          <w:caps w:val="false"/>
          <w:smallCaps w:val="false"/>
          <w:sz w:val="20"/>
          <w:shd w:fill="FFFFFF" w:val="clear"/>
        </w:rPr>
        <w:t>Investor Rights Agreement</w:t>
      </w:r>
      <w:r>
        <w:rPr>
          <w:rFonts w:ascii="Times New Roman;Times;Serif" w:hAnsi="Times New Roman;Times;Serif"/>
          <w:b w:val="false"/>
          <w:i w:val="false"/>
          <w:caps w:val="false"/>
          <w:smallCaps w:val="false"/>
          <w:sz w:val="20"/>
          <w:shd w:fill="FFFFFF" w:val="clear"/>
        </w:rPr>
        <w:t>”), which governs the registration for resale of such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description of the Subscription Agreement does not purport to be complete and is qualified in its entirety by reference to the full text of the Subscription Agreement included as Exhibit 10.1 to this Current Report on Form 8-K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Amendment to Investor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entry into the Subscription Agreement, we intend to enter into an amendment to the Investor Rights Agreement (the “</w:t>
      </w:r>
      <w:r>
        <w:rPr>
          <w:rFonts w:ascii="Times New Roman;Times;Serif" w:hAnsi="Times New Roman;Times;Serif"/>
          <w:b/>
          <w:i/>
          <w:caps w:val="false"/>
          <w:smallCaps w:val="false"/>
          <w:sz w:val="20"/>
          <w:shd w:fill="FFFFFF" w:val="clear"/>
        </w:rPr>
        <w:t>Fifth IRA Amendment</w:t>
      </w:r>
      <w:r>
        <w:rPr>
          <w:rFonts w:ascii="Times New Roman;Times;Serif" w:hAnsi="Times New Roman;Times;Serif"/>
          <w:b w:val="false"/>
          <w:i w:val="false"/>
          <w:caps w:val="false"/>
          <w:smallCaps w:val="false"/>
          <w:sz w:val="20"/>
        </w:rPr>
        <w:t>”). Pursuant to the Fifth IRA Amendment, Ayar will be entitled to certain registration rights, including demand, piggy-back and shelf registration rights, with respect to the shares of common stock Ayar purchased in the Private 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of the Fifth IRA Amendment does not purport to be complete and is qualified in its entirety by reference to the full text of the Form of Fifth IRA Amendment included as Exhibit 10.2 to this Current Report on Form 8-K and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830"/>
        <w:gridCol w:w="335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3.02</w:t>
            </w:r>
          </w:p>
        </w:tc>
        <w:tc>
          <w:tcPr>
            <w:tcW w:w="33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Unregistered Sales of Equity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set forth in Item 1.01 under the caption “Private Placement” above is incorporated by reference into this Item 3.02.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830"/>
        <w:gridCol w:w="119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8.01</w:t>
            </w:r>
          </w:p>
        </w:tc>
        <w:tc>
          <w:tcPr>
            <w:tcW w:w="11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Other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On </w:t>
      </w:r>
      <w:r>
        <w:rPr>
          <w:rFonts w:ascii="Times New Roman;Times;Serif" w:hAnsi="Times New Roman;Times;Serif"/>
          <w:b w:val="false"/>
          <w:i w:val="false"/>
          <w:caps w:val="false"/>
          <w:smallCaps w:val="false"/>
          <w:sz w:val="20"/>
        </w:rPr>
        <w:t xml:space="preserve">October 16, 2024, </w:t>
      </w:r>
      <w:r>
        <w:rPr>
          <w:rFonts w:ascii="Times New Roman;Times;Serif" w:hAnsi="Times New Roman;Times;Serif"/>
          <w:b w:val="false"/>
          <w:i w:val="false"/>
          <w:caps w:val="false"/>
          <w:smallCaps w:val="false"/>
          <w:sz w:val="20"/>
          <w:shd w:fill="FFFFFF" w:val="clear"/>
        </w:rPr>
        <w:t xml:space="preserve">the Company entered into an underwriting agreement, dated </w:t>
      </w:r>
      <w:r>
        <w:rPr>
          <w:rFonts w:ascii="Times New Roman;Times;Serif" w:hAnsi="Times New Roman;Times;Serif"/>
          <w:b w:val="false"/>
          <w:i w:val="false"/>
          <w:caps w:val="false"/>
          <w:smallCaps w:val="false"/>
          <w:sz w:val="20"/>
        </w:rPr>
        <w:t xml:space="preserve">October 16, 2024 </w:t>
      </w:r>
      <w:r>
        <w:rPr>
          <w:rFonts w:ascii="Times New Roman;Times;Serif" w:hAnsi="Times New Roman;Times;Serif"/>
          <w:b w:val="false"/>
          <w:i w:val="false"/>
          <w:caps w:val="false"/>
          <w:smallCaps w:val="false"/>
          <w:sz w:val="20"/>
          <w:shd w:fill="FFFFFF" w:val="clear"/>
        </w:rPr>
        <w:t>(the “</w:t>
      </w:r>
      <w:r>
        <w:rPr>
          <w:rFonts w:ascii="Times New Roman;Times;Serif" w:hAnsi="Times New Roman;Times;Serif"/>
          <w:b/>
          <w:i/>
          <w:caps w:val="false"/>
          <w:smallCaps w:val="false"/>
          <w:sz w:val="20"/>
          <w:shd w:fill="FFFFFF" w:val="clear"/>
        </w:rPr>
        <w:t>Underwriting Agreement</w:t>
      </w:r>
      <w:r>
        <w:rPr>
          <w:rFonts w:ascii="Times New Roman;Times;Serif" w:hAnsi="Times New Roman;Times;Serif"/>
          <w:b w:val="false"/>
          <w:i w:val="false"/>
          <w:caps w:val="false"/>
          <w:smallCaps w:val="false"/>
          <w:sz w:val="20"/>
          <w:shd w:fill="FFFFFF" w:val="clear"/>
        </w:rPr>
        <w:t>”), between the Company and BofA Securities, Inc., (the “</w:t>
      </w:r>
      <w:r>
        <w:rPr>
          <w:rFonts w:ascii="Times New Roman;Times;Serif" w:hAnsi="Times New Roman;Times;Serif"/>
          <w:b/>
          <w:i/>
          <w:caps w:val="false"/>
          <w:smallCaps w:val="false"/>
          <w:sz w:val="20"/>
          <w:shd w:fill="FFFFFF" w:val="clear"/>
        </w:rPr>
        <w:t>Underwriter</w:t>
      </w:r>
      <w:r>
        <w:rPr>
          <w:rFonts w:ascii="Times New Roman;Times;Serif" w:hAnsi="Times New Roman;Times;Serif"/>
          <w:b w:val="false"/>
          <w:i w:val="false"/>
          <w:caps w:val="false"/>
          <w:smallCaps w:val="false"/>
          <w:sz w:val="20"/>
          <w:shd w:fill="FFFFFF" w:val="clear"/>
        </w:rPr>
        <w:t xml:space="preserve">”) relating to the issuance and sale of </w:t>
      </w:r>
      <w:r>
        <w:rPr>
          <w:rFonts w:ascii="Times New Roman;Times;Serif" w:hAnsi="Times New Roman;Times;Serif"/>
          <w:b w:val="false"/>
          <w:i w:val="false"/>
          <w:caps w:val="false"/>
          <w:smallCaps w:val="false"/>
          <w:sz w:val="20"/>
        </w:rPr>
        <w:t xml:space="preserve">262,446,931 </w:t>
      </w:r>
      <w:r>
        <w:rPr>
          <w:rFonts w:ascii="Times New Roman;Times;Serif" w:hAnsi="Times New Roman;Times;Serif"/>
          <w:b w:val="false"/>
          <w:i w:val="false"/>
          <w:caps w:val="false"/>
          <w:smallCaps w:val="false"/>
          <w:sz w:val="20"/>
          <w:shd w:fill="FFFFFF" w:val="clear"/>
        </w:rPr>
        <w:t xml:space="preserve">shares of common stock for aggregate net proceeds, before expenses, to the Company of approximately $680 million. The Underwriter may offer the shares of common stock from time to time for sale in one or more transactions on the Nasdaq Global Market, in the over-the-counter market, through negotiated transactions or otherwise at market prices prevailing at the time of sale, at prices related to prevailing market prices or at negotiated prices. The common stock is being sold pursuant to a prospectus supplement, dated </w:t>
      </w:r>
      <w:r>
        <w:rPr>
          <w:rFonts w:ascii="Times New Roman;Times;Serif" w:hAnsi="Times New Roman;Times;Serif"/>
          <w:b w:val="false"/>
          <w:i w:val="false"/>
          <w:caps w:val="false"/>
          <w:smallCaps w:val="false"/>
          <w:sz w:val="20"/>
        </w:rPr>
        <w:t>October 16, 2024</w:t>
      </w:r>
      <w:r>
        <w:rPr>
          <w:rFonts w:ascii="Times New Roman;Times;Serif" w:hAnsi="Times New Roman;Times;Serif"/>
          <w:b w:val="false"/>
          <w:i w:val="false"/>
          <w:caps w:val="false"/>
          <w:smallCaps w:val="false"/>
          <w:sz w:val="20"/>
          <w:shd w:fill="FFFFFF" w:val="clear"/>
        </w:rPr>
        <w:t xml:space="preserve">, and the accompanying prospectus, dated </w:t>
      </w:r>
      <w:r>
        <w:rPr>
          <w:rFonts w:ascii="Times New Roman;Times;Serif" w:hAnsi="Times New Roman;Times;Serif"/>
          <w:b w:val="false"/>
          <w:i w:val="false"/>
          <w:caps w:val="false"/>
          <w:smallCaps w:val="false"/>
          <w:sz w:val="20"/>
        </w:rPr>
        <w:t>October 16, 2024</w:t>
      </w:r>
      <w:r>
        <w:rPr>
          <w:rFonts w:ascii="Times New Roman;Times;Serif" w:hAnsi="Times New Roman;Times;Serif"/>
          <w:b w:val="false"/>
          <w:i w:val="false"/>
          <w:caps w:val="false"/>
          <w:smallCaps w:val="false"/>
          <w:sz w:val="20"/>
          <w:shd w:fill="FFFFFF" w:val="clear"/>
        </w:rPr>
        <w:t>, each filed with the Securities and Exchange Commission, relating to the Company’s shelf registration statement on Form S-3ASR (File No. 333-</w:t>
      </w:r>
      <w:r>
        <w:rPr>
          <w:rFonts w:ascii="Times New Roman;Times;Serif" w:hAnsi="Times New Roman;Times;Serif"/>
          <w:b w:val="false"/>
          <w:i w:val="false"/>
          <w:caps w:val="false"/>
          <w:smallCaps w:val="false"/>
          <w:sz w:val="20"/>
        </w:rPr>
        <w:t>282677</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granted the Underwriter a 30-day option to purchase up to 39,367,040 additional shares of common stock, solely to cover overallotments (the “</w:t>
      </w:r>
      <w:r>
        <w:rPr>
          <w:rFonts w:ascii="Times New Roman;Times;Serif" w:hAnsi="Times New Roman;Times;Serif"/>
          <w:b/>
          <w:i/>
          <w:caps w:val="false"/>
          <w:smallCaps w:val="false"/>
          <w:sz w:val="20"/>
        </w:rPr>
        <w:t>Overallotment Option</w:t>
      </w:r>
      <w:r>
        <w:rPr>
          <w:rFonts w:ascii="Times New Roman;Times;Serif" w:hAnsi="Times New Roman;Times;Serif"/>
          <w:b w:val="false"/>
          <w:i w:val="false"/>
          <w:caps w:val="false"/>
          <w:smallCaps w:val="false"/>
          <w:sz w:val="20"/>
        </w:rPr>
        <w:t>”). On October 17, 2024, the Underwriter exercised the Overallotment Option to purchase an additional 15,037,594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Company has agreed to indemnify the Underwriters against certain liabilities, including certain liabilities under the Securities Act. If the Company is unable to provide the required indemnification, the Company has agreed to contribute to payments the Underwriters may be required to make in respect of those liabilities. In addition, the Underwriting Agreement contains customary representations, warranties and covenants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foregoing description of the Underwriting Agreement is not complete and is qualified in its entirety by reference to the full text of such agreement, a copy of which is filed herewith as Exhibit 1.1 to this Current Report on Form 8-K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legal opinion of Skadden, Arps, Slate, Meagher &amp; Flom LLP relating to the common stock sold pursuant to the Underwriting Agreement is filed as Exhibit 5.1 to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0"/>
        <w:gridCol w:w="60"/>
        <w:gridCol w:w="9465"/>
      </w:tblGrid>
      <w:tr>
        <w:trPr/>
        <w:tc>
          <w:tcPr>
            <w:tcW w:w="68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w:t>
              <w:br/>
              <w:t>Number</w:t>
            </w:r>
          </w:p>
        </w:tc>
        <w:tc>
          <w:tcPr>
            <w:tcW w:w="60" w:type="dxa"/>
            <w:tcBorders/>
            <w:vAlign w:val="center"/>
          </w:tcPr>
          <w:p>
            <w:pPr>
              <w:pStyle w:val="TableContents"/>
              <w:bidi w:val="0"/>
              <w:spacing w:before="0" w:after="283"/>
              <w:jc w:val="left"/>
              <w:rPr/>
            </w:pPr>
            <w:r>
              <w:rPr/>
              <w:t> </w:t>
            </w:r>
          </w:p>
        </w:tc>
        <w:tc>
          <w:tcPr>
            <w:tcW w:w="946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Description</w:t>
            </w:r>
          </w:p>
        </w:tc>
      </w:tr>
      <w:tr>
        <w:trPr/>
        <w:tc>
          <w:tcPr>
            <w:tcW w:w="680" w:type="dxa"/>
            <w:tcBorders/>
            <w:vAlign w:val="center"/>
          </w:tcPr>
          <w:p>
            <w:pPr>
              <w:pStyle w:val="TableContents"/>
              <w:bidi w:val="0"/>
              <w:spacing w:before="0" w:after="283"/>
              <w:jc w:val="left"/>
              <w:rPr/>
            </w:pPr>
            <w:hyperlink w:anchor="tm2426052d5_ex1-1.htm">
              <w:r>
                <w:rPr>
                  <w:rStyle w:val="InternetLink"/>
                  <w:rFonts w:ascii="Times New Roman;Times;Serif" w:hAnsi="Times New Roman;Times;Serif"/>
                  <w:sz w:val="20"/>
                </w:rPr>
                <w:t>1.1</w:t>
              </w:r>
            </w:hyperlink>
          </w:p>
        </w:tc>
        <w:tc>
          <w:tcPr>
            <w:tcW w:w="6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tm2426052d5_ex1-1.htm">
              <w:r>
                <w:rPr>
                  <w:rStyle w:val="InternetLink"/>
                  <w:rFonts w:ascii="Times New Roman;Times;Serif" w:hAnsi="Times New Roman;Times;Serif"/>
                  <w:sz w:val="20"/>
                </w:rPr>
                <w:t>Underwriting Agreement, dated October 16, 2024, between Lucid Group, Inc., and BofA Securities, Inc.</w:t>
              </w:r>
            </w:hyperlink>
          </w:p>
        </w:tc>
      </w:tr>
      <w:tr>
        <w:trPr/>
        <w:tc>
          <w:tcPr>
            <w:tcW w:w="680" w:type="dxa"/>
            <w:tcBorders/>
            <w:vAlign w:val="center"/>
          </w:tcPr>
          <w:p>
            <w:pPr>
              <w:pStyle w:val="TableContents"/>
              <w:bidi w:val="0"/>
              <w:spacing w:before="0" w:after="283"/>
              <w:jc w:val="left"/>
              <w:rPr/>
            </w:pPr>
            <w:hyperlink w:anchor="tm2426052d5_ex5-1.htm">
              <w:r>
                <w:rPr>
                  <w:rStyle w:val="InternetLink"/>
                  <w:rFonts w:ascii="Times New Roman;Times;Serif" w:hAnsi="Times New Roman;Times;Serif"/>
                  <w:sz w:val="20"/>
                </w:rPr>
                <w:t>5.1</w:t>
              </w:r>
            </w:hyperlink>
          </w:p>
        </w:tc>
        <w:tc>
          <w:tcPr>
            <w:tcW w:w="6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tm2426052d5_ex5-1.htm">
              <w:r>
                <w:rPr>
                  <w:rStyle w:val="InternetLink"/>
                  <w:rFonts w:ascii="Times New Roman;Times;Serif" w:hAnsi="Times New Roman;Times;Serif"/>
                  <w:sz w:val="20"/>
                </w:rPr>
                <w:t>Opinion of Skadden, Arps, Slate, Meagher &amp; Flom LLP.</w:t>
              </w:r>
            </w:hyperlink>
          </w:p>
        </w:tc>
      </w:tr>
      <w:tr>
        <w:trPr/>
        <w:tc>
          <w:tcPr>
            <w:tcW w:w="680" w:type="dxa"/>
            <w:tcBorders/>
            <w:vAlign w:val="center"/>
          </w:tcPr>
          <w:p>
            <w:pPr>
              <w:pStyle w:val="TableContents"/>
              <w:bidi w:val="0"/>
              <w:spacing w:before="0" w:after="283"/>
              <w:jc w:val="left"/>
              <w:rPr/>
            </w:pPr>
            <w:hyperlink w:anchor="tm2426052d5_ex10-1.htm">
              <w:r>
                <w:rPr>
                  <w:rStyle w:val="InternetLink"/>
                  <w:rFonts w:ascii="Times New Roman;Times;Serif" w:hAnsi="Times New Roman;Times;Serif"/>
                  <w:sz w:val="20"/>
                </w:rPr>
                <w:t>10.1</w:t>
              </w:r>
            </w:hyperlink>
          </w:p>
        </w:tc>
        <w:tc>
          <w:tcPr>
            <w:tcW w:w="6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tm2426052d5_ex10-1.htm">
              <w:r>
                <w:rPr>
                  <w:rStyle w:val="InternetLink"/>
                  <w:rFonts w:ascii="Times New Roman;Times;Serif" w:hAnsi="Times New Roman;Times;Serif"/>
                  <w:sz w:val="20"/>
                </w:rPr>
                <w:t xml:space="preserve">Subscription Agreement, dated October 16, 2024, between Lucid Group, Inc. </w:t>
              </w:r>
            </w:hyperlink>
            <w:hyperlink w:anchor="tm2426052d5_ex10-1.htm">
              <w:r>
                <w:rPr>
                  <w:rStyle w:val="InternetLink"/>
                  <w:rFonts w:ascii="Times New Roman;Times;Serif" w:hAnsi="Times New Roman;Times;Serif"/>
                  <w:sz w:val="20"/>
                  <w:shd w:fill="FFFFFF" w:val="clear"/>
                </w:rPr>
                <w:t>and Ayar Third Investment Company.</w:t>
              </w:r>
            </w:hyperlink>
          </w:p>
        </w:tc>
      </w:tr>
      <w:tr>
        <w:trPr/>
        <w:tc>
          <w:tcPr>
            <w:tcW w:w="680" w:type="dxa"/>
            <w:tcBorders/>
            <w:vAlign w:val="center"/>
          </w:tcPr>
          <w:p>
            <w:pPr>
              <w:pStyle w:val="TableContents"/>
              <w:bidi w:val="0"/>
              <w:spacing w:before="0" w:after="283"/>
              <w:jc w:val="left"/>
              <w:rPr/>
            </w:pPr>
            <w:hyperlink w:anchor="tm2426052d5_ex10-2.htm">
              <w:r>
                <w:rPr>
                  <w:rStyle w:val="InternetLink"/>
                  <w:rFonts w:ascii="Times New Roman;Times;Serif" w:hAnsi="Times New Roman;Times;Serif"/>
                  <w:sz w:val="20"/>
                </w:rPr>
                <w:t>10.2</w:t>
              </w:r>
            </w:hyperlink>
          </w:p>
        </w:tc>
        <w:tc>
          <w:tcPr>
            <w:tcW w:w="6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tm2426052d5_ex10-2.htm">
              <w:r>
                <w:rPr>
                  <w:rStyle w:val="InternetLink"/>
                  <w:rFonts w:ascii="Times New Roman;Times;Serif" w:hAnsi="Times New Roman;Times;Serif"/>
                  <w:sz w:val="20"/>
                </w:rPr>
                <w:t>Form of Amendment No. 5 to the Investor Rights Agreement, between Lucid Group, Inc., Ayar Third Investment Company and the other parties thereto.</w:t>
              </w:r>
            </w:hyperlink>
          </w:p>
        </w:tc>
      </w:tr>
      <w:tr>
        <w:trPr/>
        <w:tc>
          <w:tcPr>
            <w:tcW w:w="680" w:type="dxa"/>
            <w:tcBorders/>
            <w:vAlign w:val="center"/>
          </w:tcPr>
          <w:p>
            <w:pPr>
              <w:pStyle w:val="TableContents"/>
              <w:bidi w:val="0"/>
              <w:spacing w:before="0" w:after="283"/>
              <w:jc w:val="left"/>
              <w:rPr/>
            </w:pPr>
            <w:hyperlink w:anchor="tm2426052d5_ex5-1.htm">
              <w:r>
                <w:rPr>
                  <w:rStyle w:val="InternetLink"/>
                  <w:rFonts w:ascii="Times New Roman;Times;Serif" w:hAnsi="Times New Roman;Times;Serif"/>
                  <w:sz w:val="20"/>
                </w:rPr>
                <w:t>23.1</w:t>
              </w:r>
            </w:hyperlink>
          </w:p>
        </w:tc>
        <w:tc>
          <w:tcPr>
            <w:tcW w:w="6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tm2426052d5_ex5-1.htm">
              <w:r>
                <w:rPr>
                  <w:rStyle w:val="InternetLink"/>
                  <w:rFonts w:ascii="Times New Roman;Times;Serif" w:hAnsi="Times New Roman;Times;Serif"/>
                  <w:sz w:val="20"/>
                </w:rPr>
                <w:t>Consent of Skadden, Arps, Slate, Meagher &amp; Flom LLP (included in Exhibit 5.1).</w:t>
              </w:r>
            </w:hyperlink>
          </w:p>
        </w:tc>
      </w:tr>
      <w:tr>
        <w:trPr/>
        <w:tc>
          <w:tcPr>
            <w:tcW w:w="6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(formatted as inline XBRL).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025" w:type="dxa"/>
        <w:jc w:val="left"/>
        <w:tblInd w:w="0" w:type="dxa"/>
        <w:tblLayout w:type="fixed"/>
        <w:tblCellMar>
          <w:top w:w="0" w:type="dxa"/>
          <w:left w:w="0" w:type="dxa"/>
          <w:bottom w:w="0" w:type="dxa"/>
          <w:right w:w="0" w:type="dxa"/>
        </w:tblCellMar>
      </w:tblPr>
      <w:tblGrid>
        <w:gridCol w:w="2180"/>
        <w:gridCol w:w="320"/>
        <w:gridCol w:w="2525"/>
      </w:tblGrid>
      <w:tr>
        <w:trPr/>
        <w:tc>
          <w:tcPr>
            <w:tcW w:w="2180" w:type="dxa"/>
            <w:tcBorders/>
            <w:vAlign w:val="center"/>
          </w:tcPr>
          <w:p>
            <w:pPr>
              <w:pStyle w:val="TableContents"/>
              <w:bidi w:val="0"/>
              <w:spacing w:before="0" w:after="283"/>
              <w:jc w:val="left"/>
              <w:rPr/>
            </w:pPr>
            <w:r>
              <w:rPr>
                <w:rFonts w:ascii="Times New Roman;Times;Serif" w:hAnsi="Times New Roman;Times;Serif"/>
                <w:sz w:val="20"/>
              </w:rPr>
              <w:t xml:space="preserve">Date: </w:t>
            </w:r>
            <w:r>
              <w:rPr/>
              <w:t>October 18, 2024</w:t>
            </w:r>
          </w:p>
        </w:tc>
        <w:tc>
          <w:tcPr>
            <w:tcW w:w="2845"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Lucid Group, Inc.</w:t>
            </w:r>
          </w:p>
        </w:tc>
      </w:tr>
      <w:tr>
        <w:trPr/>
        <w:tc>
          <w:tcPr>
            <w:tcW w:w="2180" w:type="dxa"/>
            <w:tcBorders/>
            <w:vAlign w:val="center"/>
          </w:tcPr>
          <w:p>
            <w:pPr>
              <w:pStyle w:val="TableContents"/>
              <w:bidi w:val="0"/>
              <w:spacing w:before="0" w:after="283"/>
              <w:jc w:val="left"/>
              <w:rPr/>
            </w:pPr>
            <w:r>
              <w:rPr/>
              <w:t> </w:t>
            </w:r>
          </w:p>
        </w:tc>
        <w:tc>
          <w:tcPr>
            <w:tcW w:w="2845" w:type="dxa"/>
            <w:gridSpan w:val="2"/>
            <w:tcBorders/>
            <w:vAlign w:val="center"/>
          </w:tcPr>
          <w:p>
            <w:pPr>
              <w:pStyle w:val="TableContents"/>
              <w:bidi w:val="0"/>
              <w:spacing w:before="0" w:after="283"/>
              <w:jc w:val="both"/>
              <w:rPr/>
            </w:pPr>
            <w:r>
              <w:rPr/>
              <w:t> </w:t>
            </w:r>
          </w:p>
        </w:tc>
      </w:tr>
      <w:tr>
        <w:trPr/>
        <w:tc>
          <w:tcPr>
            <w:tcW w:w="21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2525" w:type="dxa"/>
            <w:tcBorders>
              <w:bottom w:val="single" w:sz="8" w:space="0" w:color="000000"/>
            </w:tcBorders>
            <w:tcMar>
              <w:bottom w:w="28" w:type="dxa"/>
            </w:tcMar>
            <w:vAlign w:val="center"/>
          </w:tcPr>
          <w:p>
            <w:pPr>
              <w:pStyle w:val="TableContents"/>
              <w:bidi w:val="0"/>
              <w:spacing w:before="0" w:after="283"/>
              <w:jc w:val="left"/>
              <w:rPr/>
            </w:pPr>
            <w:r>
              <w:rPr/>
              <w:t>/s/ Gagan Dhingra</w:t>
            </w:r>
          </w:p>
        </w:tc>
      </w:tr>
      <w:tr>
        <w:trPr/>
        <w:tc>
          <w:tcPr>
            <w:tcW w:w="21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25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Gagan Dhingra</w:t>
            </w:r>
          </w:p>
        </w:tc>
      </w:tr>
      <w:tr>
        <w:trPr/>
        <w:tc>
          <w:tcPr>
            <w:tcW w:w="21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25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Interim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2" w:name="tm2426052d5_ex1-1.htm"/>
      <w:bookmarkStart w:id="23" w:name="kstm2426052d5_ex11"/>
      <w:bookmarkEnd w:id="22"/>
      <w:bookmarkEnd w:id="23"/>
      <w:r>
        <w:rPr/>
        <w:t> </w:t>
      </w:r>
      <w:r>
        <w:br w:type="page"/>
      </w:r>
    </w:p>
    <w:p>
      <w:pPr>
        <w:pStyle w:val="TextBody"/>
        <w:bidi w:val="0"/>
        <w:jc w:val="right"/>
        <w:rPr>
          <w:b/>
        </w:rPr>
      </w:pPr>
      <w:r>
        <w:rPr>
          <w:b/>
        </w:rPr>
        <w:t>Exhibit 1.1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LUCID GROUP,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262,446,931 Shares of Class A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October 16,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LUCID GROUP,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262,446,931 Shares of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27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16,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Bryant Park</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Lucid Group, Inc., a Delaware corporation (the “Company”), confirms its agreement with BofA Securities, Inc. (“BofA” or the “Underwriter”) with respect to (i) the sale by the Company and the purchase by BofA of the number of shares of Class A Common Stock, par value $0.0001 per share, of the Company (“Common Stock”) set forth in Schedule A hereto and (ii) the grant by the Company to BofA of the option described in Section 2(b) hereof to purchase all or any part of additional shares of Common Stock, solely to cover over-allotments. The aforesaid 262,446,931 shares of Common Stock (the “Initial Securities”) to be purchased by BofA and all or any part of the 39,367,040 shares of Common Stock subject to the option described in Section 2(b) hereof (the “Option Securities”) are herein called, collectively,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understands that BofA proposes to make a public offering of the Securities as soon as BofA deems advisable after this Agreement has been executed and delivered. Ayar Third Investment Company (“Ayar”) has agreed to purchase 374,717,927 shares of Common Stock from the Company pursuant to the Subscription Agreement between Ayar and the Company, dated as of the date hereof (the “Ayar Agreement”), as Placement Shares (as defined in the Ayar Agreement) with respect to the transactions contemplated hereby (the “Ayar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prepared and filed with the Securities and Exchange Commission (the “Commission”) an automatic shelf registration statement on Form S-3 (File No. 333-282677) covering the public offering and sale of certain securities, including the Securities, under the Securities Act of 1933, as amended (the “1933 Act”), and the rules and regulations promulgated thereunder (the “1933 Act Regulations”), which automatic shelf registration statement became effective under Rule 462(e) under the 1933 Act Regulations (“Rule 462(e)”). Such registration statement, as of any time, means such registration statement as amended by any post-effective amendments thereto to such time, including the exhibits and any schedules thereto at such time, the documents incorporated or deemed to be incorporated by reference therein at such time pursuant to Item 12 of Form S-3 under the 1933 Act and the documents otherwise deemed to be a part thereof as of such time pursuant to Rule 430B under the 1933 Act Regulations (“Rule 430B”), and is referred to herein as the “Registration Statement;” provided, however, that the “Registration Statement” without reference to a time means such registration statement as amended by any post-effective amendments thereto as of the time of the first contract of sale for the Securities, which time shall be considered the “new effective date” of such registration statement with respect to the Securities within the meaning of paragraph (f)(2) of Rule 430B, including the exhibits and schedules thereto as of such time, the documents incorporated or deemed incorporated by reference therein at such time pursuant to Item 12 of Form S-3 under the 1933 Act and the documents otherwise deemed to be a part thereof as of such time pursuant to Rule 430B. Each preliminary prospectus used in connection with the offering of the Securities, including the documents incorporated or deemed to be incorporated by reference therein pursuant to Item 12 of Form S-3 under the 1933 Act, are collectively referred to herein as a “preliminary prospectus.” Promptly after execution and delivery of this Agreement, the Company will prepare and file a final prospectus relating to the Securities in accordance with the provisions of Rule 424(b) under the 1933 Act Regulations (“Rule 424(b)”). The final prospectus, in the form first furnished or made available to BofA for use in connection with the offering of the Securities, including the documents incorporated or deemed to be incorporated by reference therein pursuant to Item 12 of Form S-3 under the 1933 Act, are collectively referred to herein as the “Prospectus.” For purposes of this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system (or any successor system) (“EDGAR”).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Applicable Time” means 6:15 P.M., New York City time, on October 16,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General Disclosure Package” means any Issuer General Use Free Writing Prospectuses issued at or prior to the Applicable Time, the most recent preliminary prospectus (including any documents incorporated therein by reference) that is distributed to investors prior to the Applicable Time and the information included on Schedule B-1 hereto, all considered together.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Issuer Free Writing Prospectus” means any “issuer free writing prospectus,” as defined in Rule 433 of the 1933 Act Regulations (“Rule 433”), including, without limitation, any “free writing prospectus” (as defined in Rule 405 of the 1933 Act Regulations (“Rule 405”)) relating to the Securities that is (i) required to be filed with the Commission by the Company, (ii) a “road show that is a written communication” within the meaning of Rule 433(d)(8)(i), whether or not required to be filed with the Commission, or (iii) exempt from filing with the Commission pursuant to Rule 433(d)(5)(i) because it contains a description of the Securities or of the offering that does not reflect the final terms, in each case in the form filed or required to be filed with the Commission or, if not required to be filed, in the form retained in the Company’s records pursuant to Rule 433(g).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Issuer General Use Free Writing Prospectus” means any Issuer Free Writing Prospectus that is intended for general distribution to prospective investors (other than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electronic road show,” as defined in Rule 433), as evidenced by its being specified in Schedule B-2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Issuer Limited Use Free Writing Prospectus” means any Issuer Free Writing Prospectus that is not an Issuer General Use Free Writing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in this Agreement to financial statements and schedules and other information which is “contained,” “included” or “stated” (or other references of like import) in the Registration Statement, any preliminary prospectus or the Prospectus shall be deemed to include all such financial statements and schedules and other information incorporated or deemed incorporated by reference in the Registration Statement, any preliminary prospectus or the Prospectus, as the case may be, prior to the execution and delivery of this Agreement; and all references in this Agreement to amendments or supplements to the Registration Statement, any preliminary prospectus or the Prospectus shall be deemed to include the filing of any document under the Securities Exchange Act of 1934, as amended, and the rules and regulations promulgated thereunder (collectively, the “1934 Act”), incorporated or deemed to be incorporated by reference in the Registration Statement, such preliminary prospectus or the Prospectus, as the case may be, at or after the execution and delivery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Representations and Warranties by the Company</w:t>
      </w:r>
      <w:r>
        <w:rPr>
          <w:rFonts w:ascii="Times New Roman;Times;Serif" w:hAnsi="Times New Roman;Times;Serif"/>
          <w:b w:val="false"/>
          <w:i w:val="false"/>
          <w:caps w:val="false"/>
          <w:smallCaps w:val="false"/>
          <w:sz w:val="20"/>
        </w:rPr>
        <w:t>. The Company represents and warrants to BofA as of the date hereof, the Applicable Time, the Closing Time (as defined below) and any Date of Delivery (as defined below), and agrees with BofA,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Registration Statement and Prospectuses</w:t>
      </w:r>
      <w:r>
        <w:rPr>
          <w:rFonts w:ascii="Times New Roman;Times;Serif" w:hAnsi="Times New Roman;Times;Serif"/>
          <w:b w:val="false"/>
          <w:i w:val="false"/>
          <w:caps w:val="false"/>
          <w:smallCaps w:val="false"/>
          <w:sz w:val="20"/>
        </w:rPr>
        <w:t>. The Company meets the requirements for use of Form S-3 under the 1933 Act. The Registration Statement is an “automatic shelf registration statement” (as defined in Rule 405) and the Securities have been and remain eligible for registration by the Company on such automatic shelf registration statement. Each of the Registration Statement and any post-effective amendment thereto has become effective under the 1933 Act. No stop order suspending the effectiveness of the Registration Statement or any post-effective amendment thereto has been issued under the 1933 Act, no order preventing or suspending the use of any preliminary prospectus or the Prospectus has been issued and no proceedings for any of those purposes have been instituted or are pending or, to the Company’s knowledge, contemplated. The Company has complied with each request (if any) from the Commission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Registration Statement and any post-effective amendment thereto, at the time of its effectiveness, each deemed effective date with respect to BofA pursuant to Rule 430B(f)(2) under the 1933 Act Regulations, the Applicable Time, the Closing Time and any Date of Delivery complied and will comply in all material respects with the requirements of the 1933 Act and the 1933 Act Regulations. Each preliminary prospectus, the Prospectus and any amendment or supplement thereto, at the time each was filed with the Commission, and, in each case, at the Applicable Time, the Closing Time and any Date of Delivery complied and will comply in all material respects with the requirements of the 1933 Act Regulations and each preliminary prospectus and the Prospectus delivered to BofA for use in connection with this offering was identical to the electronically transmitted copies thereof filed with the Commission pursuant to EDGAR, except to the extent permitted by Regulation 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documents incorporated or deemed to be incorporated by reference in the Registration Statement, any preliminary prospectus and the Prospectus, when they became effective or at the time they were or hereafter are filed with the Commission, complied and will comply in all material respects with the requirements of the 1934 Act and the rules and regulations of the Commission under the 1934 Act (the “1934 Act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Accurate Disclosure</w:t>
      </w:r>
      <w:r>
        <w:rPr>
          <w:rFonts w:ascii="Times New Roman;Times;Serif" w:hAnsi="Times New Roman;Times;Serif"/>
          <w:b w:val="false"/>
          <w:i w:val="false"/>
          <w:caps w:val="false"/>
          <w:smallCaps w:val="false"/>
          <w:sz w:val="20"/>
        </w:rPr>
        <w:t>. Neither the Registration Statement nor any amendment thereto, at its effective time, on the date hereof, at the Closing Time or at any Date of Delivery, contained, contains or will contain an untrue statement of a material fact or omitted, omits or will omit to state a material fact required to be stated therein or necessary to make the statements therein not misleading. At the Applicable Time and any Date of Delivery neither (A) the General Disclosure Package nor (B) any individual Issuer Limited Use Free Writing Prospectus, when considered together with the General Disclosure Package when considered together with the General Disclosure Package, included, includes or will include an untrue statement of a material fact or omitted, omits or will omit to state a material fact necessary in order to make the statements therein, in the light of the circumstances under which they were made, not misleading. Neither the Prospectus nor any amendment or supplement thereto, as of its issue date, at the time of any filing with the Commission pursuant to Rule 424(b), at the Closing Time or at any Date of Delivery, included, includes or will include an untrue statement of a material fact or omitted, omits or will omit to state a material fact necessary in order to make the statements therein, in the light of the circumstances under which they were made, not misleading. The documents incorporated or deemed to be incorporated by reference in the Registration Statement, the General Disclosure Package and the Prospectus, at the time the Registration Statement became effective or when such documents incorporated by reference were filed with the Commission, as the case may be, when read together with the other information in the Registration Statement, the General Disclosure Package or the Prospectus, as the case may be, did not and will not include an untrue statement of a material fact or omit to state a material fact required to be stated therein or necessary to make the statements therein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representations and warranties in this subsection shall not apply to statements in or omissions from the Registration Statement (or any amendment thereto), the General Disclosure Package or the Prospectus (or any amendment or supplement thereto) made in reliance upon and in conformity with written information furnished to the Company by BofA expressly for use therein. For purposes of this Agreement, the only information so furnished shall be the information in the first paragraph under the heading “Underwriting–Commissions and Discounts,” the information in the second, third and fourth paragraphs under the heading “Underwriting–Price Stabilization, Short Positions and Penalty Bids” and the information under the heading “Underwriting–Electronic Offer, Sale and Distribution of Shares” in each case contained in the Prospectus (collectively, the “Underwriter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Issuer Free Writing Prospectuses</w:t>
      </w:r>
      <w:r>
        <w:rPr>
          <w:rFonts w:ascii="Times New Roman;Times;Serif" w:hAnsi="Times New Roman;Times;Serif"/>
          <w:b w:val="false"/>
          <w:i w:val="false"/>
          <w:caps w:val="false"/>
          <w:smallCaps w:val="false"/>
          <w:sz w:val="20"/>
        </w:rPr>
        <w:t>. No Issuer Free Writing Prospectus conflicts or will conflict with the information contained in the Registration Statement or the Prospectus, including any document incorporated by reference therein, and any preliminary or other prospectus deemed to be a part thereof that has not been superseded or modified. Any offer that is a written communication relating to the Securities made prior to the initial filing of the Registration Statement by the Company or any person acting on its behalf (within the meaning, for this paragraph only, of Rule 163(c) of the 1933 Act Regulations) has been filed with the Commission in accordance with the exemption provided by Rule 163 under the 1933 Act Regulations (“Rule 163”) and otherwise complied with the requirements of Rule 163, including without limitation the legending requirement, to qualify such offer for the exemption from Section 5(c) of the 1933 Act provided by Rule 163.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Well-Known Seasoned Issuer</w:t>
      </w:r>
      <w:r>
        <w:rPr>
          <w:rFonts w:ascii="Times New Roman;Times;Serif" w:hAnsi="Times New Roman;Times;Serif"/>
          <w:b w:val="false"/>
          <w:i w:val="false"/>
          <w:caps w:val="false"/>
          <w:smallCaps w:val="false"/>
          <w:sz w:val="20"/>
        </w:rPr>
        <w:t>. (A) At the original effectiveness of the Registration Statement, (B) at the time of the most recent amendment thereto for the purposes of complying with Section 10(a)(3) of the 1933 Act (whether such amendment was by post-effective amendment, incorporated report filed pursuant to Section 13 or 15(d) of the 1934 Act or form of prospectus), (C) at the time the Company or any person acting on its behalf (within the meaning, for this clause only, of Rule 163(c) under the 1933 Act) made any offer relating to the Securities in reliance on the exemption of Rule 163 under the 1933 Act, and (D) as of the Applicable Time, the Company was and is a “well-known seasoned issuer” (as defined in Rule 405).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Company Not Ineligible Issuer</w:t>
      </w:r>
      <w:r>
        <w:rPr>
          <w:rFonts w:ascii="Times New Roman;Times;Serif" w:hAnsi="Times New Roman;Times;Serif"/>
          <w:b w:val="false"/>
          <w:i w:val="false"/>
          <w:caps w:val="false"/>
          <w:smallCaps w:val="false"/>
          <w:sz w:val="20"/>
        </w:rPr>
        <w:t>. At the time of filing the Registration Statement and any post-effective amendment thereto, at the earliest time thereafter that the Company or another offering participant made a bona fide offer (within the meaning of Rule 164(h)(2) of the 1933 Act Regulations) of the Securities and at the date hereof, the Company was not and is not an “ineligible issuer,” as defined in Rule 405, without taking account of any determination by the Commission pursuant to Rule 405 that it is not necessary that the Company be considered an ineligible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r>
        <w:rPr>
          <w:rFonts w:ascii="Times New Roman;Times;Serif" w:hAnsi="Times New Roman;Times;Serif"/>
          <w:b w:val="false"/>
          <w:i w:val="false"/>
          <w:caps w:val="false"/>
          <w:smallCaps w:val="false"/>
          <w:sz w:val="20"/>
          <w:u w:val="single"/>
        </w:rPr>
        <w:t>Independent Accountants</w:t>
      </w:r>
      <w:r>
        <w:rPr>
          <w:rFonts w:ascii="Times New Roman;Times;Serif" w:hAnsi="Times New Roman;Times;Serif"/>
          <w:b w:val="false"/>
          <w:i w:val="false"/>
          <w:caps w:val="false"/>
          <w:smallCaps w:val="false"/>
          <w:sz w:val="20"/>
        </w:rPr>
        <w:t>. The accountants (the “Accountants”) who certified the financial statements and supporting schedules included in the Registration Statement, the General Disclosure Package and the Prospectus are independent public accountants as required by the 1933 Act, the 1933 Act Regulations, the 1934 Act and the 1934 Act Regulations and the Public Company Accounting Oversight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 The financial statements included or incorporated by reference in the Registration Statement, the General Disclosure Package and the Prospectus, together with the related schedules and notes, present fairly, in all material respects, the financial position of the Company and its consolidated subsidiaries at the dates indicated and the statement of operations, stockholders’ equity and cash flows of the Company and its consolidated subsidiaries for the periods specified; said financial statements have been prepared in conformity with U.S. generally accepted accounting principles (“GAAP”) applied on a consistent basis throughout the periods involved. The supporting schedules, if any, present fairly, in all material respects, in accordance with GAAP the information required to be stated therein. The summary financial information included in the Registration Statement, the General Disclosure Package and the Prospectus present fairly, in all material respects, the information shown therein and have been compiled on a basis consistent with that of the audited financial statements included therein. Except as included therein, no historical or pro forma financial statements or supporting schedules are required to be included or incorporated by reference in the Registration Statement, the General Disclosure Package or the Prospectus under the 1933 Act or the 1933 Act Regulations or the 1934 Act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w:t>
      </w:r>
      <w:r>
        <w:rPr>
          <w:rFonts w:ascii="Times New Roman;Times;Serif" w:hAnsi="Times New Roman;Times;Serif"/>
          <w:b w:val="false"/>
          <w:i w:val="false"/>
          <w:caps w:val="false"/>
          <w:smallCaps w:val="false"/>
          <w:sz w:val="20"/>
          <w:u w:val="single"/>
        </w:rPr>
        <w:t>No Material Adverse Change in Business</w:t>
      </w:r>
      <w:r>
        <w:rPr>
          <w:rFonts w:ascii="Times New Roman;Times;Serif" w:hAnsi="Times New Roman;Times;Serif"/>
          <w:b w:val="false"/>
          <w:i w:val="false"/>
          <w:caps w:val="false"/>
          <w:smallCaps w:val="false"/>
          <w:sz w:val="20"/>
        </w:rPr>
        <w:t>. Except as otherwise stated therein, since the respective dates as of which information is given in the Registration Statement, the General Disclosure Package, or the Prospectus, (A) there has been no material adverse change or any development involving a prospective material adverse change in the condition, financial or otherwise, or in the earnings, business or management of the Company and its subsidiaries considered as one enterprise, whether or not arising in the ordinary course of business (a “Material Adverse Effect”), (B) there have been no transactions entered into by the Company or any of its subsidiaries, other than those in the ordinary course of business, which are material with respect to the Company and its subsidiaries considered as one enterprise, and (C) there has been no dividend or distribution of any kind declared, paid or made by the Company on any class of its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w:t>
      </w:r>
      <w:r>
        <w:rPr>
          <w:rFonts w:ascii="Times New Roman;Times;Serif" w:hAnsi="Times New Roman;Times;Serif"/>
          <w:b w:val="false"/>
          <w:i w:val="false"/>
          <w:caps w:val="false"/>
          <w:smallCaps w:val="false"/>
          <w:sz w:val="20"/>
          <w:u w:val="single"/>
        </w:rPr>
        <w:t>Good Standing of the Company</w:t>
      </w:r>
      <w:r>
        <w:rPr>
          <w:rFonts w:ascii="Times New Roman;Times;Serif" w:hAnsi="Times New Roman;Times;Serif"/>
          <w:b w:val="false"/>
          <w:i w:val="false"/>
          <w:caps w:val="false"/>
          <w:smallCaps w:val="false"/>
          <w:sz w:val="20"/>
        </w:rPr>
        <w:t>. The Company has been duly organized and is validly existing as a corporation in good standing under the laws of the State of Delaware and has corporate power and authority to own, lease and operate its properties and to conduct its business as described in the Registration Statement, the General Disclosure Package and the Prospectus and to enter into and perform its obligations under this Agreement; and the Company is duly qualified as a foreign corporation to transact business and is in good standing in each other jurisdiction (to the extent such concept or functional equivalent is applicable in such jurisdiction) in which such qualification is required, whether by reason of the ownership or leasing of property or the conduct of business, except where the failure so to qualify or to be in good standing would not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val="false"/>
          <w:caps w:val="false"/>
          <w:smallCaps w:val="false"/>
          <w:sz w:val="20"/>
          <w:u w:val="single"/>
        </w:rPr>
        <w:t>Good Standing of Subsidiaries</w:t>
      </w:r>
      <w:r>
        <w:rPr>
          <w:rFonts w:ascii="Times New Roman;Times;Serif" w:hAnsi="Times New Roman;Times;Serif"/>
          <w:b w:val="false"/>
          <w:i w:val="false"/>
          <w:caps w:val="false"/>
          <w:smallCaps w:val="false"/>
          <w:sz w:val="20"/>
        </w:rPr>
        <w:t>. Each “significant subsidiary” of the Company (as such term is defined in Rule 1-02 of Regulation S-X) (each, a “Subsidiary” and, collectively, the “Subsidiaries”) has been duly organized and is validly existing in good standing under the laws of the jurisdiction of its incorporation or organization (to the extent such concept or functional equivalent is applicable in such jurisdiction), has corporate or similar power and authority to own, lease and operate its properties and to conduct its business as described in the Registration Statement, the General Disclosure Package and the Prospectus and is duly qualified to transact business and is in good standing in each jurisdiction (to the extent such concept or functional equivalent is applicable in such jurisdiction) in which such qualification is required, whether by reason of the ownership or leasing of property or the conduct of business, except where the failure to so qualify or to be in good standing would not result in a Material Adverse Effect. Except as otherwise disclosed in the Registration Statement, General Disclosure Package or the Prospectus, all of the issued and outstanding capital stock of each Subsidiary has been duly authorized and validly issued, is fully paid and non-assessable and is owned by the Company, directly or through subsidiaries, free and clear of any security interest, mortgage, pledge, lien, encumbrance, claim or equity. None of the outstanding shares of capital stock of any Subsidiary was issued in violation of the preemptive or similar rights of any securityholder of such Subsidiary. The only Subsidiaries of the Company are the Subsidiaries listed on Exhibit 21.1 to the Company’s Annual Report on Form 10-K for the fiscal year ended December 31, 2023, as filed with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The authorized capital stock of the Company conforms as to legal matters to the description thereof contained in the Registration Statement, the General Disclosure Package, and the Prospectus. All outstanding shares of capital stock of the Company have been duly authorized and validly issued in accordance with the Bylaws, fully paid and non-assessable and conform as to legal matters to the description thereof contained in or incorporated by reference into the Prospectus; and the stockholders of the Company have no preemptive rights with respect to the Securities. As of the date of the Company’s most recent Quarterly Report on Form 10-Q, except as disclosed in the Registration Statement, the General Disclosure Package, and the Prospectus, neither the Company nor any of the Subsidiaries has outstanding any options to purchase, or any preemptive rights or other rights to subscribe for or to purchase, any securities or obligations convertible into, or any contracts or commitments to issue or sell, shares of its capital stock or any such options, rights, convertible securities or obligations. All outstanding shares of capital stock and options and other rights to acquire capital stock have been issued in compliance with the registration and qualification provisions of all applicable securities laws and were not issued in violation of any preemptive rights, rights of first refusal or other similar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w:t>
      </w:r>
      <w:r>
        <w:rPr>
          <w:rFonts w:ascii="Times New Roman;Times;Serif" w:hAnsi="Times New Roman;Times;Serif"/>
          <w:b w:val="false"/>
          <w:i w:val="false"/>
          <w:caps w:val="false"/>
          <w:smallCaps w:val="false"/>
          <w:sz w:val="20"/>
          <w:u w:val="single"/>
        </w:rPr>
        <w:t>Authorization of Agreement</w:t>
      </w:r>
      <w:r>
        <w:rPr>
          <w:rFonts w:ascii="Times New Roman;Times;Serif" w:hAnsi="Times New Roman;Times;Serif"/>
          <w:b w:val="false"/>
          <w:i w:val="false"/>
          <w:caps w:val="false"/>
          <w:smallCaps w:val="false"/>
          <w:sz w:val="20"/>
        </w:rPr>
        <w:t>. This Agreement has been duly authorized, executed and delivered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The Securities to be offered by the Company hereunder have been duly authorized and, when issued and delivered and paid for as provided herein, will be duly and validly issued in accordance with the second amended and restated certificate of incorporation of the Company, as subsequently amended from time to time, and the amended and restated bylaws of the Company, as subsequently amended from time to time, and will be fully paid and non-assessable and will conform to the description thereof in the Registration Statement, the General Disclosure Package and the Prospectus; and no such issuance of Securities is subject to any statutory, preemptive or other similar contractual rights to subscribe for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w:t>
      </w:r>
      <w:r>
        <w:rPr>
          <w:rFonts w:ascii="Times New Roman;Times;Serif" w:hAnsi="Times New Roman;Times;Serif"/>
          <w:b w:val="false"/>
          <w:i w:val="false"/>
          <w:caps w:val="false"/>
          <w:smallCaps w:val="false"/>
          <w:sz w:val="20"/>
          <w:u w:val="single"/>
        </w:rPr>
        <w:t>Registration Rights</w:t>
      </w:r>
      <w:r>
        <w:rPr>
          <w:rFonts w:ascii="Times New Roman;Times;Serif" w:hAnsi="Times New Roman;Times;Serif"/>
          <w:b w:val="false"/>
          <w:i w:val="false"/>
          <w:caps w:val="false"/>
          <w:smallCaps w:val="false"/>
          <w:sz w:val="20"/>
        </w:rPr>
        <w:t>. There are no persons with registration rights or other similar rights to have any securities of the Company registered for sale or sold by the Company under the 1933 Act, other than those rights that have been disclosed in the Registration Statement, the General Disclosure Package or the Prospectus. No person has the right to include any securities in the Securities to be sold in the offering contemplated by this Agreement, except for any such right that has been complied with or duly waived.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w:t>
      </w:r>
      <w:r>
        <w:rPr>
          <w:rFonts w:ascii="Times New Roman;Times;Serif" w:hAnsi="Times New Roman;Times;Serif"/>
          <w:b w:val="false"/>
          <w:i w:val="false"/>
          <w:caps w:val="false"/>
          <w:smallCaps w:val="false"/>
          <w:sz w:val="20"/>
          <w:u w:val="single"/>
        </w:rPr>
        <w:t>Absence of Violations, Defaults and Conflicts</w:t>
      </w:r>
      <w:r>
        <w:rPr>
          <w:rFonts w:ascii="Times New Roman;Times;Serif" w:hAnsi="Times New Roman;Times;Serif"/>
          <w:b w:val="false"/>
          <w:i w:val="false"/>
          <w:caps w:val="false"/>
          <w:smallCaps w:val="false"/>
          <w:sz w:val="20"/>
        </w:rPr>
        <w:t>. Neither the Company nor any of its subsidiaries is (A) in material violation of its charter, by-laws or similar organizational document, (B) in default in the performance or observance of any obligation, agreement, covenant or condition contained in any contract, indenture, mortgage, deed of trust, loan or credit agreement, note, lease or other agreement or instrument to which the Company or any of its subsidiaries is a party or by which it or any of them may be bound or to which any of the properties or assets of the Company or any subsidiary is subject (collectively, “Agreements and Instruments”), except for such defaults that would not, singly or in the aggregate, result in a Material Adverse Effect, or (C) in violation of any law, statute, rule, regulation, judgment, order, writ or decree of any arbitrator, court, governmental body, regulatory body, administrative agency or other authority, body or agency having jurisdiction over the Company or any of its subsidiaries or any of their respective properties, assets or operations (each, a “Governmental Entity”), except for such violations that would not, singly or in the aggregate, result in a Material Adverse Effect. Neither the Company nor any of its Subsidiaries is in violation of its charter, by-laws or similar organizational document. The execution, delivery and performance of this Agreement and the consummation of the transactions contemplated herein and in the Registration Statement, the General Disclosure Package and the Prospectus (including the issuance and sale of the Securities and the use of the net proceeds from the sale of the Securities and the Ayar Investment as described therein under the caption “Use of Proceeds”) and compliance by the Company with its obligations hereunder and thereunder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properties or assets of the Company or any subsidiary pursuant to, the Agreements and Instruments (except for such conflicts, breaches, defaults or Repayment Events or liens, charges or encumbrances that would not, singly or in the aggregate, result in a Material Adverse Effect), nor will such action result in any violation of the provisions of (i) the charter, by-laws or similar organizational document of the Company or any of its subsidiaries or (ii) any law, statute, rule, regulation, judgment, order, writ or decree of any Governmental Entity, except, with respect to clause (ii), such violations as would not reasonably be expected to, singly or in the aggregate, result in a Material Adverse Effect. As used herein, a “Repayment Event” means any event or condition which gives the holder of any note, debenture or other evidence of indebtedness (or any person acting on such holder’s behalf) the right to require the repurchase, redemption or repayment of all or a portion of such indebtedness, prior to its stated maturity, by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w:t>
      </w:r>
      <w:r>
        <w:rPr>
          <w:rFonts w:ascii="Times New Roman;Times;Serif" w:hAnsi="Times New Roman;Times;Serif"/>
          <w:b w:val="false"/>
          <w:i w:val="false"/>
          <w:caps w:val="false"/>
          <w:smallCaps w:val="false"/>
          <w:sz w:val="20"/>
          <w:u w:val="single"/>
        </w:rPr>
        <w:t>Absence of Labor Dispute</w:t>
      </w:r>
      <w:r>
        <w:rPr>
          <w:rFonts w:ascii="Times New Roman;Times;Serif" w:hAnsi="Times New Roman;Times;Serif"/>
          <w:b w:val="false"/>
          <w:i w:val="false"/>
          <w:caps w:val="false"/>
          <w:smallCaps w:val="false"/>
          <w:sz w:val="20"/>
        </w:rPr>
        <w:t>. No labor dispute with the employees of the Company or any of its subsidiaries exists or, to the knowledge of the Company, is imminent, and the Company is not aware of any existing or imminent labor disturbance by the employees of any of its or any subsidiary’s principal suppliers, manufacturers, customers or contractors, which, in either case, would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w:t>
      </w:r>
      <w:r>
        <w:rPr>
          <w:rFonts w:ascii="Times New Roman;Times;Serif" w:hAnsi="Times New Roman;Times;Serif"/>
          <w:b w:val="false"/>
          <w:i w:val="false"/>
          <w:caps w:val="false"/>
          <w:smallCaps w:val="false"/>
          <w:sz w:val="20"/>
          <w:u w:val="single"/>
        </w:rPr>
        <w:t>Absence of Proceedings</w:t>
      </w:r>
      <w:r>
        <w:rPr>
          <w:rFonts w:ascii="Times New Roman;Times;Serif" w:hAnsi="Times New Roman;Times;Serif"/>
          <w:b w:val="false"/>
          <w:i w:val="false"/>
          <w:caps w:val="false"/>
          <w:smallCaps w:val="false"/>
          <w:sz w:val="20"/>
        </w:rPr>
        <w:t>. Except as disclosed in the Registration Statement, the General Disclosure Package and the Prospectus, there is no action, suit, proceeding, inquiry or investigation before or brought by any Governmental Entity now pending or, to the knowledge of the Company, threatened, against or affecting the Company or any of its subsidiaries, which might result in a Material Adverse Effect, or which might materially and adversely affect their respective properties or assets or the consummation of the transactions contemplated in this Agreement or the performance by the Company of its obligations hereunder; and the aggregate of all pending legal or governmental proceedings to which the Company or any such subsidiary is a party or of which any of their respective properties or assets is the subject which are not described in the Registration Statement, the General Disclosure Package and the Prospectus, including ordinary routine litigation incidental to the business, could not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w:t>
      </w:r>
      <w:r>
        <w:rPr>
          <w:rFonts w:ascii="Times New Roman;Times;Serif" w:hAnsi="Times New Roman;Times;Serif"/>
          <w:b w:val="false"/>
          <w:i w:val="false"/>
          <w:caps w:val="false"/>
          <w:smallCaps w:val="false"/>
          <w:sz w:val="20"/>
          <w:u w:val="single"/>
        </w:rPr>
        <w:t>Accuracy of Exhibits</w:t>
      </w:r>
      <w:r>
        <w:rPr>
          <w:rFonts w:ascii="Times New Roman;Times;Serif" w:hAnsi="Times New Roman;Times;Serif"/>
          <w:b w:val="false"/>
          <w:i w:val="false"/>
          <w:caps w:val="false"/>
          <w:smallCaps w:val="false"/>
          <w:sz w:val="20"/>
        </w:rPr>
        <w:t>. There are no contracts or documents which are required to be described in the Registration Statement, the General Disclosure Package or the Prospectus or to be filed as exhibits to the Registration Statement which have not been so described and filed as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w:t>
      </w:r>
      <w:r>
        <w:rPr>
          <w:rFonts w:ascii="Times New Roman;Times;Serif" w:hAnsi="Times New Roman;Times;Serif"/>
          <w:b w:val="false"/>
          <w:i w:val="false"/>
          <w:caps w:val="false"/>
          <w:smallCaps w:val="false"/>
          <w:sz w:val="20"/>
          <w:u w:val="single"/>
        </w:rPr>
        <w:t>Absence of Further Requirements</w:t>
      </w:r>
      <w:r>
        <w:rPr>
          <w:rFonts w:ascii="Times New Roman;Times;Serif" w:hAnsi="Times New Roman;Times;Serif"/>
          <w:b w:val="false"/>
          <w:i w:val="false"/>
          <w:caps w:val="false"/>
          <w:smallCaps w:val="false"/>
          <w:sz w:val="20"/>
        </w:rPr>
        <w:t>. No filing with, or authorization, approval, consent, license, order, registration, qualification or decree of, any Governmental Entity is necessary or required for the performance by the Company of its obligations hereunder, in connection with the offering, issuance or sale of the Securities hereunder or the consummation of the transactions contemplated hereby, except (x) such as have been obtained and made under the 1933 Act or the 1934 Act or (y) such consents, approvals, authorizations, orders and registrations or qualifications (A) as may be obtained under applicable securities or blue-sky laws of any state or foreign jurisdiction in connection with the sale of the Securities by BofA or (B) as have been obtained prior to the date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w:t>
      </w:r>
      <w:r>
        <w:rPr>
          <w:rFonts w:ascii="Times New Roman;Times;Serif" w:hAnsi="Times New Roman;Times;Serif"/>
          <w:b w:val="false"/>
          <w:i w:val="false"/>
          <w:caps w:val="false"/>
          <w:smallCaps w:val="false"/>
          <w:sz w:val="20"/>
          <w:u w:val="single"/>
        </w:rPr>
        <w:t>Possession of Licenses and Permits</w:t>
      </w:r>
      <w:r>
        <w:rPr>
          <w:rFonts w:ascii="Times New Roman;Times;Serif" w:hAnsi="Times New Roman;Times;Serif"/>
          <w:b w:val="false"/>
          <w:i w:val="false"/>
          <w:caps w:val="false"/>
          <w:smallCaps w:val="false"/>
          <w:sz w:val="20"/>
        </w:rPr>
        <w:t>. The Company and its subsidiaries possess such permits, licenses, approvals, consents and other authorizations (collectively, “Governmental Licenses”) issued by the appropriate Governmental Entities necessary to conduct the business now operated by them, except where the failure so to possess would not, singly or in the aggregate, result in a Material Adverse Effect. The Company and its subsidiaries are in compliance with the terms and conditions of all Governmental Licenses, except where the failure so to comply would not, singly or in the aggregate, result in a Material Adverse Effect. All of the Governmental Licenses are valid and in full force and effect, except when the invalidity of such Governmental Licenses or the failure of such Governmental Licenses to be in full force and effect would not, singly or in the aggregate, result in a Material Adverse Effect. Neither the Company nor any of its subsidiaries has received any written notice of proceedings relating to the revocation or modification of any Governmental Licenses which, singly or in the aggregate, if the subject of an unfavorable decision, ruling or finding, would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           </w:t>
      </w:r>
      <w:r>
        <w:rPr>
          <w:rFonts w:ascii="Times New Roman;Times;Serif" w:hAnsi="Times New Roman;Times;Serif"/>
          <w:b w:val="false"/>
          <w:i w:val="false"/>
          <w:caps w:val="false"/>
          <w:smallCaps w:val="false"/>
          <w:sz w:val="20"/>
          <w:u w:val="single"/>
        </w:rPr>
        <w:t>Title to Property</w:t>
      </w:r>
      <w:r>
        <w:rPr>
          <w:rFonts w:ascii="Times New Roman;Times;Serif" w:hAnsi="Times New Roman;Times;Serif"/>
          <w:b w:val="false"/>
          <w:i w:val="false"/>
          <w:caps w:val="false"/>
          <w:smallCaps w:val="false"/>
          <w:sz w:val="20"/>
        </w:rPr>
        <w:t>. The Company and its subsidiaries have good and marketable title to all real property owned by them and good title to all other properties owned by them, in each case, free and clear of all mortgages, pledges, liens, security interests, claims, restrictions or encumbrances of any kind except such as (A) are described in the Registration Statement, the General Disclosure Package and the Prospectus or (B) do not, singly or in the aggregate, materially affect the value of such property and do not interfere with the use made and proposed to be made of such property by the Company or any of its subsidiaries; and all of the leases and subleases material to the business of the Company and its subsidiaries, considered as one enterprise, and under which the Company or any of its subsidiaries holds properties described in the Registration Statement, the General Disclosure Package or the Prospectus, are in full force and effect, and neither the Company nor any such subsidiary has received any written notice of any material claim of any sort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 that would, singly or in the aggregate, be material to the Company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          </w:t>
      </w:r>
      <w:r>
        <w:rPr>
          <w:rFonts w:ascii="Times New Roman;Times;Serif" w:hAnsi="Times New Roman;Times;Serif"/>
          <w:b w:val="false"/>
          <w:i w:val="false"/>
          <w:caps w:val="false"/>
          <w:smallCaps w:val="false"/>
          <w:sz w:val="20"/>
          <w:u w:val="single"/>
        </w:rPr>
        <w:t>Possession of Intellectual Property</w:t>
      </w:r>
      <w:r>
        <w:rPr>
          <w:rFonts w:ascii="Times New Roman;Times;Serif" w:hAnsi="Times New Roman;Times;Serif"/>
          <w:b w:val="false"/>
          <w:i w:val="false"/>
          <w:caps w:val="false"/>
          <w:smallCaps w:val="false"/>
          <w:sz w:val="20"/>
        </w:rPr>
        <w:t>. Except as would not, singly or in the aggregate, result in a Material Adverse Effect, (A) the Company and its subsidiaries own or possess, or can acquire on reasonable terms, adequate patents, patent rights, licenses, inventions, copyrights, know-how (including trade secrets and other unpatented and/or unpatentable proprietary or confidential information, systems or procedures), trademarks, service marks, trade names or other intellectual property (collectively, “Intellectual Property”) necessary to carry on the business now operated by them and (B) neither the Company nor any of its subsidiaries has received any written notice or is otherwise aware of any infringement of or conflict with asserted rights of others with respect to any Intellectual Property or of any facts or circumstances which would render any Intellectual Property owned by the Company or its Subsidiaries invalid or inadequate to protect the interest of the Company or any of its Subsidiaries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(xxiii)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Except as described in the Registration Statement, the General Disclosure Package and the Prospectus or would not, singly or in the aggregate, result in a Material Adverse Effect, (A)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asbestos-containing materials or mold (collectively, “Hazardous Materials”) or to the manufacture, processing, distribution, use, treatment, storage, disposal, transport or handling of Hazardous Materials (collectively, “Environmental Laws”), (B) the Company and its subsidiaries have all permits, authorizations and approvals required under any applicable Environmental Laws and are each in compliance with their requirements, (C) there are no pending or threatened administrative, regulatory or judicial actions, suits, demands, demand letters, claims, liens, notices of noncompliance or violation, investigations or proceedings relating to any Environmental Law against the Company or any of its subsidiaries and (D) to the Company’s knowledge, there are no events or circumstances that would reasonably be expected to form the basis of an order for clean-up or remediation, or an action, suit or proceeding by any private party or Governmental Entity, against or affecting the Company or any of its subsidiaries relating to Hazardous Materials or any Environmental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(xxiv)        </w:t>
      </w:r>
      <w:r>
        <w:rPr>
          <w:rFonts w:ascii="Times New Roman;Times;Serif" w:hAnsi="Times New Roman;Times;Serif"/>
          <w:b w:val="false"/>
          <w:i w:val="false"/>
          <w:caps w:val="false"/>
          <w:smallCaps w:val="false"/>
          <w:sz w:val="20"/>
          <w:u w:val="single"/>
        </w:rPr>
        <w:t>Accounting Controls and Disclosure Controls</w:t>
      </w:r>
      <w:r>
        <w:rPr>
          <w:rFonts w:ascii="Times New Roman;Times;Serif" w:hAnsi="Times New Roman;Times;Serif"/>
          <w:b w:val="false"/>
          <w:i w:val="false"/>
          <w:caps w:val="false"/>
          <w:smallCaps w:val="false"/>
          <w:sz w:val="20"/>
        </w:rPr>
        <w:t>. The Company and each of its subsidiaries maintain effective internal control over financial reporting (as defined under Rule 13-a15 and 15d-15 under the 1934 Act Regulations) and a system of internal accounting controls sufficient to provide reasonable assurances that (A) transactions are executed in accordance with management’s general or specific authorization; (B) transactions are recorded as necessary to permit preparation of financial statements in conformity with GAAP and to maintain accountability for assets; (C) access to assets is permitted only in accordance with management’s general or specific authorization; (D) the recorded accountability for assets is compared with the existing assets at reasonable intervals and appropriate action is taken with respect to any differences; and (E) the interactive data in eXtensible Business Reporting Language included or incorporated by reference in the Registration Statement, the General Disclosure Package and the Prospectus fairly presents the information called for in all material respects and is prepared in accordance with the Commission's rules and guidelines applicable thereto. Except as described in the Registration Statement, the General Disclosure Package and the Prospectus, since the end of the Company’s most recent audited fiscal year, there has been (1) no material weakness in the Company’s internal control over financial reporting (whether or not remediated) and (2) no change in the Company’s internal control over financial reporting that has materially affected, or is reasonably likely to materially affect, the Company’s internal control over financial reporting. The Company and each of its subsidiaries maintain an effective system of disclosure controls and procedures (as defined in Rule 13a 15 and Rule 15d 15 under the Exchange Act) that are designed to ensure that information required to be disclosed by the Company in the reports that it files or submits under the 1934 Act is recorded, processed, summarized and reported, within the time periods specified in the Commission’s rules and forms, and is accumulated and communicated to the Company’s management, including its principal executive officer or officers and principal financial officer or officers, as appropriate, to allow timely decisions regarding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          </w:t>
      </w:r>
      <w:r>
        <w:rPr>
          <w:rFonts w:ascii="Times New Roman;Times;Serif" w:hAnsi="Times New Roman;Times;Serif"/>
          <w:b w:val="false"/>
          <w:i w:val="false"/>
          <w:caps w:val="false"/>
          <w:smallCaps w:val="false"/>
          <w:sz w:val="20"/>
          <w:u w:val="single"/>
        </w:rPr>
        <w:t>Compliance with the Sarbanes-Oxley Act.</w:t>
      </w:r>
      <w:r>
        <w:rPr>
          <w:rFonts w:ascii="Times New Roman;Times;Serif" w:hAnsi="Times New Roman;Times;Serif"/>
          <w:b w:val="false"/>
          <w:i w:val="false"/>
          <w:caps w:val="false"/>
          <w:smallCaps w:val="false"/>
          <w:sz w:val="20"/>
        </w:rPr>
        <w:t xml:space="preserve"> There is and has been no failure on the part of the Company or any of the Company’s directors or officers, in their capacities as such, to comply in all material respects with any applicable provision of the Sarbanes-Oxley Act of 2002 and the rules and regulations promulgated in connection therewith, including Section 402 related to loans and Sections 302 and 906 related to certifications.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         </w:t>
      </w:r>
      <w:r>
        <w:rPr>
          <w:rFonts w:ascii="Times New Roman;Times;Serif" w:hAnsi="Times New Roman;Times;Serif"/>
          <w:b w:val="false"/>
          <w:i w:val="false"/>
          <w:caps w:val="false"/>
          <w:smallCaps w:val="false"/>
          <w:sz w:val="20"/>
          <w:u w:val="single"/>
        </w:rPr>
        <w:t>Payment of Taxes</w:t>
      </w:r>
      <w:r>
        <w:rPr>
          <w:rFonts w:ascii="Times New Roman;Times;Serif" w:hAnsi="Times New Roman;Times;Serif"/>
          <w:b w:val="false"/>
          <w:i w:val="false"/>
          <w:caps w:val="false"/>
          <w:smallCaps w:val="false"/>
          <w:sz w:val="20"/>
        </w:rPr>
        <w:t>. All United States federal, state, local and non-U.S. income tax returns of the Company and its subsidiaries required by law to be filed have been filed and all taxes shown by such returns or otherwise assessed, which are due and payable, have been paid, except assessments against which appeals have been or will be promptly taken and as to which adequate reserves have been provided, and except where the failure to file such a return or pay such a tax would not, in the aggregate, reasonably be expected to have a Material Adverse Effect. The charges, accruals and reserves on the books of the Company in respect of any income and corporation tax liability for any years not finally determined are adequate to meet any assessments or re-assessments for additional income tax for any years not finally determined, except to the extent of any inadequacy that would not in the aggregate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(xxvii)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and its subsidiaries carry or are entitled to the benefits of insurance, with financially sound and reputable insurers, in such amounts and covering such risks as is generally maintained by companies of established repute engaged in the same or similar business, and all such insurance is in full force and effect. The Company has no reason to believe that it or any of its subsidiaries will not be able (A) to renew its existing insurance coverage as and when such policies expire or (B) to obtain comparable coverage from similar institutions as may be necessary or appropriate to conduct its business as now conducted and at a cost that would not result in a Material Adverse Effect. Neither of the Company nor any of its subsidiaries has been denied any insurance coverage which it has sought or for which it has applied during the past three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(xxviii)       </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 The Company is not required, and upon the issuance and sale of the Securities as herein contemplated and the application of the net proceeds therefrom as described in the Registration Statement, the General Disclosure Package and the Prospectus will not be required, to register as an “investment company” under the Investment Company Act of 1940,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(xxix)         </w:t>
      </w:r>
      <w:r>
        <w:rPr>
          <w:rFonts w:ascii="Times New Roman;Times;Serif" w:hAnsi="Times New Roman;Times;Serif"/>
          <w:b w:val="false"/>
          <w:i w:val="false"/>
          <w:caps w:val="false"/>
          <w:smallCaps w:val="false"/>
          <w:sz w:val="20"/>
          <w:u w:val="single"/>
        </w:rPr>
        <w:t>Absence of Manipulation</w:t>
      </w:r>
      <w:r>
        <w:rPr>
          <w:rFonts w:ascii="Times New Roman;Times;Serif" w:hAnsi="Times New Roman;Times;Serif"/>
          <w:b w:val="false"/>
          <w:i w:val="false"/>
          <w:caps w:val="false"/>
          <w:smallCaps w:val="false"/>
          <w:sz w:val="20"/>
        </w:rPr>
        <w:t>. Neither the Company nor any controlled affiliate of the Company has taken, nor will the Company or any controlled affiliate take, directly or indirectly, any action which is designed, or would be expected, to cause or result in, or which constitutes, the stabilization or manipulation of the price of any security of the Company to facilitate the sale or resale of the Securities or to result in a violation of Regulation M under the 1934 Act. Except as permitted by the 1933 Act and furnished and consented to by BofA prior to distribution, the Company has not distributed any registration statement, preliminary prospectus, prospectus or other offering material in connection with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           </w:t>
      </w:r>
      <w:r>
        <w:rPr>
          <w:rFonts w:ascii="Times New Roman;Times;Serif" w:hAnsi="Times New Roman;Times;Serif"/>
          <w:b w:val="false"/>
          <w:i w:val="false"/>
          <w:caps w:val="false"/>
          <w:smallCaps w:val="false"/>
          <w:sz w:val="20"/>
          <w:u w:val="single"/>
        </w:rPr>
        <w:t>Foreign Corrupt Practices Act</w:t>
      </w:r>
      <w:r>
        <w:rPr>
          <w:rFonts w:ascii="Times New Roman;Times;Serif" w:hAnsi="Times New Roman;Times;Serif"/>
          <w:b w:val="false"/>
          <w:i w:val="false"/>
          <w:caps w:val="false"/>
          <w:smallCaps w:val="false"/>
          <w:sz w:val="20"/>
        </w:rPr>
        <w:t>. None of the Company, any of its subsidiaries or, to the knowledge of the Company, any director, officer, agent, employee, controlled affiliate or other person acting on behalf of the Company or any of its subsidiaries is aware of or has taken any action, directly or indirectly, that would result in a violation by such persons of the Foreign Corrupt Practices Act of 1977, as amended, and the rules and regulations thereunder (the “FCPA”),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and, to the knowledge of the Company, its controlled affiliates have conducted their businesses in compliance with the FCPA and have instituted and maintain policies and procedures designed to ensure, and which are reasonably expected to continue to ensure, continued compliance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(xxxi)          </w:t>
      </w:r>
      <w:r>
        <w:rPr>
          <w:rFonts w:ascii="Times New Roman;Times;Serif" w:hAnsi="Times New Roman;Times;Serif"/>
          <w:b w:val="false"/>
          <w:i w:val="false"/>
          <w:caps w:val="false"/>
          <w:smallCaps w:val="false"/>
          <w:sz w:val="20"/>
          <w:u w:val="single"/>
        </w:rPr>
        <w:t>Money Laundering Laws</w:t>
      </w:r>
      <w:r>
        <w:rPr>
          <w:rFonts w:ascii="Times New Roman;Times;Serif" w:hAnsi="Times New Roman;Times;Serif"/>
          <w:b w:val="false"/>
          <w:i w:val="false"/>
          <w:caps w:val="false"/>
          <w:smallCaps w:val="false"/>
          <w:sz w:val="20"/>
        </w:rPr>
        <w:t>. The operations of the Company and its subsidiaries are and have been conducted at all times in material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Entity (collectively, the “Money Laundering Laws”); and no action, suit or proceeding by or before any Governmental Entity involving the Company or any of its subsidiaries with respect to the Money Laundering Laws is pending or, to the knowledge of the Company,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(xxxii)        </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None of the Company, any of its subsidiaries or, to the knowledge of the Company, any director, officer, agent, employee, controlled affiliate or representative of the Company or any of its subsidiaries is an individual or entity (“Person”) currently the subject or target of any sanctions of or administered or enforced by the United States Government, including, without limitation, the U.S. Department of the Treasury’s Office of Foreign Assets Control (“OFAC”), the U.S. Department of State, the United Nations Security Council, the European Union, His Majesty’s Treasury, or other relevant sanctions authority (collectively, “Sanctions”), nor is the Company or any of its subsidiaries located, organized or resident in a country or territory that is the subject of Sanctions (including, without limitation, Cuba, Iran, North Korea, Syria, the Crimea, Kherson, and Zaporizhzhia regions of Ukraine, the so-called Donetsk People’s Republic and the so-called Luhansk People’s Republic); and the Company will not, directly or indirectly, use the proceeds of the sale of the Securities, or lend, contribute or otherwise make available such proceeds to any subsidiaries, joint venture partners or other Person, to (A) fund any activities of or business with any Person, or in any country or territory, that, at the time of such funding, is the subject of Sanctions or in any other manner that will result in a violation by any Person (including any Person participating in the transaction, whether as underwriter, advisor, investor or otherwise) of Sanctions or (B) finance any of the Company’s operations or activities (including joint ventures) in the Russian Federation, or to purchase Russian origin crude oil or refined petroleum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(xxxiii)        </w:t>
      </w:r>
      <w:r>
        <w:rPr>
          <w:rFonts w:ascii="Times New Roman;Times;Serif" w:hAnsi="Times New Roman;Times;Serif"/>
          <w:b w:val="false"/>
          <w:i w:val="false"/>
          <w:caps w:val="false"/>
          <w:smallCaps w:val="false"/>
          <w:sz w:val="20"/>
          <w:u w:val="single"/>
        </w:rPr>
        <w:t>Lending Relationship</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Except as disclosed in the Registration Statement, the General Disclosure Package and the Prospectus, the Company (i) does not have any material lending or other relationship with any bank or lending affiliate of BofA and (ii) does not intend to use any of the proceeds from the sale of the Securities to repay any outstanding debt owed to any affiliate of BofA.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(xxxiv)       </w:t>
      </w:r>
      <w:r>
        <w:rPr>
          <w:rFonts w:ascii="Times New Roman;Times;Serif" w:hAnsi="Times New Roman;Times;Serif"/>
          <w:b w:val="false"/>
          <w:i w:val="false"/>
          <w:caps w:val="false"/>
          <w:smallCaps w:val="false"/>
          <w:sz w:val="20"/>
          <w:u w:val="single"/>
        </w:rPr>
        <w:t>Statistical and Market-Related Data</w:t>
      </w:r>
      <w:r>
        <w:rPr>
          <w:rFonts w:ascii="Times New Roman;Times;Serif" w:hAnsi="Times New Roman;Times;Serif"/>
          <w:b w:val="false"/>
          <w:i w:val="false"/>
          <w:caps w:val="false"/>
          <w:smallCaps w:val="false"/>
          <w:sz w:val="20"/>
        </w:rPr>
        <w:t>. Any statistical and market-related data included in the Registration Statement, the General Disclosure Package or the Prospectus are based on or derived from sources that the Company believes, after reasonable inquiry, to be reliable and accurate and, to the extent required, the Company has obtained the written consent to the use of such data from such 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(xxxv)        </w:t>
      </w:r>
      <w:r>
        <w:rPr>
          <w:rFonts w:ascii="Times New Roman;Times;Serif" w:hAnsi="Times New Roman;Times;Serif"/>
          <w:b w:val="false"/>
          <w:i w:val="false"/>
          <w:caps w:val="false"/>
          <w:smallCaps w:val="false"/>
          <w:sz w:val="20"/>
          <w:u w:val="single"/>
        </w:rPr>
        <w:t>Cybersecurity</w:t>
      </w:r>
      <w:r>
        <w:rPr>
          <w:rFonts w:ascii="Times New Roman;Times;Serif" w:hAnsi="Times New Roman;Times;Serif"/>
          <w:b w:val="false"/>
          <w:i w:val="false"/>
          <w:caps w:val="false"/>
          <w:smallCaps w:val="false"/>
          <w:sz w:val="20"/>
        </w:rPr>
        <w:t>. (A) Except as would not, singly or in the aggregate, result in a Material Adverse Effect, there has been no security breach or incident, unauthorized access or disclosure, or other compromise of or relating to the Company or its subsidiaries information technology and computer systems, networks, hardware, software, data and databases (including the data and information maintained, processed or stored by the Company and its subsidiaries), equipment or technology (collectively, “IT Systems and Data”); (B) neither the Company nor its subsidiaries have been notified of, and each of them have no knowledge of any material event or condition that could result in, any security breach or incident, unauthorized access or disclosure or other compromise to their IT Systems and Data; and (C) the Company and its subsidiaries have implemented commercially reasonable controls, policies, procedures, and technological safeguards designed to maintain and protect the integrity, continuous operation, redundancy and security of their material IT Systems and Data reasonably consistent with applicable binding industry standards and practices, or as required by applicable binding regulatory standards. The Company and its subsidiaries are presently in material compliance with all applicable laws or statutes and all judgments, orders, rules and regulations of any court or arbitrator or governmental or regulatory authority, public-facing policies and statements and contractual obligations relating to the privacy and security of IT Systems and Data and to the protection of such IT Systems and Data from unauthorized use, access, misappropriation or modification.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(xxxvi)       </w:t>
      </w:r>
      <w:r>
        <w:rPr>
          <w:rFonts w:ascii="Times New Roman;Times;Serif" w:hAnsi="Times New Roman;Times;Serif"/>
          <w:b w:val="false"/>
          <w:i w:val="false"/>
          <w:caps w:val="false"/>
          <w:smallCaps w:val="false"/>
          <w:sz w:val="20"/>
          <w:u w:val="single"/>
        </w:rPr>
        <w:t>Uyghur Forced Labor Prevention Act.</w:t>
      </w:r>
      <w:r>
        <w:rPr>
          <w:rFonts w:ascii="Times New Roman;Times;Serif" w:hAnsi="Times New Roman;Times;Serif"/>
          <w:b w:val="false"/>
          <w:i w:val="false"/>
          <w:caps w:val="false"/>
          <w:smallCaps w:val="false"/>
          <w:sz w:val="20"/>
        </w:rPr>
        <w:t xml:space="preserve"> The operations of neither the Company nor any of its subsidiaries involve the sale or import into the United States of any goods, wares, articles, or merchandise mined, produced, or manufactured wholly or in part in the Xinjiang Uyghur Autonomous Region of the People's Republic of China, or produced by an entity on the Department of Homeland Security’s UFLPA Entity List.  In the past five (5) years, none of the goods the Company or any of its subsidiaries have sold or imported into the United States have been seized by Customs and Border Patrol as being contrary to Section 307 of the Tariff Act of 1930 due to the use of forced labor in China in the production of such goods, and neither the Company nor its subsidiaries have been the subject of any fines, penalties, enforcement actions, litigation, or other liability in relation to the use of forced labor or alleged forced labor in the supply chain of the products it sells or imports into the United States. The Company and its subsidiaries have implemented policies and controls reasonably designed to mitigate the risks of forced labor in their supply chains and to ensure compliance with Section 307 of the Tariff Act of 1930.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(xxxvii)      </w:t>
      </w:r>
      <w:r>
        <w:rPr>
          <w:rFonts w:ascii="Times New Roman;Times;Serif" w:hAnsi="Times New Roman;Times;Serif"/>
          <w:b w:val="false"/>
          <w:i w:val="false"/>
          <w:caps w:val="false"/>
          <w:smallCaps w:val="false"/>
          <w:sz w:val="20"/>
          <w:u w:val="single"/>
        </w:rPr>
        <w:t>Issuer Free Writing Prospectus</w:t>
      </w:r>
      <w:r>
        <w:rPr>
          <w:rFonts w:ascii="Times New Roman;Times;Serif" w:hAnsi="Times New Roman;Times;Serif"/>
          <w:b w:val="false"/>
          <w:i w:val="false"/>
          <w:caps w:val="false"/>
          <w:smallCaps w:val="false"/>
          <w:sz w:val="20"/>
        </w:rPr>
        <w:t>. The Company has not made any offer relating to the Securities that would constitute an Issuer Free Writing Prospectus or that would otherwise constitute a “free writing prospectus,” or a portion thereof, required to be filed by the Company with the Commission or retained by the Company under Rule 433.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Officer’s Certificates</w:t>
      </w:r>
      <w:r>
        <w:rPr>
          <w:rFonts w:ascii="Times New Roman;Times;Serif" w:hAnsi="Times New Roman;Times;Serif"/>
          <w:b w:val="false"/>
          <w:i w:val="false"/>
          <w:caps w:val="false"/>
          <w:smallCaps w:val="false"/>
          <w:sz w:val="20"/>
        </w:rPr>
        <w:t>. Any certificate signed by any officer of the Company or any of its subsidiaries delivered to BofA or to counsel for BofA shall be deemed a representation and warranty by the Company to BofA as to the matters covered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w:t>
      </w:r>
      <w:r>
        <w:rPr>
          <w:rFonts w:ascii="Times New Roman;Times;Serif" w:hAnsi="Times New Roman;Times;Serif"/>
          <w:b w:val="false"/>
          <w:i w:val="false"/>
          <w:caps w:val="false"/>
          <w:smallCaps w:val="false"/>
          <w:sz w:val="20"/>
          <w:u w:val="single"/>
        </w:rPr>
        <w:t>Sale and Delivery to BofA; Closing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Initial Securities</w:t>
      </w:r>
      <w:r>
        <w:rPr>
          <w:rFonts w:ascii="Times New Roman;Times;Serif" w:hAnsi="Times New Roman;Times;Serif"/>
          <w:b w:val="false"/>
          <w:i w:val="false"/>
          <w:caps w:val="false"/>
          <w:smallCaps w:val="false"/>
          <w:sz w:val="20"/>
        </w:rPr>
        <w:t>. On the basis of the representations and warranties herein contained and subject to the terms and conditions herein set forth, the Company agrees to sell to BofA, and BofA agrees to purchase from the Company, at the price per share set forth in Schedule A, that number of Securities set forth in Schedule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Option Securities</w:t>
      </w:r>
      <w:r>
        <w:rPr>
          <w:rFonts w:ascii="Times New Roman;Times;Serif" w:hAnsi="Times New Roman;Times;Serif"/>
          <w:b w:val="false"/>
          <w:i w:val="false"/>
          <w:caps w:val="false"/>
          <w:smallCaps w:val="false"/>
          <w:sz w:val="20"/>
        </w:rPr>
        <w:t>. In addition, on the basis of the representations and warranties herein contained and subject to the terms and conditions herein set forth, the Company hereby grants an option to BofA to purchase, solely to cover over-allotments, up to an additional 39,367,040 shares of Common Stock, as set forth in Schedule B, at the price per share set forth in Schedule A less an amount per share equal to any dividends or distributions declared by the Company and payable on the Initial Securities but not payable on the Option Securities. The option hereby granted may be exercised for 30 days after the date hereof and may be exercised in whole or in part at any time from time to time upon notice by BofA to the Company setting forth the number of Option Securities as to which BofA is then exercising the option and the time and date of payment and delivery for such Option Securities. Any such time and date of delivery (a “Date of Delivery”) shall be determined by BofA, but shall not be later than seven full business days after the exercise of said option, nor in any event prior to the Closing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Payment</w:t>
      </w:r>
      <w:r>
        <w:rPr>
          <w:rFonts w:ascii="Times New Roman;Times;Serif" w:hAnsi="Times New Roman;Times;Serif"/>
          <w:b w:val="false"/>
          <w:i w:val="false"/>
          <w:caps w:val="false"/>
          <w:smallCaps w:val="false"/>
          <w:sz w:val="20"/>
        </w:rPr>
        <w:t>. Payment of the purchase price for, and delivery of certificates or security entitlements for, the Initial Securities shall be made at the offices of Simpson Thacher &amp; Bartlett LLP, 2475 Hanover Street, Palo Alto, CA 94304, or at such other place as shall be agreed upon by BofA and the Company, at 9:00 A.M. (New York City time) on the first (second, if the pricing occurs after 4:30 P.M. (New York City time) on any given day) business day after the date hereof, or such other time not later than ten business days after such date as shall be agreed upon by BofA and the Company (such time and date of payment and delivery being herein called “Closing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the event that any or all of the Option Securities are purchased by BofA, payment of the purchase price for, and delivery of certificates or security entitlements for, such Option Securities shall be made at the above-mentioned offices, or at such other place as shall be agreed upon by BofA and the Company, on each Date of Delivery as specified in the notice from BofA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shall be made to the Company by wire transfer of immediately available funds to a bank account designated by the Company against delivery to BofA for the account of BofA of certificates or security entitlements for the Securities to be purchased by BofA.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            </w:t>
      </w:r>
      <w:r>
        <w:rPr>
          <w:rFonts w:ascii="Times New Roman;Times;Serif" w:hAnsi="Times New Roman;Times;Serif"/>
          <w:b w:val="false"/>
          <w:i w:val="false"/>
          <w:caps w:val="false"/>
          <w:smallCaps w:val="false"/>
          <w:sz w:val="20"/>
          <w:u w:val="single"/>
        </w:rPr>
        <w:t>Covenants of the Company</w:t>
      </w:r>
      <w:r>
        <w:rPr>
          <w:rFonts w:ascii="Times New Roman;Times;Serif" w:hAnsi="Times New Roman;Times;Serif"/>
          <w:b w:val="false"/>
          <w:i w:val="false"/>
          <w:caps w:val="false"/>
          <w:smallCaps w:val="false"/>
          <w:sz w:val="20"/>
        </w:rPr>
        <w:t>. The Company covenants with BofA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Compliance with Securities Regulations and Commission Requests</w:t>
      </w:r>
      <w:r>
        <w:rPr>
          <w:rFonts w:ascii="Times New Roman;Times;Serif" w:hAnsi="Times New Roman;Times;Serif"/>
          <w:b w:val="false"/>
          <w:i w:val="false"/>
          <w:caps w:val="false"/>
          <w:smallCaps w:val="false"/>
          <w:sz w:val="20"/>
        </w:rPr>
        <w:t>. The Company, subject to Section 3(b), will comply with the requirements of Rule 430B, and will notify BofA immediately, and confirm the notice in writing, (i) when any post-effective amendment to the Registration Statement shall become effective or any amendment or supplement to the Prospectus shall have been filed, (ii) of the receipt of any comments from the Commission, (iii) of any request by the Commission for any amendment to the Registration Statement or any amendment or supplement to the Prospectus, including any document incorporated by reference therein or for additional information, (iv) of the issuance by the Commission of any stop order suspending the effectiveness of the Registration Statement or any post-effective amendment or of any order preventing or suspending the use of any preliminary prospectus or the Prospectus, or of the suspension of the qualification of the Securities for offering or sale in any jurisdiction, or of the initiation or threatening of any proceedings for any of such purposes or of any examination pursuant to Section 8(d) or 8(e) of the 1933 Act concerning the Registration Statement and (v) if the Company becomes the subject of a proceeding under Section 8A of the 1933 Act in connection with the offering of the Securities. The Company will effect all filings required under Rule 424(b), in the manner and within the time period required by Rule 424(b) (without reliance on Rule 424(b)(8)), and will take such steps as it deems necessary to ascertain promptly whether the form of prospectus transmitted for filing under Rule 424(b) was received for filing by the Commission and, in the event that it was not, it will promptly file such prospectus. The Company will make every reasonable effort to prevent the issuance of any stop order, prevention or suspension and, if any such order is issued, to obtain the lifting thereof at the earliest possible moment. The Company shall pay the required Commission filing fees relating to the Securities within the time required by Rule 456(b)(1)(i) under the 1933 Act Regulations without regard to the proviso therein and otherwise in accordance with Rules 456(b) and 457(r) under the 1933 Act Regulations (including, if applicable, by updating the “Calculation of Registration Fee” table in accordance with Rule 456(b)(1)(ii) either in a post-effective amendment to the Registration Statement or on the cover page of a prospectus filed pursuant to Rule 424(b)).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Continued Compliance with Securities Laws</w:t>
      </w:r>
      <w:r>
        <w:rPr>
          <w:rFonts w:ascii="Times New Roman;Times;Serif" w:hAnsi="Times New Roman;Times;Serif"/>
          <w:b w:val="false"/>
          <w:i w:val="false"/>
          <w:caps w:val="false"/>
          <w:smallCaps w:val="false"/>
          <w:sz w:val="20"/>
        </w:rPr>
        <w:t>. The Company will comply with the 1933 Act, the 1933 Act Regulations, the 1934 Act and the 1934 Act Regulations so as to permit the completion of the distribution of the Securities as contemplated in this Agreement and in the Registration Statement, the General Disclosure Package and the Prospectus. If at any time when a prospectus relating to the Securities is (or, but for the exception afforded by Rule 172 of the 1933 Act Regulations (“Rule 172”), would be) required by the 1933 Act to be delivered in connection with sales of the Securities, any event shall occur or condition shall exist as a result of which it is necessary, in the opinion of counsel for BofA or for the Company, to (i) amend the Registration Statement in order that the Registration Statement will not include an untrue statement of a material fact or omit to state a material fact required to be stated therein or necessary to make the statements therein not misleading, (ii) amend or supplement the General Disclosure Package or the Prospectus in order that the General Disclosure Package or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General Disclosure Package or the Prospectus, as the case may be, in order to comply with the requirements of the 1933 Act or the 1933 Act Regulations, the Company will promptly (A) give BofA notice of such event, (B) prepare any amendment or supplement as may be necessary to correct such statement or omission or to make the Registration Statement, the General Disclosure Package or the Prospectus comply with such requirements and, a reasonable amount of time prior to any proposed filing or use, furnish BofA with copies of any such amendment or supplement and (C) file with the Commission any such amendment or supplement; provided that the Company shall not file or use any such amendment or supplement to which BofA or counsel for BofA shall object. The Company will furnish to BofA such number of copies of such amendment or supplement as BofA may reasonably request. The Company has given BofA notice of any filings made pursuant to the 1934 Act or 1934 Act Regulations within 48 hours prior to the Applicable Time; the Company will give BofA notice of its intention to make any such filing from the Applicable Time to the Closing Time and will furnish BofA with copies of any such documents a reasonable amount of time prior to such proposed filing, as the case may be, and will not file or use any such document to which BofA or counsel for BofA shall reasonably object.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Delivery of Registration Statements</w:t>
      </w:r>
      <w:r>
        <w:rPr>
          <w:rFonts w:ascii="Times New Roman;Times;Serif" w:hAnsi="Times New Roman;Times;Serif"/>
          <w:b w:val="false"/>
          <w:i w:val="false"/>
          <w:caps w:val="false"/>
          <w:smallCaps w:val="false"/>
          <w:sz w:val="20"/>
        </w:rPr>
        <w:t>. The Company has furnished or will deliver to BofA and counsel for BofA, without charge, conformed copies of the Registration Statement as originally filed and each amendment thereto (including exhibits filed therewith or incorporated by reference therein and documents incorporated or deemed to be incorporated by reference therein) and signed copies of all consents and certificates of experts, and will also deliver to BofA, without charge, a conformed copy of the Registration Statement as originally filed and each amendment thereto (without exhibits) for BofA. The copies of the Registration Statement and each amendment thereto furnished to BofA will be identical to the electronically transmitted copies thereof filed with the Commission pursuant to EDGAR, except to the extent permitted by Regulation 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Delivery of Prospectuses</w:t>
      </w:r>
      <w:r>
        <w:rPr>
          <w:rFonts w:ascii="Times New Roman;Times;Serif" w:hAnsi="Times New Roman;Times;Serif"/>
          <w:b w:val="false"/>
          <w:i w:val="false"/>
          <w:caps w:val="false"/>
          <w:smallCaps w:val="false"/>
          <w:sz w:val="20"/>
        </w:rPr>
        <w:t>. The Company has delivered to BofA, without charge, as many copies of each preliminary prospectus as BofA reasonably requested, and the Company hereby consents to the use of such copies for purposes permitted by the 1933 Act. The Company will furnish to BofA, without charge, during the period when a prospectus relating to the Securities is (or, but for the exception afforded by Rule 172, would be) required to be delivered under the 1933 Act, such number of copies of the Prospectus (as amended or supplemented) as BofA may reasonably request. The Prospectus and any amendments or supplements thereto furnished to BofA will be identical to the electronically transmitted copies thereof filed with the Commission pursuant to EDGAR, except to the extent permitted by Regulation 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Blue Sky Qualifications</w:t>
      </w:r>
      <w:r>
        <w:rPr>
          <w:rFonts w:ascii="Times New Roman;Times;Serif" w:hAnsi="Times New Roman;Times;Serif"/>
          <w:b w:val="false"/>
          <w:i w:val="false"/>
          <w:caps w:val="false"/>
          <w:smallCaps w:val="false"/>
          <w:sz w:val="20"/>
        </w:rPr>
        <w:t>. The Company will use its best efforts, in cooperation with BofA, to qualify the Securities for offering and sale under the applicable securities laws of such states and other jurisdictions (domestic or foreign) as BofA may designate and to maintain such qualifications in effect so long as required to complete the distribution of the Securities;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Rule 158</w:t>
      </w:r>
      <w:r>
        <w:rPr>
          <w:rFonts w:ascii="Times New Roman;Times;Serif" w:hAnsi="Times New Roman;Times;Serif"/>
          <w:b w:val="false"/>
          <w:i w:val="false"/>
          <w:caps w:val="false"/>
          <w:smallCaps w:val="false"/>
          <w:sz w:val="20"/>
        </w:rPr>
        <w:t>. The Company will timely file such reports pursuant to the 1934 Act as are necessary in order to make generally available to its securityholders as soon as practicable an earnings statement for the purposes of, and to provide to BofA the benefits contemplated by, the last paragraph of Section 11(a) of the 1933 Act; provided the Company will be deemed to have furnished such statement to securityholders and BofA to the extent it is filed with the Commission pursuant to EDGAR.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 The Company will use the net proceeds received by it from the sale of the Securities and the Ayar Investment in the manner specified in the Registration Statement, the General Disclosure Package and the Prospectus under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Listing</w:t>
      </w:r>
      <w:r>
        <w:rPr>
          <w:rFonts w:ascii="Times New Roman;Times;Serif" w:hAnsi="Times New Roman;Times;Serif"/>
          <w:b w:val="false"/>
          <w:i w:val="false"/>
          <w:caps w:val="false"/>
          <w:smallCaps w:val="false"/>
          <w:sz w:val="20"/>
        </w:rPr>
        <w:t>. The Company will use its best efforts to effect and maintain the listing of the Securities on the Nasdaq Global Select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Restriction on Sale of Securities</w:t>
      </w:r>
      <w:r>
        <w:rPr>
          <w:rFonts w:ascii="Times New Roman;Times;Serif" w:hAnsi="Times New Roman;Times;Serif"/>
          <w:b w:val="false"/>
          <w:i w:val="false"/>
          <w:caps w:val="false"/>
          <w:smallCaps w:val="false"/>
          <w:sz w:val="20"/>
        </w:rPr>
        <w:t>. During a period of 120 days from the date of the Prospectus, the Company will not, without the prior written consent of BofA, (i) directly or indirectly, offer, pledge,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Common Stock or file or confidentially submit any registration statement under the 1933 Act with respect to any of the foregoing; or (ii) enter into any swap or any other agreement or any transaction that transfers, in whole or in part, directly or indirectly, the economic consequence of ownership of the Common Stock, whether any such swap or transaction described in clause (i) or (ii) above is to be settled by delivery of Common Stock or other securities, in cash or otherwise. The foregoing sentence shall not apply to (A) the Securities to be sold hereunder, (B) any shares of Common Stock issued by the Company upon the exercise of an option, warrant or employee stock purchase plan purchase right or the conversion of a security outstanding on the date hereof and referred to in the Registration Statement, the General Disclosure Package and the Prospectus, (C) any shares of Common Stock issued upon the exercise, vesting or settlement of equity awards or the issuance of equity awards granted pursuant to existing employee benefit plans of the Company existing on the date hereof referred to in the Registration Statement, the General Disclosure Package and the Prospectus, (D) any shares of Common Stock issued pursuant to any non-employee director stock plan or dividend reinvestment plan referred to in the Registration Statement, the General Disclosure Package and the Prospectus, (E) the entry into any agreements to issue or the issuance of Common Stock and/or Related Securities (not exceeding 5% of the aggregate number of Common Stock outstanding immediately following the offering of Securities pursuant to this Agreement) in connection with one or more acquisitions by the Company, either directly or through any of its subsidiaries (which acquisitions may be structured as acquisition of equity or assets, merger or consolidation), (F) any shares of Common Stock issued to Ayar pursuant to the terms of the Ayar Investment or (G) any action required to be taken under the Company’s Investor Rights Agreement dated February 22, 2021, as amended from time to time; provided that each transferee who receives Common Stock or Related Securities pursuant to clause (E) shall execute or otherwise be subject to an agreement substantially in the form of Exhibit A hereto for the remainder of the relevant 120-day period hereunder. For purposes of the foregoing, “Related Securities” shall mean any options or warrants or other rights to acquire Common Stock or any securities exchangeable or exercisable for or convertible into Common Stock, or to acquire other securities or rights ultimately exchangeable or exercisable for, or convertible into,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caps w:val="false"/>
          <w:smallCaps w:val="false"/>
          <w:sz w:val="20"/>
        </w:rPr>
        <w:t>Reporting Requirements</w:t>
      </w:r>
      <w:r>
        <w:rPr>
          <w:rFonts w:ascii="Times New Roman;Times;Serif" w:hAnsi="Times New Roman;Times;Serif"/>
          <w:b w:val="false"/>
          <w:i w:val="false"/>
          <w:caps w:val="false"/>
          <w:smallCaps w:val="false"/>
          <w:sz w:val="20"/>
        </w:rPr>
        <w:t>. The Company, during the period when a Prospectus relating to the Securities is (or, but for the exception afforded by Rule 172, would be) required to be delivered under the 1933 Act, will file all documents required to be filed with the Commission pursuant to the 1934 Act within the time periods required by the 1934 Act and 1934 Act Regulations. Additionally, the Company shall report the use of proceeds from the issuance of the Securities as may be required under Rule 463 under the 1933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caps w:val="false"/>
          <w:smallCaps w:val="false"/>
          <w:sz w:val="20"/>
        </w:rPr>
        <w:t>Issuer Free Writing Prospectuses</w:t>
      </w:r>
      <w:r>
        <w:rPr>
          <w:rFonts w:ascii="Times New Roman;Times;Serif" w:hAnsi="Times New Roman;Times;Serif"/>
          <w:b w:val="false"/>
          <w:i w:val="false"/>
          <w:caps w:val="false"/>
          <w:smallCaps w:val="false"/>
          <w:sz w:val="20"/>
        </w:rPr>
        <w:t>. The Company agrees that it will not make any offer relating to the Securities that would constitute an Issuer Free Writing Prospectus or that would otherwise constitute a “free writing prospectus,” or a portion thereof, required to be filed by the Company with the Commission or retained by the Company under Rule 433 unless it obtains the prior written consent of BofA; provided that BofA will be deemed to have consented to the Issuer Free Writing Prospectuses listed on Schedule B-2 hereto and any “road show that is a written communication” within the meaning of Rule 433(d)(8)(i) that has been reviewed by BofA. The Company represents that it has treated or agrees that it will treat each such free writing prospectus consented to, or deemed consented to, by BofA as an “issuer free writing prospectus,” as defined in Rule 433, and that it has complied and will comply with the applicable requirements of Rule 433 with respect thereto, including timely filing with the Commission where required, legending and record keeping. If at any time following issuance of an Issuer Free Writing Prospectus there occurred or occurs an event or development as a result of which such Issuer Free Writing Prospectus conflicted or would conflict with the information contained in the Registration Statement, any preliminary prospectus or the Prospectus or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BofA and will promptly amend or supplement, at its own expense, such Issuer Free Writing Prospectus to eliminate or correct such conflict, untrue statement or omission.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caps w:val="false"/>
          <w:smallCaps w:val="false"/>
          <w:sz w:val="20"/>
        </w:rPr>
        <w:t>No Amendment, Modification, Termination or Waiver of Ayar Agreement</w:t>
      </w:r>
      <w:r>
        <w:rPr>
          <w:rFonts w:ascii="Times New Roman;Times;Serif" w:hAnsi="Times New Roman;Times;Serif"/>
          <w:b w:val="false"/>
          <w:i w:val="false"/>
          <w:caps w:val="false"/>
          <w:smallCaps w:val="false"/>
          <w:sz w:val="20"/>
        </w:rPr>
        <w:t>. Prior to the closing of the Ayar Investment, the Company agrees that, without prior written consent of BofA, the Company will not, amend, modify, terminate or waive any provision of the Ayar Agreement relating to the economic terms of the Ayar Investment as disclosed in the General Disclosure Package and the Prospectus and will use all commercially reasonable efforts to consummate the closing contemplated by the Ayar Agreement in accordance with its terms. In addition, the Company agrees that, without the prior written consent of BofA, the Company will not amend, modify, terminate or waive Section 5.06 of the Ayar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            </w:t>
      </w:r>
      <w:r>
        <w:rPr>
          <w:rFonts w:ascii="Times New Roman;Times;Serif" w:hAnsi="Times New Roman;Times;Serif"/>
          <w:b w:val="false"/>
          <w:i w:val="false"/>
          <w:caps w:val="false"/>
          <w:smallCaps w:val="false"/>
          <w:sz w:val="20"/>
          <w:u w:val="single"/>
        </w:rPr>
        <w:t>Payment of Expenses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Expenses</w:t>
      </w:r>
      <w:r>
        <w:rPr>
          <w:rFonts w:ascii="Times New Roman;Times;Serif" w:hAnsi="Times New Roman;Times;Serif"/>
          <w:b w:val="false"/>
          <w:i w:val="false"/>
          <w:caps w:val="false"/>
          <w:smallCaps w:val="false"/>
          <w:sz w:val="20"/>
        </w:rPr>
        <w:t xml:space="preserve">. The Company will pay or cause to be paid all expenses incident to the performance of its obligations under this Agreement, including (i) the preparation, printing and filing of the Registration Statement (including financial statements and exhibits) as originally filed and each amendment thereto, (ii) the preparation, printing and delivery to BofA of copies of each preliminary prospectus, each Issuer Free Writing Prospectus and the Prospectus and any amendments or supplements thereto and any costs associated with electronic delivery of any of the foregoing by BofA to investors, (iii) the preparation, issuance and delivery of the certificates or security entitlements for the Securities to BofA, including any stock or other transfer taxes and any stamp or other duties payable upon the sale, issuance or delivery of the Securities to BofA, (iv) the fees and disbursements of the Company’s counsel, accountants and other advisors, (v) the qualification of the Securities under securities laws in accordance with the provisions of Section 3(e) hereof, including filing fees and the reasonable and documented fees and disbursements of counsel for BofA in connection therewith and in connection with the preparation of the Blue Sky Survey and any supplement thereto, (vi) the fees and expenses of any transfer agent or registrar for the Securities, (vii) the costs and expenses of the Company relating to investor presentations on any “road show” undertaken in connection with the marketing of the Securities, including without limitation, expenses associated with the production of road show slides and graphics, fees and expenses of any consultants engaged in connection with the road show presentations, (viii) the filing fees incident to, and the reasonable and documented fees and disbursements of counsel to BofA in connection with the review by FINRA of the terms of the sale of the Securities and (ix) the fees and expenses incurred in connection with the listing of the Securities on the Nasdaq Global Select Market;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fees and disbursements of counsel to BofA incurred in connection with clauses (v) and (viii) shall not exceed $15,000.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Termination of Agreement</w:t>
      </w:r>
      <w:r>
        <w:rPr>
          <w:rFonts w:ascii="Times New Roman;Times;Serif" w:hAnsi="Times New Roman;Times;Serif"/>
          <w:b w:val="false"/>
          <w:i w:val="false"/>
          <w:caps w:val="false"/>
          <w:smallCaps w:val="false"/>
          <w:sz w:val="20"/>
        </w:rPr>
        <w:t>. If this Agreement is terminated by BofA in accordance with the provisions of Section 5 or Section 9 hereof, the Company shall reimburse BofA for all of its out-of-pocket expenses, including the reasonable fees and disbursements of counsel for BofA.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            </w:t>
      </w:r>
      <w:r>
        <w:rPr>
          <w:rFonts w:ascii="Times New Roman;Times;Serif" w:hAnsi="Times New Roman;Times;Serif"/>
          <w:b w:val="false"/>
          <w:i w:val="false"/>
          <w:caps w:val="false"/>
          <w:smallCaps w:val="false"/>
          <w:sz w:val="20"/>
          <w:u w:val="single"/>
        </w:rPr>
        <w:t>Conditions of BofA’s Obligations</w:t>
      </w:r>
      <w:r>
        <w:rPr>
          <w:rFonts w:ascii="Times New Roman;Times;Serif" w:hAnsi="Times New Roman;Times;Serif"/>
          <w:b w:val="false"/>
          <w:i w:val="false"/>
          <w:caps w:val="false"/>
          <w:smallCaps w:val="false"/>
          <w:sz w:val="20"/>
        </w:rPr>
        <w:t>. The obligations of BofA hereunder are subject to the accuracy of the representations and warranties of the Company contained herein or in certificates of any officer of the Company or any of its subsidiaries delivered pursuant to the provisions hereof, to the performance by the Company of its covenants and other obligations hereunder, and to the following further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Effectiveness of Registration Statement</w:t>
      </w:r>
      <w:r>
        <w:rPr>
          <w:rFonts w:ascii="Times New Roman;Times;Serif" w:hAnsi="Times New Roman;Times;Serif"/>
          <w:b w:val="false"/>
          <w:i w:val="false"/>
          <w:caps w:val="false"/>
          <w:smallCaps w:val="false"/>
          <w:sz w:val="20"/>
        </w:rPr>
        <w:t>. The Registration Statement has become effective and, at the Closing Time, no stop order suspending the effectiveness of the Registration Statement or any post-effective amendment thereto has been issued under the 1933 Act, no order preventing or suspending the use of any preliminary prospectus or the Prospectus has been issued and no proceedings for any of those purposes have been instituted or are pending or, to the Company’s knowledge, contemplated; and the Company has complied with each request (if any) from the Commission for additional information. The Company shall have paid the required Commission filing fees relating to the Securities within the time period required by Rule 456(b)(1)(i) under the 1933 Act Regulations without regard to the proviso therein and otherwise in accordance with Rules 456(b) and 457(r) under the 1933 Act Regulations and, if applicable, shall have updated the “Calculation of Registration Fee” table in accordance with Rule 456(b)(1)(ii) either in a post-effective amendment to the Registration Statement or on the cover page of a prospectus filed pursuant to Rule 424(b).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Opinions of Counsel for Company</w:t>
      </w:r>
      <w:r>
        <w:rPr>
          <w:rFonts w:ascii="Times New Roman;Times;Serif" w:hAnsi="Times New Roman;Times;Serif"/>
          <w:b w:val="false"/>
          <w:i w:val="false"/>
          <w:caps w:val="false"/>
          <w:smallCaps w:val="false"/>
          <w:sz w:val="20"/>
        </w:rPr>
        <w:t>. At the Closing Time, BofA shall have received the favorable opinions, dated the Closing Time, of Skadden, Arps, Slate, Meagher &amp; Flom LLP, counsel for the Company, in form and substance satisfactory to counsel for BofA.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Opinion of Counsel for BofA</w:t>
      </w:r>
      <w:r>
        <w:rPr>
          <w:rFonts w:ascii="Times New Roman;Times;Serif" w:hAnsi="Times New Roman;Times;Serif"/>
          <w:b w:val="false"/>
          <w:i w:val="false"/>
          <w:caps w:val="false"/>
          <w:smallCaps w:val="false"/>
          <w:sz w:val="20"/>
        </w:rPr>
        <w:t>. At the Closing Time, BofA shall have received the favorable opinion, dated the Closing Time, of Simpson Thacher &amp; Bartlett LLP, counsel for BofA, in form and substance satisfactory to BofA. In giving such opinion such counsel may rely, as to all matters governed by the laws of jurisdictions other than the law of the State of New York, the General Corporation Law of the State of Delaware and the federal securities laws of the United States, upon the opinions of counsel satisfactory to BofA. Such counsel may also state that, insofar as such opinion involves factual matters, they have relied, to the extent they deem proper, upon certificates of officers and other representatives of the Company and its subsidiaries and certificates of public officials.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Officers’ Certificate</w:t>
      </w:r>
      <w:r>
        <w:rPr>
          <w:rFonts w:ascii="Times New Roman;Times;Serif" w:hAnsi="Times New Roman;Times;Serif"/>
          <w:b w:val="false"/>
          <w:i w:val="false"/>
          <w:caps w:val="false"/>
          <w:smallCaps w:val="false"/>
          <w:sz w:val="20"/>
        </w:rPr>
        <w:t>. At the Closing Time, there shall not have been, since the date hereof or since the respective dates as of which information is given in the Registration Statement, the General Disclosure Package or the Prospectus, any Material Adverse Effect, and BofA shall have received a certificate of the Chief Executive Officer or of the Chief Financial Officer of the Company, dated the Closing Time, to the effect that (i) there has been no such material adverse change, (ii) the representations and warranties of the Company in this Agreement are true and correct with the same force and effect as though expressly made at and as of the Closing Time, (iii) the Company has complied with all agreements and satisfied all conditions on its part to be performed or satisfied at or prior to the Closing Time, and (iv) no stop order suspending the effectiveness of the Registration Statement under the 1933 Act has been issued, no order preventing or suspending the use of any preliminary prospectus or the Prospectus has been issued and no proceedings for any of those purposes have been instituted or are pending or, to their knowledge, contemplated.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Accountant’s Comfort Letters</w:t>
      </w:r>
      <w:r>
        <w:rPr>
          <w:rFonts w:ascii="Times New Roman;Times;Serif" w:hAnsi="Times New Roman;Times;Serif"/>
          <w:b w:val="false"/>
          <w:i w:val="false"/>
          <w:caps w:val="false"/>
          <w:smallCaps w:val="false"/>
          <w:sz w:val="20"/>
        </w:rPr>
        <w:t>. At the time of the execution of this Agreement, BofA shall have received from each of (i) Grant Thornton LLP and (ii) KPMG LLP a letter, dated such date, in form and substance satisfactory to BofA, containing statements and information of the type ordinarily included in accountants’ “comfort letters” to underwriters with respect to the financial statements and certain financial information contained in the Registration Statement, the General Disclosure Package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Bring-down Comfort Letters</w:t>
      </w:r>
      <w:r>
        <w:rPr>
          <w:rFonts w:ascii="Times New Roman;Times;Serif" w:hAnsi="Times New Roman;Times;Serif"/>
          <w:b w:val="false"/>
          <w:i w:val="false"/>
          <w:caps w:val="false"/>
          <w:smallCaps w:val="false"/>
          <w:sz w:val="20"/>
        </w:rPr>
        <w:t>. At the Closing Time, BofA shall have received from each of (i) Grant Thornton LLP and (ii) KPMG LLP a letter, dated as of the Closing Time, to the effect that they reaffirm the statements made in the letters furnished pursuant to subsection (e) of this Section, except that the specified date referred to shall be a date not more than three business days prior to the Closing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Approval of Listing</w:t>
      </w:r>
      <w:r>
        <w:rPr>
          <w:rFonts w:ascii="Times New Roman;Times;Serif" w:hAnsi="Times New Roman;Times;Serif"/>
          <w:b w:val="false"/>
          <w:i w:val="false"/>
          <w:caps w:val="false"/>
          <w:smallCaps w:val="false"/>
          <w:sz w:val="20"/>
        </w:rPr>
        <w:t>. At the Closing Time, the Securities shall have been approved for listing on the Nasdaq Global Select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No Objection</w:t>
      </w:r>
      <w:r>
        <w:rPr>
          <w:rFonts w:ascii="Times New Roman;Times;Serif" w:hAnsi="Times New Roman;Times;Serif"/>
          <w:b w:val="false"/>
          <w:i w:val="false"/>
          <w:caps w:val="false"/>
          <w:smallCaps w:val="false"/>
          <w:sz w:val="20"/>
        </w:rPr>
        <w:t>. FINRA has confirmed that it has not raised any objection with respect to the fairness and reasonableness of the underwriting terms and arrangements relating to the offering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Lock-up Agreements</w:t>
      </w:r>
      <w:r>
        <w:rPr>
          <w:rFonts w:ascii="Times New Roman;Times;Serif" w:hAnsi="Times New Roman;Times;Serif"/>
          <w:b w:val="false"/>
          <w:i w:val="false"/>
          <w:caps w:val="false"/>
          <w:smallCaps w:val="false"/>
          <w:sz w:val="20"/>
        </w:rPr>
        <w:t>. At the date of this Agreement, BofA shall have received an agreement substantially in the form of Exhibit A hereto signed by the persons listed on Schedule C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caps w:val="false"/>
          <w:smallCaps w:val="false"/>
          <w:sz w:val="20"/>
        </w:rPr>
        <w:t>Securities Ratings</w:t>
      </w:r>
      <w:r>
        <w:rPr>
          <w:rFonts w:ascii="Times New Roman;Times;Serif" w:hAnsi="Times New Roman;Times;Serif"/>
          <w:b w:val="false"/>
          <w:i w:val="false"/>
          <w:caps w:val="false"/>
          <w:smallCaps w:val="false"/>
          <w:sz w:val="20"/>
        </w:rPr>
        <w:t>. Neither the Company nor its subsidiaries have any debt securities or preferred stock that are rated by any “nationally recognized statistical rating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caps w:val="false"/>
          <w:smallCaps w:val="false"/>
          <w:sz w:val="20"/>
        </w:rPr>
        <w:t>Chief Financial Officer’s Certificate</w:t>
      </w:r>
      <w:r>
        <w:rPr>
          <w:rFonts w:ascii="Times New Roman;Times;Serif" w:hAnsi="Times New Roman;Times;Serif"/>
          <w:b w:val="false"/>
          <w:i w:val="false"/>
          <w:caps w:val="false"/>
          <w:smallCaps w:val="false"/>
          <w:sz w:val="20"/>
        </w:rPr>
        <w:t>. At each of the time of the execution of this Agreement and at the Closing Time, the chief financial officer of the Company shall have furnished to BofA a certificate, in form and substance reasonably satisfactory to BofA.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caps w:val="false"/>
          <w:smallCaps w:val="false"/>
          <w:sz w:val="20"/>
        </w:rPr>
        <w:t>Conditions to Purchase of Option Securities</w:t>
      </w:r>
      <w:r>
        <w:rPr>
          <w:rFonts w:ascii="Times New Roman;Times;Serif" w:hAnsi="Times New Roman;Times;Serif"/>
          <w:b w:val="false"/>
          <w:i w:val="false"/>
          <w:caps w:val="false"/>
          <w:smallCaps w:val="false"/>
          <w:sz w:val="20"/>
        </w:rPr>
        <w:t>. In the event that BofA exercises their option provided in Section 2(b) hereof to purchase all or any portion of the Option Securities, the representations and warranties of the Company contained herein and the statements in any certificates furnished by the Company and any of its subsidiaries hereunder shall be true and correct as of each Date of Delivery and, at the relevant Date of Delivery, BofA shall have received: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Opinions of Counsel for Company</w:t>
      </w:r>
      <w:r>
        <w:rPr>
          <w:rFonts w:ascii="Times New Roman;Times;Serif" w:hAnsi="Times New Roman;Times;Serif"/>
          <w:b w:val="false"/>
          <w:i w:val="false"/>
          <w:caps w:val="false"/>
          <w:smallCaps w:val="false"/>
          <w:sz w:val="20"/>
        </w:rPr>
        <w:t>. The favorable opinions, dated such Date of Delivery, of Skadden, Arps, Slate, Meagher &amp; Flom LLP, counsel for the Company, in form and substance satisfactory to counsel for BofA, relating to the Option Securities to be purchased on such Date of Delivery and otherwise to the same effect as the opinion required by Section 5(b)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Opinion of Counsel for Underwriter</w:t>
      </w:r>
      <w:r>
        <w:rPr>
          <w:rFonts w:ascii="Times New Roman;Times;Serif" w:hAnsi="Times New Roman;Times;Serif"/>
          <w:b w:val="false"/>
          <w:i w:val="false"/>
          <w:caps w:val="false"/>
          <w:smallCaps w:val="false"/>
          <w:sz w:val="20"/>
        </w:rPr>
        <w:t>. The favorable opinion, dated such Date of Delivery, of Simpson Thacher &amp; Bartlett LLP, counsel for the Underwriter, in form and substance satisfactory to BofA, relating to the Option Securities to be purchased on such Date of Delivery and otherwise to the same effect as the opinion required by Section 5(c)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Officers’ Certificate</w:t>
      </w:r>
      <w:r>
        <w:rPr>
          <w:rFonts w:ascii="Times New Roman;Times;Serif" w:hAnsi="Times New Roman;Times;Serif"/>
          <w:b w:val="false"/>
          <w:i w:val="false"/>
          <w:caps w:val="false"/>
          <w:smallCaps w:val="false"/>
          <w:sz w:val="20"/>
        </w:rPr>
        <w:t>. A certificate, dated such Date of Delivery, of the Chief Executive Officer or of the Chief Financial Officer of the Company, confirming that the certificate delivered at the Closing Time pursuant to Section 5(d) hereof remains true and correct as of such Date of Delivery.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Bring-Down Comfort Letters</w:t>
      </w:r>
      <w:r>
        <w:rPr>
          <w:rFonts w:ascii="Times New Roman;Times;Serif" w:hAnsi="Times New Roman;Times;Serif"/>
          <w:b w:val="false"/>
          <w:i w:val="false"/>
          <w:caps w:val="false"/>
          <w:smallCaps w:val="false"/>
          <w:sz w:val="20"/>
        </w:rPr>
        <w:t>. A letter from each of (A) Grant Thornton LLP and (B) KPMG LLP, dated as of such Date of Delivery, substantially in the same form and substance as the letters furnished to BofA pursuant to Section 5(f) hereof, except that the “specified date” in the letters furnished pursuant to this paragraph shall be a date not more than three business days prior to such Date of Delivery.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Bring-Down Chief Financial Officer’s Certificate</w:t>
      </w:r>
      <w:r>
        <w:rPr>
          <w:rFonts w:ascii="Times New Roman;Times;Serif" w:hAnsi="Times New Roman;Times;Serif"/>
          <w:b w:val="false"/>
          <w:i w:val="false"/>
          <w:caps w:val="false"/>
          <w:smallCaps w:val="false"/>
          <w:sz w:val="20"/>
        </w:rPr>
        <w:t>. A certificate, dated such Date of Delivery, of the Chief Financial Officer of the Company, confirming that the certificate dated at the Closing Time pursuant to Section 5(k) hereof remains true and correct as of such Date of Delivery.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caps w:val="false"/>
          <w:smallCaps w:val="false"/>
          <w:sz w:val="20"/>
        </w:rPr>
        <w:t>Additional Documents</w:t>
      </w:r>
      <w:r>
        <w:rPr>
          <w:rFonts w:ascii="Times New Roman;Times;Serif" w:hAnsi="Times New Roman;Times;Serif"/>
          <w:b w:val="false"/>
          <w:i w:val="false"/>
          <w:caps w:val="false"/>
          <w:smallCaps w:val="false"/>
          <w:sz w:val="20"/>
        </w:rPr>
        <w:t>. At the Closing Time and at each Date of Delivery (if any) counsel for BofA shall have been furnished with such documents and opinions as they may require for the purpose of enabling them to pass upon the issuance and sale of the Securities as herein contemplated, or in order to evidence the accuracy of any of the representations or warranties, or the fulfillment of any of the conditions, herein contained; and all proceedings taken by the Company in connection with the issuance and sale of the Securities as herein contemplated shall be satisfactory in form and substance to BofA and counsel for BofA.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caps w:val="false"/>
          <w:smallCaps w:val="false"/>
          <w:sz w:val="20"/>
        </w:rPr>
        <w:t>Termination of Agreement</w:t>
      </w:r>
      <w:r>
        <w:rPr>
          <w:rFonts w:ascii="Times New Roman;Times;Serif" w:hAnsi="Times New Roman;Times;Serif"/>
          <w:b w:val="false"/>
          <w:i w:val="false"/>
          <w:caps w:val="false"/>
          <w:smallCaps w:val="false"/>
          <w:sz w:val="20"/>
        </w:rPr>
        <w:t>. If any condition specified in this Section shall not have been fulfilled when and as required to be fulfilled, this Agreement, or, in the case of any condition to the purchase of Option Securities on a Date of Delivery which is after the Closing Time, the obligations of BofA to purchase the relevant Option Securities may be terminated by BofA by notice to the Company at any time at or prior to Closing Time or such Date of Delivery, as the case may be, and such termination shall be without liability of any party to any other party except as provided in Section 4 and except that Sections 1, 6, 7, 8, 14, 15, 16 and 17 shall survive any such termination and remain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caps w:val="false"/>
          <w:smallCaps w:val="false"/>
          <w:sz w:val="20"/>
        </w:rPr>
        <w:t>Effectiveness of Ayar Agreement</w:t>
      </w:r>
      <w:r>
        <w:rPr>
          <w:rFonts w:ascii="Times New Roman;Times;Serif" w:hAnsi="Times New Roman;Times;Serif"/>
          <w:b w:val="false"/>
          <w:i w:val="false"/>
          <w:caps w:val="false"/>
          <w:smallCaps w:val="false"/>
          <w:sz w:val="20"/>
        </w:rPr>
        <w:t>. The Ayar Agreement shall be in full force and effect and there shall not be, to the Company’s knowledge, any reason at the Closing Time and each Date of Delivery, that the closing contemplated by the Ayar Agreement will not be consummated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Indemnification of BofA</w:t>
      </w:r>
      <w:r>
        <w:rPr>
          <w:rFonts w:ascii="Times New Roman;Times;Serif" w:hAnsi="Times New Roman;Times;Serif"/>
          <w:b w:val="false"/>
          <w:i w:val="false"/>
          <w:caps w:val="false"/>
          <w:smallCaps w:val="false"/>
          <w:sz w:val="20"/>
        </w:rPr>
        <w:t>. The Company agrees to indemnify and hold harmless BofA, its affiliates (as such term is defined in Rule 501(b) under the 1933 Act (each, an “Affiliate”)), its selling agents and employees and each person, if any, who controls BofA within the meaning of Section 15 of the 1933 Act or Section 20 of the 1934 Act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against any and all loss, liability, claim, damage and expense whatsoever, as incurred, arising out of any untrue statement or alleged untrue statement of a material fact contained in the Registration Statement (or any amendment thereto), including any information deemed to be a part thereof pursuant to Rule 430B, or the omission or alleged omission therefrom of a material fact required to be stated therein or necessary to make the statements therein not misleading or arising out of any untrue statement or alleged untrue statement of a material fact included (A) in any preliminary prospectus, any Issuer Free Writing Prospectus, the General Disclosure Package or the Prospectus (or any amendment or supplement thereto), or (B) in any materials or information provided to investors by, or with the approval of, the Company in connection with the marketing of the offering of the Securities (“Marketing Materials”), including any roadshow or investor presentations made to investors by the Company (whether in person or electronically), or the omission or alleged omission in any preliminary prospectus, Issuer Free Writing Prospectus, Prospectus or in any Marketing Materials of a material fact necessary in order to make the statements therein, in the light of the circumstances under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Section 6(d) below) any such settlement is effected with the written consent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against any and all expense whatsoever, as incurred (including the fees and disbursements of counsel chosen by BofA),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however, that this indemnity agreement shall not apply to any loss, liability, claim, damage or expense to the extent arising out of any untrue statement or omission or alleged untrue statement or omission made in the Registration Statement (or any amendment thereto), including any information deemed to be a part thereof pursuant to Rule 430B, the General Disclosure Package or the Prospectus (or any amendment or supplement thereto) in reliance upon and in conformity with the Underwriter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Indemnification of Company, Directors and Officers</w:t>
      </w:r>
      <w:r>
        <w:rPr>
          <w:rFonts w:ascii="Times New Roman;Times;Serif" w:hAnsi="Times New Roman;Times;Serif"/>
          <w:b w:val="false"/>
          <w:i w:val="false"/>
          <w:caps w:val="false"/>
          <w:smallCaps w:val="false"/>
          <w:sz w:val="20"/>
        </w:rPr>
        <w:t>. BofA agrees to indemnify and hold harmless the Company, its directors, each of its officers who signed the Registration Statement, and each person, if any, who controls the Company within the meaning of Section 15 of the 1933 Act or Section 20 of the 1934 Act, against any and all loss, liability, claim, damage and expense described in the indemnity contained in subsection (a) of this Section, as incurred, but only with respect to untrue statements or omissions, or alleged untrue statements or omissions, made in the Registration Statement (or any amendment thereto), including any information deemed to be a part thereof pursuant to Rule 430B, the General Disclosure Package or the Prospectus (or any amendment or supplement thereto) in reliance upon and in conformity with the Underwriter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Actions against Parties; Notification</w:t>
      </w:r>
      <w:r>
        <w:rPr>
          <w:rFonts w:ascii="Times New Roman;Times;Serif" w:hAnsi="Times New Roman;Times;Serif"/>
          <w:b w:val="false"/>
          <w:i w:val="false"/>
          <w:caps w:val="false"/>
          <w:smallCaps w:val="false"/>
          <w:sz w:val="20"/>
        </w:rPr>
        <w:t>. Each indemnified party shall give notice as promptly as reasonably practicable to each indemnifying party of 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In the case of parties indemnified pursuant to Section 6(a) above, counsel to the indemnified parties shall be selected by BofA, and, in the case of parties indemnified pursuant to Section 6(b) above, counsel to the indemnified parties shall be selected by the Company. An indemnifying party may participate at its own expense in the defense of any such action; provided, however, that counsel to the indemnifying party shall not (except with the consent of the indemnified party) also be counsel to the indemnified party.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6 or Section 7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Settlement without Consent if Failure to Reimburse</w:t>
      </w:r>
      <w:r>
        <w:rPr>
          <w:rFonts w:ascii="Times New Roman;Times;Serif" w:hAnsi="Times New Roman;Times;Serif"/>
          <w:b w:val="false"/>
          <w:i w:val="false"/>
          <w:caps w:val="false"/>
          <w:smallCaps w:val="false"/>
          <w:sz w:val="20"/>
        </w:rPr>
        <w:t>. If at any time an indemnified party shall have requested an indemnifying party to reimburse the indemnified party for reasonable and documented fees and expenses of counsel, such indemnifying party agrees that it shall be liable for any settlement of the nature contemplated by Section 6(a)(ii) effected without its written consent if (i) such settlement is entered into more than 90 days after receipt by such indemnifying party of the aforesaid request, (ii) such indemnifying party shall have received notice of the terms of such settlement at least 60 days prior to such settlement being entered into and (iii) such indemnifying party shall not have reimbursed such indemnified party in accordance with such request prior to the date of such 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            </w:t>
      </w:r>
      <w:r>
        <w:rPr>
          <w:rFonts w:ascii="Times New Roman;Times;Serif" w:hAnsi="Times New Roman;Times;Serif"/>
          <w:b w:val="false"/>
          <w:i w:val="false"/>
          <w:caps w:val="false"/>
          <w:smallCaps w:val="false"/>
          <w:sz w:val="20"/>
          <w:u w:val="single"/>
        </w:rPr>
        <w:t>Contribution</w:t>
      </w:r>
      <w:r>
        <w:rPr>
          <w:rFonts w:ascii="Times New Roman;Times;Serif" w:hAnsi="Times New Roman;Times;Serif"/>
          <w:b w:val="false"/>
          <w:i w:val="false"/>
          <w:caps w:val="false"/>
          <w:smallCaps w:val="false"/>
          <w:sz w:val="20"/>
        </w:rPr>
        <w:t>. If the indemnification provided for in Section 6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on the one hand, and BofA, on the other hand, from the offering of the Securities pursuant to this Agreement or (ii) if the allocation provided by clause (i) is not permitted by applicable law, in such proportion as is appropriate to reflect not only the relative benefits referred to in clause (i) above but also the relative fault of the Company, on the one hand, and of BofA, on the other hand, in connection with the statements or omissions which resulted in such losses, liabilities, claims, damages or expenses, as well as any other relevant equitable considerations.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relative benefits received by the Company, on the one hand, and BofA, on the other hand, in connection with the offering of the Securities pursuant to this Agreement shall be deemed to be in the same respective proportions as the total net proceeds from the offering of the Securities pursuant to this Agreement (before deducting expenses) received by the Company, on the one hand, and the difference between (x) the aggregate price to the public received by BofA and (y) the aggregate price paid by BofA to the Company for the Securities, on the other hand, bear to the aggregate price to the public received by BofA.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relative fault of the Company, on the one hand, and BofA, on the other hand, shall be determined by reference to, among other things, whether any such untrue or alleged untrue statement of a material fact or omission or alleged omission to state a material fact relates to information supplied by the Company or by BofA and the parties’ relative intent, knowledge, access to information and opportunity to correct or prevent such statement or omission.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BofA agree that it would not be just and equitable if contribution pursuant to this Section 7 were determined by pro rata allocation or by any other method of allocation which does not take account of the equitable considerations referred to above in this Section 7. The aggregate amount of losses, liabilities, claims, damages and expenses incurred by an indemnified party and referred to above in this Section 7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provisions of this Section 7, BofA shall not be required to contribute any amount in excess of the underwriting commissions received by BofA in connection with the Securities underwritten by it and distributed to the public.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guilty of fraudulent misrepresentation (within the meaning of Section 11(f) of the 1933 Act) shall be entitled to contribution from any person who was not guilty of such fraudulent misrepresentation.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7, each person, if any, who controls BofA within the meaning of Section 15 of the 1933 Act or Section 20 of the 1934 Act and BofA’s Affiliates and selling agents shall have the same rights to contribution as BofA, and each director of the Company, each officer of the Company who signed the Registration Statement, and each person, if any, who controls the Company within the meaning of Section 15 of the 1933 Act or Section 20 of the 1934 Act shall have the same rights to contribution as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            </w:t>
      </w:r>
      <w:r>
        <w:rPr>
          <w:rFonts w:ascii="Times New Roman;Times;Serif" w:hAnsi="Times New Roman;Times;Serif"/>
          <w:b w:val="false"/>
          <w:i w:val="false"/>
          <w:caps w:val="false"/>
          <w:smallCaps w:val="false"/>
          <w:sz w:val="20"/>
          <w:u w:val="single"/>
        </w:rPr>
        <w:t>Representations, Warranties and Agreements to Survive</w:t>
      </w:r>
      <w:r>
        <w:rPr>
          <w:rFonts w:ascii="Times New Roman;Times;Serif" w:hAnsi="Times New Roman;Times;Serif"/>
          <w:b w:val="false"/>
          <w:i w:val="false"/>
          <w:caps w:val="false"/>
          <w:smallCaps w:val="false"/>
          <w:sz w:val="20"/>
        </w:rPr>
        <w:t>. All representations, warranties and agreements contained in this Agreement or in certificates of officers of the Company or any of its subsidiaries submitted pursuant hereto, shall remain operative and in full force and effect regardless of (i) any investigation made by or on behalf of BofA or its Affiliates or selling agents, any person controlling BofA, its officers or directors or any person controlling the Company and (ii) delivery of and payment for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            </w:t>
      </w:r>
      <w:r>
        <w:rPr>
          <w:rFonts w:ascii="Times New Roman;Times;Serif" w:hAnsi="Times New Roman;Times;Serif"/>
          <w:b w:val="false"/>
          <w:i w:val="false"/>
          <w:caps w:val="false"/>
          <w:smallCaps w:val="false"/>
          <w:sz w:val="20"/>
          <w:u w:val="single"/>
        </w:rPr>
        <w:t>Termination of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Termination</w:t>
      </w:r>
      <w:r>
        <w:rPr>
          <w:rFonts w:ascii="Times New Roman;Times;Serif" w:hAnsi="Times New Roman;Times;Serif"/>
          <w:b w:val="false"/>
          <w:i w:val="false"/>
          <w:caps w:val="false"/>
          <w:smallCaps w:val="false"/>
          <w:sz w:val="20"/>
        </w:rPr>
        <w:t>. BofA may terminate this Agreement, by notice to the Company, at any time at or prior to the Closing Time (i) if there has been, in the judgment of BofA, since the time of execution of this Agreement or since the respective dates as of which information is given in the Registration Statement, the General Disclosure Package or the Prospectus, any material adverse change in the condition, financial or otherwise, or in the earnings, business affairs or business prospects of the Company and its subsidiaries considered as one enterprise, whether or not arising in the ordinary course of business, or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BofA, impracticable or inadvisable to proceed with the completion of the offering or to enforce contracts for the sale of the Securities, or (iii) if trading in any securities of the Company has been suspended or materially limited by the Commission or the Nasdaq Global Select Market, or (iv) if trading generally on the NYSE American or the New York Stock Exchange or in the Nasdaq Global Select Market has been suspended or materially limited, or minimum or maximum prices for trading have been fixed, or maximum ranges for prices have been required, by any of said exchanges or by order of the Commission, FINRA or any other governmental authority, or (v) a material disruption has occurred in commercial banking or securities settlement or clearance services in the United States or with respect to Clearstream or Euroclear systems in Europe, or (vi) if a banking moratorium has been declared by either Federal or New York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Liabilities</w:t>
      </w:r>
      <w:r>
        <w:rPr>
          <w:rFonts w:ascii="Times New Roman;Times;Serif" w:hAnsi="Times New Roman;Times;Serif"/>
          <w:b w:val="false"/>
          <w:i w:val="false"/>
          <w:caps w:val="false"/>
          <w:smallCaps w:val="false"/>
          <w:sz w:val="20"/>
        </w:rPr>
        <w:t>. If this Agreement is terminated pursuant to this Section, such termination shall be without liability of any party to any other party except as provided in Section 4 hereof, and provided further that Sections 1, 6, 7, 8, 14, 15, 16 and 17 shall survive such termination and remain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and other communications hereunder shall be in writing and shall be deemed to have been duly given if mailed or transmitted by any standard form of telecommunication. Notices to BofA shall be directed to BofA Securities, Inc., One Bryant Park, New York, New York 10036, with a copy to Attention: ECM Legal (email: dg.ecm_legal@bofa.com), and, if sent to the Company, shall be directed to it at 7373 Gateway Blvd, Newark, CA 94560, Attention: General Counsel, email: Legal@lucidmotors.com. Each party to this Agreement may change such address for notices by sending to the parties to this Agreement written notice of a new address for such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           </w:t>
      </w:r>
      <w:r>
        <w:rPr>
          <w:rFonts w:ascii="Times New Roman;Times;Serif" w:hAnsi="Times New Roman;Times;Serif"/>
          <w:b w:val="false"/>
          <w:i w:val="false"/>
          <w:caps w:val="false"/>
          <w:smallCaps w:val="false"/>
          <w:sz w:val="20"/>
          <w:u w:val="single"/>
        </w:rPr>
        <w:t>No Advisory or Fiduciary Relationship</w:t>
      </w:r>
      <w:r>
        <w:rPr>
          <w:rFonts w:ascii="Times New Roman;Times;Serif" w:hAnsi="Times New Roman;Times;Serif"/>
          <w:b w:val="false"/>
          <w:i w:val="false"/>
          <w:caps w:val="false"/>
          <w:smallCaps w:val="false"/>
          <w:sz w:val="20"/>
        </w:rPr>
        <w:t>. The Company acknowledges and agrees that (a) the purchase and sale of the Securities pursuant to this Agreement, including the determination of the initial public offering price of the Securities and any related discounts and commissions, is an arm’s-length commercial transaction between the Company, on the one hand, and BofA, on the other hand, (b) in connection with the offering of the Securities and the process leading thereto, BofA is and has been acting solely as a principal and is not the agent or fiduciary of the Company, any of its subsidiaries or their respective stockholders, creditors, employees or any other party, (c) BofA has not assumed or will assume an advisory or fiduciary responsibility in favor of the Company with respect to the offering of the Securities or the process leading thereto (irrespective of whether BofA has advised or is currently advising the Company or any of its subsidiaries on other matters) and BofA has no obligation to the Company with respect to the offering of the Securities except the obligations expressly set forth in this Agreement, (d) BofA and its affiliates may be engaged in a broad range of transactions that involve interests that differ from those of the Company, (e) BofA has not provided any legal, accounting, regulatory, investment or tax advice with respect to the offering of the Securities and the Company has consulted its own respective legal, accounting, financial, regulatory and tax advisors to the extent it deemed appropriate and (f) none of the activities of BofA in connection with the transactions contemplated herein constitutes a recommendation, investment advice or solicitation of any action by BofA with respect to any entity or natural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           </w:t>
      </w:r>
      <w:r>
        <w:rPr>
          <w:rFonts w:ascii="Times New Roman;Times;Serif" w:hAnsi="Times New Roman;Times;Serif"/>
          <w:b w:val="false"/>
          <w:i w:val="false"/>
          <w:caps w:val="false"/>
          <w:smallCaps w:val="false"/>
          <w:sz w:val="20"/>
          <w:u w:val="single"/>
        </w:rPr>
        <w:t>Recognition of the U.S. Special Resolution Regimes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13,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This Agreement shall each inure to the benefit of and be binding upon BofA and the Company and their respective successors. Nothing expressed or mentioned in this Agreement is intended or shall be construed to give any person, firm or corporation, other than BofA and the Company and their respective successors and the controlling persons and officers and directors referred to in Sections 6 and 7 and their heirs and legal representatives, any legal or equitable right, remedy or claim under or in respect of this Agreement or any provision herein contained. This Agreement and all conditions and provisions hereof are intended to be for the sole and exclusive benefit of BofA and the Company and their respective successors, and said controlling persons and officers and directors and their heirs and legal representatives, and for the benefit of no other person, firm or corporation. No purchaser of Securities from any Underwriter shall be deemed to be a successor by reason merely of such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            </w:t>
      </w:r>
      <w:r>
        <w:rPr>
          <w:rFonts w:ascii="Times New Roman;Times;Serif" w:hAnsi="Times New Roman;Times;Serif"/>
          <w:b w:val="false"/>
          <w:i w:val="false"/>
          <w:caps w:val="false"/>
          <w:smallCaps w:val="false"/>
          <w:sz w:val="20"/>
          <w:u w:val="single"/>
        </w:rPr>
        <w:t>Trial by Jury</w:t>
      </w:r>
      <w:r>
        <w:rPr>
          <w:rFonts w:ascii="Times New Roman;Times;Serif" w:hAnsi="Times New Roman;Times;Serif"/>
          <w:b w:val="false"/>
          <w:i w:val="false"/>
          <w:caps w:val="false"/>
          <w:smallCaps w:val="false"/>
          <w:sz w:val="20"/>
        </w:rPr>
        <w:t>. The Company (on its behalf and, to the extent permitted by applicable law, on behalf of its stockholders and affiliates) and BofA hereby irrevocably waives, to the fullest extent permitted by applicable law, any and all right to trial by jury in any legal proceeding arising out of or relating to this Agreement or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AND ANY CLAIM, CONTROVERSY OR DISPUTE ARISING UNDER OR RELATED TO THIS AGREEMENT SHALL BE GOVERNED BY, AND CONSTRUED IN ACCORDANCE WITH THE LAWS OF, THE STATE OF NEW YORK WITHOUT REGARD TO ITS CHOICE OF LAW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            </w:t>
      </w:r>
      <w:r>
        <w:rPr>
          <w:rFonts w:ascii="Times New Roman;Times;Serif" w:hAnsi="Times New Roman;Times;Serif"/>
          <w:b w:val="false"/>
          <w:i w:val="false"/>
          <w:caps w:val="false"/>
          <w:smallCaps w:val="false"/>
          <w:sz w:val="20"/>
          <w:u w:val="single"/>
        </w:rPr>
        <w:t>Consent to Jurisdiction; Waiver of Immunity</w:t>
      </w:r>
      <w:r>
        <w:rPr>
          <w:rFonts w:ascii="Times New Roman;Times;Serif" w:hAnsi="Times New Roman;Times;Serif"/>
          <w:b w:val="false"/>
          <w:i w:val="false"/>
          <w:caps w:val="false"/>
          <w:smallCaps w:val="false"/>
          <w:sz w:val="20"/>
        </w:rPr>
        <w:t>. Any legal suit, action or proceeding arising out of or based upon this Agreement or the transactions contemplated hereby (“Related Proceedings”) shall be instituted in (i) the federal courts of the United States of America located in the City and County of New York, Borough of Manhattan or (ii) the courts of the State of New York located in the City and County of New York, Borough of Manhattan (collectively, the “Specified Courts”), and each party irrevocably submits to the exclusive jurisdiction (except for proceedings instituted in regard to the enforcement of a judgment of any such court (a “Related Judgment”),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            </w:t>
      </w:r>
      <w:r>
        <w:rPr>
          <w:rFonts w:ascii="Times New Roman;Times;Serif" w:hAnsi="Times New Roman;Times;Serif"/>
          <w:b w:val="false"/>
          <w:i w:val="false"/>
          <w:caps w:val="false"/>
          <w:smallCaps w:val="false"/>
          <w:sz w:val="20"/>
          <w:u w:val="single"/>
        </w:rPr>
        <w:t>TIME</w:t>
      </w:r>
      <w:r>
        <w:rPr>
          <w:rFonts w:ascii="Times New Roman;Times;Serif" w:hAnsi="Times New Roman;Times;Serif"/>
          <w:b w:val="false"/>
          <w:i w:val="false"/>
          <w:caps w:val="false"/>
          <w:smallCaps w:val="false"/>
          <w:sz w:val="20"/>
        </w:rPr>
        <w:t>. TIME SHALL BE OF THE ESSENCE OF THIS AGREEMENT. EXCEPT AS OTHERWISE SET FORTH HEREIN, SPECIFIED TIMES OF DAY REFER TO NEW YORK CITY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19.            </w:t>
      </w:r>
      <w:r>
        <w:rPr>
          <w:rFonts w:ascii="Times New Roman;Times;Serif" w:hAnsi="Times New Roman;Times;Serif"/>
          <w:b w:val="false"/>
          <w:i w:val="false"/>
          <w:caps w:val="false"/>
          <w:smallCaps w:val="false"/>
          <w:sz w:val="20"/>
          <w:u w:val="single"/>
        </w:rPr>
        <w:t>Counterparts and Electronic Signatures</w:t>
      </w:r>
      <w:r>
        <w:rPr>
          <w:rFonts w:ascii="Times New Roman;Times;Serif" w:hAnsi="Times New Roman;Times;Serif"/>
          <w:b w:val="false"/>
          <w:i w:val="false"/>
          <w:caps w:val="false"/>
          <w:smallCaps w:val="false"/>
          <w:sz w:val="20"/>
        </w:rPr>
        <w:t>. This Agreement may be executed in any number of counterparts, each of which shall be deemed to be an original, but all such counterparts shall together constitute one and the same Agreement. Electronic signatures complying with the New York Electronic Signatures and Records Act (N.Y. State Tech. §§ 301-309), as amended from time to time, or other applicable law will be deemed original signatures for purposes of this Agreement. Transmission by telecopy, electronic mail or other transmission method of an executed counterpart of this Agreement will constitute due and sufficient delivery of such counterpart.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            </w:t>
      </w:r>
      <w:r>
        <w:rPr>
          <w:rFonts w:ascii="Times New Roman;Times;Serif" w:hAnsi="Times New Roman;Times;Serif"/>
          <w:b w:val="false"/>
          <w:i w:val="false"/>
          <w:caps w:val="false"/>
          <w:smallCaps w:val="false"/>
          <w:sz w:val="20"/>
          <w:u w:val="single"/>
        </w:rPr>
        <w:t>Effect of Headings</w:t>
      </w:r>
      <w:r>
        <w:rPr>
          <w:rFonts w:ascii="Times New Roman;Times;Serif" w:hAnsi="Times New Roman;Times;Serif"/>
          <w:b w:val="false"/>
          <w:i w:val="false"/>
          <w:caps w:val="false"/>
          <w:smallCaps w:val="false"/>
          <w:sz w:val="20"/>
        </w:rPr>
        <w:t>. The Section headings herein are for convenience only and shall not affect the construction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is in accordance with your understanding of our agreement, please sign and return to the Company a counterpart hereof, whereupon this instrument, along with all counterparts, will become a binding agreement between BofA and the Company in accordance with its terms.</w:t>
      </w:r>
    </w:p>
    <w:p>
      <w:pPr>
        <w:pStyle w:val="TextBody"/>
        <w:bidi w:val="0"/>
        <w:spacing w:before="0" w:after="0"/>
        <w:ind w:left="0" w:right="0" w:hanging="0"/>
        <w:jc w:val="left"/>
        <w:rPr>
          <w:caps w:val="false"/>
          <w:smallCaps w:val="false"/>
        </w:rPr>
      </w:pPr>
      <w:r>
        <w:rPr>
          <w:caps w:val="false"/>
          <w:smallCaps w:val="false"/>
        </w:rPr>
        <w:t> </w:t>
      </w:r>
    </w:p>
    <w:tbl>
      <w:tblPr>
        <w:tblW w:w="3990" w:type="dxa"/>
        <w:jc w:val="left"/>
        <w:tblInd w:w="0" w:type="dxa"/>
        <w:tblLayout w:type="fixed"/>
        <w:tblCellMar>
          <w:top w:w="0" w:type="dxa"/>
          <w:left w:w="0" w:type="dxa"/>
          <w:bottom w:w="0" w:type="dxa"/>
          <w:right w:w="0" w:type="dxa"/>
        </w:tblCellMar>
      </w:tblPr>
      <w:tblGrid>
        <w:gridCol w:w="75"/>
        <w:gridCol w:w="305"/>
        <w:gridCol w:w="650"/>
        <w:gridCol w:w="2960"/>
      </w:tblGrid>
      <w:tr>
        <w:trPr/>
        <w:tc>
          <w:tcPr>
            <w:tcW w:w="75" w:type="dxa"/>
            <w:tcBorders/>
            <w:vAlign w:val="center"/>
          </w:tcPr>
          <w:p>
            <w:pPr>
              <w:pStyle w:val="TableContents"/>
              <w:bidi w:val="0"/>
              <w:spacing w:before="0" w:after="283"/>
              <w:jc w:val="left"/>
              <w:rPr/>
            </w:pPr>
            <w:r>
              <w:rPr/>
              <w:t> </w:t>
            </w:r>
          </w:p>
        </w:tc>
        <w:tc>
          <w:tcPr>
            <w:tcW w:w="3915" w:type="dxa"/>
            <w:gridSpan w:val="3"/>
            <w:tcBorders/>
            <w:vAlign w:val="center"/>
          </w:tcPr>
          <w:p>
            <w:pPr>
              <w:pStyle w:val="TableContents"/>
              <w:bidi w:val="0"/>
              <w:spacing w:before="0" w:after="283"/>
              <w:jc w:val="left"/>
              <w:rPr/>
            </w:pPr>
            <w:r>
              <w:rPr/>
              <w:t>Very truly yours,</w:t>
            </w:r>
          </w:p>
        </w:tc>
      </w:tr>
      <w:tr>
        <w:trPr/>
        <w:tc>
          <w:tcPr>
            <w:tcW w:w="75" w:type="dxa"/>
            <w:tcBorders/>
            <w:vAlign w:val="center"/>
          </w:tcPr>
          <w:p>
            <w:pPr>
              <w:pStyle w:val="TableContents"/>
              <w:bidi w:val="0"/>
              <w:spacing w:before="0" w:after="283"/>
              <w:jc w:val="left"/>
              <w:rPr/>
            </w:pPr>
            <w:r>
              <w:rPr/>
              <w:t> </w:t>
            </w:r>
          </w:p>
        </w:tc>
        <w:tc>
          <w:tcPr>
            <w:tcW w:w="3915"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15" w:type="dxa"/>
            <w:gridSpan w:val="3"/>
            <w:tcBorders/>
            <w:vAlign w:val="center"/>
          </w:tcPr>
          <w:p>
            <w:pPr>
              <w:pStyle w:val="TableContents"/>
              <w:bidi w:val="0"/>
              <w:spacing w:before="0" w:after="283"/>
              <w:jc w:val="left"/>
              <w:rPr/>
            </w:pPr>
            <w:r>
              <w:rPr/>
              <w:t>LUCID GROUP, INC.</w:t>
            </w:r>
          </w:p>
        </w:tc>
      </w:tr>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361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By</w:t>
            </w:r>
          </w:p>
        </w:tc>
        <w:tc>
          <w:tcPr>
            <w:tcW w:w="3610" w:type="dxa"/>
            <w:gridSpan w:val="2"/>
            <w:tcBorders>
              <w:bottom w:val="single" w:sz="8" w:space="0" w:color="000000"/>
            </w:tcBorders>
            <w:tcMar>
              <w:bottom w:w="28" w:type="dxa"/>
            </w:tcMar>
            <w:vAlign w:val="center"/>
          </w:tcPr>
          <w:p>
            <w:pPr>
              <w:pStyle w:val="TableContents"/>
              <w:bidi w:val="0"/>
              <w:spacing w:before="0" w:after="283"/>
              <w:jc w:val="left"/>
              <w:rPr/>
            </w:pPr>
            <w:r>
              <w:rPr/>
              <w:t>/s/ Gagan Dhingra</w:t>
            </w:r>
          </w:p>
        </w:tc>
      </w:tr>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960" w:type="dxa"/>
            <w:tcBorders/>
            <w:vAlign w:val="center"/>
          </w:tcPr>
          <w:p>
            <w:pPr>
              <w:pStyle w:val="TableContents"/>
              <w:bidi w:val="0"/>
              <w:spacing w:before="0" w:after="283"/>
              <w:jc w:val="both"/>
              <w:rPr/>
            </w:pPr>
            <w:r>
              <w:rPr/>
              <w:t>Gagan Dhingra</w:t>
            </w:r>
          </w:p>
        </w:tc>
      </w:tr>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960" w:type="dxa"/>
            <w:tcBorders/>
            <w:vAlign w:val="center"/>
          </w:tcPr>
          <w:p>
            <w:pPr>
              <w:pStyle w:val="TableContents"/>
              <w:bidi w:val="0"/>
              <w:spacing w:before="0" w:after="283"/>
              <w:jc w:val="both"/>
              <w:rPr/>
            </w:pPr>
            <w:r>
              <w:rPr/>
              <w:t>Interim Chief Financial Officer</w:t>
            </w:r>
          </w:p>
        </w:tc>
      </w:tr>
    </w:tbl>
    <w:p>
      <w:pPr>
        <w:pStyle w:val="TextBody"/>
        <w:bidi w:val="0"/>
        <w:spacing w:before="0" w:after="0"/>
        <w:ind w:left="0" w:right="0" w:hanging="0"/>
        <w:jc w:val="left"/>
        <w:rPr>
          <w:caps w:val="false"/>
          <w:smallCaps w:val="false"/>
        </w:rPr>
      </w:pPr>
      <w:r>
        <w:rPr>
          <w:caps w:val="false"/>
          <w:smallCaps w:val="false"/>
        </w:rPr>
        <w:t> </w:t>
      </w:r>
    </w:p>
    <w:tbl>
      <w:tblPr>
        <w:tblW w:w="3604" w:type="dxa"/>
        <w:jc w:val="left"/>
        <w:tblInd w:w="0" w:type="dxa"/>
        <w:tblLayout w:type="fixed"/>
        <w:tblCellMar>
          <w:top w:w="0" w:type="dxa"/>
          <w:left w:w="0" w:type="dxa"/>
          <w:bottom w:w="0" w:type="dxa"/>
          <w:right w:w="0" w:type="dxa"/>
        </w:tblCellMar>
      </w:tblPr>
      <w:tblGrid>
        <w:gridCol w:w="341"/>
        <w:gridCol w:w="3128"/>
        <w:gridCol w:w="60"/>
        <w:gridCol w:w="75"/>
      </w:tblGrid>
      <w:tr>
        <w:trPr/>
        <w:tc>
          <w:tcPr>
            <w:tcW w:w="3469" w:type="dxa"/>
            <w:gridSpan w:val="2"/>
            <w:tcBorders/>
            <w:vAlign w:val="center"/>
          </w:tcPr>
          <w:p>
            <w:pPr>
              <w:pStyle w:val="TableContents"/>
              <w:bidi w:val="0"/>
              <w:spacing w:before="0" w:after="283"/>
              <w:jc w:val="left"/>
              <w:rPr/>
            </w:pPr>
            <w:r>
              <w:rPr/>
              <w:t>CONFIRMED AND ACCEPTED,</w:t>
              <w:br/>
              <w:t>            </w:t>
            </w:r>
            <w:r>
              <w:rPr>
                <w:sz w:val="20"/>
              </w:rPr>
              <w:t>as of the date first above written:</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r>
        <w:trPr/>
        <w:tc>
          <w:tcPr>
            <w:tcW w:w="346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r>
        <w:trPr/>
        <w:tc>
          <w:tcPr>
            <w:tcW w:w="3469" w:type="dxa"/>
            <w:gridSpan w:val="2"/>
            <w:tcBorders/>
            <w:vAlign w:val="center"/>
          </w:tcPr>
          <w:p>
            <w:pPr>
              <w:pStyle w:val="TableContents"/>
              <w:bidi w:val="0"/>
              <w:spacing w:before="0" w:after="283"/>
              <w:jc w:val="left"/>
              <w:rPr/>
            </w:pPr>
            <w:r>
              <w:rPr/>
              <w:t>BOFA SECURITIES, INC.</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r>
        <w:trPr/>
        <w:tc>
          <w:tcPr>
            <w:tcW w:w="341" w:type="dxa"/>
            <w:tcBorders/>
            <w:vAlign w:val="center"/>
          </w:tcPr>
          <w:p>
            <w:pPr>
              <w:pStyle w:val="TableContents"/>
              <w:bidi w:val="0"/>
              <w:spacing w:before="0" w:after="283"/>
              <w:jc w:val="left"/>
              <w:rPr/>
            </w:pPr>
            <w:r>
              <w:rPr/>
              <w:t> </w:t>
            </w:r>
          </w:p>
        </w:tc>
        <w:tc>
          <w:tcPr>
            <w:tcW w:w="31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r>
        <w:trPr/>
        <w:tc>
          <w:tcPr>
            <w:tcW w:w="341" w:type="dxa"/>
            <w:tcBorders/>
            <w:vAlign w:val="center"/>
          </w:tcPr>
          <w:p>
            <w:pPr>
              <w:pStyle w:val="TableContents"/>
              <w:bidi w:val="0"/>
              <w:spacing w:before="0" w:after="283"/>
              <w:jc w:val="left"/>
              <w:rPr/>
            </w:pPr>
            <w:r>
              <w:rPr/>
              <w:t>By</w:t>
            </w:r>
          </w:p>
        </w:tc>
        <w:tc>
          <w:tcPr>
            <w:tcW w:w="3128" w:type="dxa"/>
            <w:tcBorders>
              <w:bottom w:val="single" w:sz="8" w:space="0" w:color="000000"/>
            </w:tcBorders>
            <w:tcMar>
              <w:bottom w:w="28" w:type="dxa"/>
            </w:tcMar>
            <w:vAlign w:val="center"/>
          </w:tcPr>
          <w:p>
            <w:pPr>
              <w:pStyle w:val="TableContents"/>
              <w:bidi w:val="0"/>
              <w:spacing w:before="0" w:after="283"/>
              <w:jc w:val="left"/>
              <w:rPr/>
            </w:pPr>
            <w:r>
              <w:rPr/>
              <w:t>/s/ Christie MacDonald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r>
        <w:trPr/>
        <w:tc>
          <w:tcPr>
            <w:tcW w:w="341" w:type="dxa"/>
            <w:tcBorders/>
            <w:vAlign w:val="center"/>
          </w:tcPr>
          <w:p>
            <w:pPr>
              <w:pStyle w:val="TableContents"/>
              <w:bidi w:val="0"/>
              <w:spacing w:before="0" w:after="283"/>
              <w:jc w:val="left"/>
              <w:rPr/>
            </w:pPr>
            <w:r>
              <w:rPr/>
              <w:t> </w:t>
            </w:r>
          </w:p>
        </w:tc>
        <w:tc>
          <w:tcPr>
            <w:tcW w:w="3128" w:type="dxa"/>
            <w:tcBorders/>
            <w:vAlign w:val="center"/>
          </w:tcPr>
          <w:p>
            <w:pPr>
              <w:pStyle w:val="TableContents"/>
              <w:bidi w:val="0"/>
              <w:spacing w:before="0" w:after="283"/>
              <w:jc w:val="center"/>
              <w:rPr/>
            </w:pPr>
            <w:r>
              <w:rPr/>
              <w:t>Authorized Signatory</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per share for the Securities to be paid by the Underwriter shall be $2.591.</w:t>
      </w:r>
    </w:p>
    <w:p>
      <w:pPr>
        <w:pStyle w:val="TextBody"/>
        <w:bidi w:val="0"/>
        <w:spacing w:before="0" w:after="0"/>
        <w:ind w:left="0" w:right="0" w:hanging="0"/>
        <w:jc w:val="left"/>
        <w:rPr>
          <w:caps w:val="false"/>
          <w:smallCaps w:val="false"/>
        </w:rPr>
      </w:pPr>
      <w:r>
        <w:rPr>
          <w:caps w:val="false"/>
          <w:smallCaps w:val="false"/>
        </w:rPr>
        <w:t> </w:t>
      </w:r>
    </w:p>
    <w:tbl>
      <w:tblPr>
        <w:tblW w:w="5653" w:type="dxa"/>
        <w:jc w:val="left"/>
        <w:tblInd w:w="0" w:type="dxa"/>
        <w:tblLayout w:type="fixed"/>
        <w:tblCellMar>
          <w:top w:w="0" w:type="dxa"/>
          <w:left w:w="0" w:type="dxa"/>
          <w:bottom w:w="28" w:type="dxa"/>
          <w:right w:w="0" w:type="dxa"/>
        </w:tblCellMar>
      </w:tblPr>
      <w:tblGrid>
        <w:gridCol w:w="1715"/>
        <w:gridCol w:w="60"/>
        <w:gridCol w:w="72"/>
        <w:gridCol w:w="1282"/>
        <w:gridCol w:w="60"/>
        <w:gridCol w:w="60"/>
        <w:gridCol w:w="138"/>
        <w:gridCol w:w="2191"/>
        <w:gridCol w:w="75"/>
      </w:tblGrid>
      <w:tr>
        <w:trPr/>
        <w:tc>
          <w:tcPr>
            <w:tcW w:w="171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Underwriter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5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br/>
              <w:t>Initial Securities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2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Maximum Number of</w:t>
              <w:br/>
              <w:t>Option Securities to Be Sold</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 w:type="dxa"/>
            <w:tcBorders>
              <w:bottom w:val="single" w:sz="8" w:space="0" w:color="000000"/>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28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262,446,931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8" w:space="0" w:color="000000"/>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91"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39,367,040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128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 w:type="dxa"/>
            <w:tcBorders/>
            <w:shd w:fill="FFFFFF" w:val="clear"/>
            <w:tcMar>
              <w:bottom w:w="0" w:type="dxa"/>
            </w:tcMar>
            <w:vAlign w:val="center"/>
          </w:tcPr>
          <w:p>
            <w:pPr>
              <w:pStyle w:val="TableContents"/>
              <w:bidi w:val="0"/>
              <w:spacing w:before="0" w:after="283"/>
              <w:jc w:val="left"/>
              <w:rPr/>
            </w:pPr>
            <w:r>
              <w:rPr/>
              <w:t> </w:t>
            </w:r>
          </w:p>
        </w:tc>
        <w:tc>
          <w:tcPr>
            <w:tcW w:w="2191"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7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bottom w:val="double" w:sz="6" w:space="0" w:color="000000"/>
            </w:tcBorders>
            <w:shd w:fill="CCEEFF" w:val="clear"/>
            <w:vAlign w:val="center"/>
          </w:tcPr>
          <w:p>
            <w:pPr>
              <w:pStyle w:val="TableContents"/>
              <w:bidi w:val="0"/>
              <w:spacing w:before="0" w:after="283"/>
              <w:jc w:val="right"/>
              <w:rPr/>
            </w:pPr>
            <w:r>
              <w:rPr/>
              <w:t> </w:t>
            </w:r>
          </w:p>
        </w:tc>
        <w:tc>
          <w:tcPr>
            <w:tcW w:w="1282" w:type="dxa"/>
            <w:tcBorders>
              <w:bottom w:val="double" w:sz="6" w:space="0" w:color="000000"/>
            </w:tcBorders>
            <w:shd w:fill="CCEEFF" w:val="clear"/>
            <w:vAlign w:val="center"/>
          </w:tcPr>
          <w:p>
            <w:pPr>
              <w:pStyle w:val="TableContents"/>
              <w:bidi w:val="0"/>
              <w:spacing w:before="0" w:after="283"/>
              <w:jc w:val="right"/>
              <w:rPr>
                <w:sz w:val="20"/>
              </w:rPr>
            </w:pPr>
            <w:r>
              <w:rPr>
                <w:sz w:val="20"/>
              </w:rPr>
              <w:t>262,446,931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 w:type="dxa"/>
            <w:tcBorders>
              <w:bottom w:val="double" w:sz="6" w:space="0" w:color="000000"/>
            </w:tcBorders>
            <w:shd w:fill="CCEEFF" w:val="clear"/>
            <w:vAlign w:val="center"/>
          </w:tcPr>
          <w:p>
            <w:pPr>
              <w:pStyle w:val="TableContents"/>
              <w:bidi w:val="0"/>
              <w:spacing w:before="0" w:after="283"/>
              <w:jc w:val="right"/>
              <w:rPr/>
            </w:pPr>
            <w:r>
              <w:rPr/>
              <w:t> </w:t>
            </w:r>
          </w:p>
        </w:tc>
        <w:tc>
          <w:tcPr>
            <w:tcW w:w="2191" w:type="dxa"/>
            <w:tcBorders>
              <w:bottom w:val="double" w:sz="6" w:space="0" w:color="000000"/>
            </w:tcBorders>
            <w:shd w:fill="CCEEFF" w:val="clear"/>
            <w:vAlign w:val="center"/>
          </w:tcPr>
          <w:p>
            <w:pPr>
              <w:pStyle w:val="TableContents"/>
              <w:bidi w:val="0"/>
              <w:spacing w:before="0" w:after="283"/>
              <w:jc w:val="right"/>
              <w:rPr>
                <w:sz w:val="20"/>
              </w:rPr>
            </w:pPr>
            <w:r>
              <w:rPr>
                <w:sz w:val="20"/>
              </w:rPr>
              <w:t>39,367,040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Sch A-1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B-1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Pricing Terms</w:t>
      </w:r>
    </w:p>
    <w:p>
      <w:pPr>
        <w:pStyle w:val="TextBody"/>
        <w:bidi w:val="0"/>
        <w:spacing w:before="0" w:after="0"/>
        <w:ind w:left="0" w:right="0" w:hanging="0"/>
        <w:jc w:val="left"/>
        <w:rPr>
          <w:caps w:val="false"/>
          <w:smallCaps w:val="false"/>
        </w:rPr>
      </w:pPr>
      <w:r>
        <w:rPr>
          <w:caps w:val="false"/>
          <w:smallCaps w:val="false"/>
        </w:rPr>
        <w:t> </w:t>
      </w:r>
    </w:p>
    <w:tbl>
      <w:tblPr>
        <w:tblW w:w="7128" w:type="dxa"/>
        <w:jc w:val="left"/>
        <w:tblInd w:w="0" w:type="dxa"/>
        <w:tblLayout w:type="fixed"/>
        <w:tblCellMar>
          <w:top w:w="0" w:type="dxa"/>
          <w:left w:w="0" w:type="dxa"/>
          <w:bottom w:w="0" w:type="dxa"/>
          <w:right w:w="0" w:type="dxa"/>
        </w:tblCellMar>
      </w:tblPr>
      <w:tblGrid>
        <w:gridCol w:w="38"/>
        <w:gridCol w:w="170"/>
        <w:gridCol w:w="69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920" w:type="dxa"/>
            <w:tcBorders/>
            <w:vAlign w:val="center"/>
          </w:tcPr>
          <w:p>
            <w:pPr>
              <w:pStyle w:val="TableContents"/>
              <w:bidi w:val="0"/>
              <w:spacing w:before="0" w:after="283"/>
              <w:jc w:val="both"/>
              <w:rPr>
                <w:sz w:val="20"/>
              </w:rPr>
            </w:pPr>
            <w:r>
              <w:rPr>
                <w:sz w:val="20"/>
              </w:rPr>
              <w:t>The Company is selling 262,446,931 shares of Common Stock in the public offering.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1"/>
        <w:gridCol w:w="9997"/>
      </w:tblGrid>
      <w:tr>
        <w:trPr/>
        <w:tc>
          <w:tcPr>
            <w:tcW w:w="3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pPr>
            <w:r>
              <w:rPr/>
              <w:t>2.</w:t>
            </w:r>
          </w:p>
        </w:tc>
        <w:tc>
          <w:tcPr>
            <w:tcW w:w="9997" w:type="dxa"/>
            <w:tcBorders/>
            <w:vAlign w:val="center"/>
          </w:tcPr>
          <w:p>
            <w:pPr>
              <w:pStyle w:val="TableContents"/>
              <w:bidi w:val="0"/>
              <w:spacing w:before="0" w:after="283"/>
              <w:jc w:val="both"/>
              <w:rPr/>
            </w:pPr>
            <w:r>
              <w:rPr/>
              <w:t>The public offering price is, as to each investor, the price paid by such investor. The Company expects net proceeds from the public offering, before expenses, of approximately $680 million.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4"/>
        <w:gridCol w:w="9974"/>
      </w:tblGrid>
      <w:tr>
        <w:trPr/>
        <w:tc>
          <w:tcPr>
            <w:tcW w:w="3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pPr>
            <w:r>
              <w:rPr/>
              <w:t>3.</w:t>
            </w:r>
          </w:p>
        </w:tc>
        <w:tc>
          <w:tcPr>
            <w:tcW w:w="9974" w:type="dxa"/>
            <w:tcBorders/>
            <w:vAlign w:val="center"/>
          </w:tcPr>
          <w:p>
            <w:pPr>
              <w:pStyle w:val="TableContents"/>
              <w:bidi w:val="0"/>
              <w:spacing w:before="0" w:after="283"/>
              <w:jc w:val="both"/>
              <w:rPr/>
            </w:pPr>
            <w:r>
              <w:rPr/>
              <w:t>The Company has granted an option to BofA to purchase up to an additional 39,367,040 shares of Common Stock.</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8"/>
        <w:gridCol w:w="10000"/>
      </w:tblGrid>
      <w:tr>
        <w:trPr/>
        <w:tc>
          <w:tcPr>
            <w:tcW w:w="3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pPr>
            <w:r>
              <w:rPr/>
              <w:t>4.</w:t>
            </w:r>
          </w:p>
        </w:tc>
        <w:tc>
          <w:tcPr>
            <w:tcW w:w="10000" w:type="dxa"/>
            <w:tcBorders/>
            <w:vAlign w:val="center"/>
          </w:tcPr>
          <w:p>
            <w:pPr>
              <w:pStyle w:val="TableContents"/>
              <w:bidi w:val="0"/>
              <w:spacing w:before="0" w:after="283"/>
              <w:jc w:val="both"/>
              <w:rPr/>
            </w:pPr>
            <w:r>
              <w:rPr/>
              <w:t>Ayar Third Investment Company, the Company’s majority shareholder, has agreed to purchase 374,717,927 shares of Common Stock at a price per share equal to $2.591 in connection with the Ayar Investment.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Free Writing Prospectuses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Sch B - 1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List of Persons and Entities Subject to Lock-up</w:t>
      </w:r>
    </w:p>
    <w:p>
      <w:pPr>
        <w:pStyle w:val="TextBody"/>
        <w:bidi w:val="0"/>
        <w:spacing w:before="0" w:after="0"/>
        <w:ind w:left="0" w:right="0" w:hanging="0"/>
        <w:jc w:val="left"/>
        <w:rPr>
          <w:caps w:val="false"/>
          <w:smallCaps w:val="false"/>
        </w:rPr>
      </w:pPr>
      <w:r>
        <w:rPr>
          <w:caps w:val="false"/>
          <w:smallCaps w:val="false"/>
        </w:rPr>
        <w:t> </w:t>
      </w:r>
    </w:p>
    <w:tbl>
      <w:tblPr>
        <w:tblW w:w="1563" w:type="dxa"/>
        <w:jc w:val="left"/>
        <w:tblInd w:w="0" w:type="dxa"/>
        <w:tblLayout w:type="fixed"/>
        <w:tblCellMar>
          <w:top w:w="0" w:type="dxa"/>
          <w:left w:w="0" w:type="dxa"/>
          <w:bottom w:w="0" w:type="dxa"/>
          <w:right w:w="0" w:type="dxa"/>
        </w:tblCellMar>
      </w:tblPr>
      <w:tblGrid>
        <w:gridCol w:w="38"/>
        <w:gridCol w:w="170"/>
        <w:gridCol w:w="13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Peter Rawlinson</w:t>
            </w:r>
          </w:p>
        </w:tc>
      </w:tr>
    </w:tbl>
    <w:tbl>
      <w:tblPr>
        <w:tblW w:w="1473" w:type="dxa"/>
        <w:jc w:val="left"/>
        <w:tblInd w:w="0" w:type="dxa"/>
        <w:tblLayout w:type="fixed"/>
        <w:tblCellMar>
          <w:top w:w="0" w:type="dxa"/>
          <w:left w:w="0" w:type="dxa"/>
          <w:bottom w:w="0" w:type="dxa"/>
          <w:right w:w="0" w:type="dxa"/>
        </w:tblCellMar>
      </w:tblPr>
      <w:tblGrid>
        <w:gridCol w:w="38"/>
        <w:gridCol w:w="170"/>
        <w:gridCol w:w="12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2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Gagan Dhingra</w:t>
            </w:r>
          </w:p>
        </w:tc>
      </w:tr>
    </w:tbl>
    <w:tbl>
      <w:tblPr>
        <w:tblW w:w="1038" w:type="dxa"/>
        <w:jc w:val="left"/>
        <w:tblInd w:w="0" w:type="dxa"/>
        <w:tblLayout w:type="fixed"/>
        <w:tblCellMar>
          <w:top w:w="0" w:type="dxa"/>
          <w:left w:w="0" w:type="dxa"/>
          <w:bottom w:w="0" w:type="dxa"/>
          <w:right w:w="0" w:type="dxa"/>
        </w:tblCellMar>
      </w:tblPr>
      <w:tblGrid>
        <w:gridCol w:w="38"/>
        <w:gridCol w:w="170"/>
        <w:gridCol w:w="8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8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Eric Bach</w:t>
            </w:r>
          </w:p>
        </w:tc>
      </w:tr>
    </w:tbl>
    <w:tbl>
      <w:tblPr>
        <w:tblW w:w="1593" w:type="dxa"/>
        <w:jc w:val="left"/>
        <w:tblInd w:w="0" w:type="dxa"/>
        <w:tblLayout w:type="fixed"/>
        <w:tblCellMar>
          <w:top w:w="0" w:type="dxa"/>
          <w:left w:w="0" w:type="dxa"/>
          <w:bottom w:w="0" w:type="dxa"/>
          <w:right w:w="0" w:type="dxa"/>
        </w:tblCellMar>
      </w:tblPr>
      <w:tblGrid>
        <w:gridCol w:w="38"/>
        <w:gridCol w:w="170"/>
        <w:gridCol w:w="13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Marc Winterhoff</w:t>
            </w:r>
          </w:p>
        </w:tc>
      </w:tr>
    </w:tbl>
    <w:tbl>
      <w:tblPr>
        <w:tblW w:w="1653" w:type="dxa"/>
        <w:jc w:val="left"/>
        <w:tblInd w:w="0" w:type="dxa"/>
        <w:tblLayout w:type="fixed"/>
        <w:tblCellMar>
          <w:top w:w="0" w:type="dxa"/>
          <w:left w:w="0" w:type="dxa"/>
          <w:bottom w:w="0" w:type="dxa"/>
          <w:right w:w="0" w:type="dxa"/>
        </w:tblCellMar>
      </w:tblPr>
      <w:tblGrid>
        <w:gridCol w:w="38"/>
        <w:gridCol w:w="170"/>
        <w:gridCol w:w="14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4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Turqi Alnowaiser</w:t>
            </w:r>
          </w:p>
        </w:tc>
      </w:tr>
    </w:tbl>
    <w:tbl>
      <w:tblPr>
        <w:tblW w:w="1488" w:type="dxa"/>
        <w:jc w:val="left"/>
        <w:tblInd w:w="0" w:type="dxa"/>
        <w:tblLayout w:type="fixed"/>
        <w:tblCellMar>
          <w:top w:w="0" w:type="dxa"/>
          <w:left w:w="0" w:type="dxa"/>
          <w:bottom w:w="0" w:type="dxa"/>
          <w:right w:w="0" w:type="dxa"/>
        </w:tblCellMar>
      </w:tblPr>
      <w:tblGrid>
        <w:gridCol w:w="38"/>
        <w:gridCol w:w="170"/>
        <w:gridCol w:w="12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1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Andrew Liveris</w:t>
            </w:r>
          </w:p>
        </w:tc>
      </w:tr>
    </w:tbl>
    <w:tbl>
      <w:tblPr>
        <w:tblW w:w="1503" w:type="dxa"/>
        <w:jc w:val="left"/>
        <w:tblInd w:w="0" w:type="dxa"/>
        <w:tblLayout w:type="fixed"/>
        <w:tblCellMar>
          <w:top w:w="0" w:type="dxa"/>
          <w:left w:w="0" w:type="dxa"/>
          <w:bottom w:w="0" w:type="dxa"/>
          <w:right w:w="0" w:type="dxa"/>
        </w:tblCellMar>
      </w:tblPr>
      <w:tblGrid>
        <w:gridCol w:w="38"/>
        <w:gridCol w:w="170"/>
        <w:gridCol w:w="12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Sherif Marakby</w:t>
            </w:r>
          </w:p>
        </w:tc>
      </w:tr>
    </w:tbl>
    <w:tbl>
      <w:tblPr>
        <w:tblW w:w="2298" w:type="dxa"/>
        <w:jc w:val="left"/>
        <w:tblInd w:w="0" w:type="dxa"/>
        <w:tblLayout w:type="fixed"/>
        <w:tblCellMar>
          <w:top w:w="0" w:type="dxa"/>
          <w:left w:w="0" w:type="dxa"/>
          <w:bottom w:w="0" w:type="dxa"/>
          <w:right w:w="0" w:type="dxa"/>
        </w:tblCellMar>
      </w:tblPr>
      <w:tblGrid>
        <w:gridCol w:w="38"/>
        <w:gridCol w:w="170"/>
        <w:gridCol w:w="20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2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Nichelle Maynard-Elliott</w:t>
            </w:r>
          </w:p>
        </w:tc>
      </w:tr>
    </w:tbl>
    <w:tbl>
      <w:tblPr>
        <w:tblW w:w="1248" w:type="dxa"/>
        <w:jc w:val="left"/>
        <w:tblInd w:w="0" w:type="dxa"/>
        <w:tblLayout w:type="fixed"/>
        <w:tblCellMar>
          <w:top w:w="0" w:type="dxa"/>
          <w:left w:w="0" w:type="dxa"/>
          <w:bottom w:w="0" w:type="dxa"/>
          <w:right w:w="0" w:type="dxa"/>
        </w:tblCellMar>
      </w:tblPr>
      <w:tblGrid>
        <w:gridCol w:w="38"/>
        <w:gridCol w:w="170"/>
        <w:gridCol w:w="10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1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Chabi Nouri</w:t>
            </w:r>
          </w:p>
        </w:tc>
      </w:tr>
    </w:tbl>
    <w:tbl>
      <w:tblPr>
        <w:tblW w:w="1353" w:type="dxa"/>
        <w:jc w:val="left"/>
        <w:tblInd w:w="0" w:type="dxa"/>
        <w:tblLayout w:type="fixed"/>
        <w:tblCellMar>
          <w:top w:w="0" w:type="dxa"/>
          <w:left w:w="0" w:type="dxa"/>
          <w:bottom w:w="0" w:type="dxa"/>
          <w:right w:w="0" w:type="dxa"/>
        </w:tblCellMar>
      </w:tblPr>
      <w:tblGrid>
        <w:gridCol w:w="38"/>
        <w:gridCol w:w="275"/>
        <w:gridCol w:w="104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1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Ori Winitzer</w:t>
            </w:r>
          </w:p>
        </w:tc>
      </w:tr>
    </w:tbl>
    <w:tbl>
      <w:tblPr>
        <w:tblW w:w="1308" w:type="dxa"/>
        <w:jc w:val="left"/>
        <w:tblInd w:w="0" w:type="dxa"/>
        <w:tblLayout w:type="fixed"/>
        <w:tblCellMar>
          <w:top w:w="0" w:type="dxa"/>
          <w:left w:w="0" w:type="dxa"/>
          <w:bottom w:w="0" w:type="dxa"/>
          <w:right w:w="0" w:type="dxa"/>
        </w:tblCellMar>
      </w:tblPr>
      <w:tblGrid>
        <w:gridCol w:w="38"/>
        <w:gridCol w:w="275"/>
        <w:gridCol w:w="99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Janet Wong</w:t>
            </w:r>
          </w:p>
        </w:tc>
      </w:tr>
    </w:tbl>
    <w:tbl>
      <w:tblPr>
        <w:tblW w:w="1413" w:type="dxa"/>
        <w:jc w:val="left"/>
        <w:tblInd w:w="0" w:type="dxa"/>
        <w:tblLayout w:type="fixed"/>
        <w:tblCellMar>
          <w:top w:w="0" w:type="dxa"/>
          <w:left w:w="0" w:type="dxa"/>
          <w:bottom w:w="0" w:type="dxa"/>
          <w:right w:w="0" w:type="dxa"/>
        </w:tblCellMar>
      </w:tblPr>
      <w:tblGrid>
        <w:gridCol w:w="38"/>
        <w:gridCol w:w="275"/>
        <w:gridCol w:w="110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11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Lisa Lambert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Sch C - 1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lock-up from directors and executive officers pursuant to Section 5(i)]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16,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BofA Securities,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Bryant Park</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Underwriter named in the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w:t>
      </w:r>
      <w:r>
        <w:rPr>
          <w:rFonts w:ascii="Times New Roman;Times;Serif" w:hAnsi="Times New Roman;Times;Serif"/>
          <w:b w:val="false"/>
          <w:i w:val="false"/>
          <w:caps w:val="false"/>
          <w:smallCaps w:val="false"/>
          <w:sz w:val="20"/>
          <w:u w:val="single"/>
        </w:rPr>
        <w:t>Proposed Public Offering by Lucid Group,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 and Madams: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 stockholder and/or an officer and/or a director of Lucid Group, Inc., a Delaware corporation (the “Company”), understands that BofA Securities Inc. (“BofA”) (the “Representative”) proposes to enter into an underwriting agreement (the “Underwriting Agreement”) with the Company providing for an underwritten public offering (the “Public Offering”) of the Class A common stock, par value $0.0001 per share, of the Company (the “Common Stock”). In recognition of the benefit that such an offering will confer upon the undersigned as a stockholder and/or an officer and/or a director of the Company, and for other good and valuable consideration, the receipt and sufficiency of which are hereby acknowledged, the undersigned agrees with BofA that, during the period beginning on the date hereof and ending on the date that is 120 days from the date of the Underwriting Agreement (the “Lock-up Period”), the undersigned will not, without the prior written consent of BofA (the “Lock-Up Release Agent”), (i) directly or indirectly, offer, pledge,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Common Stock, whether now owned or hereafter acquired by the undersigned or with respect to which the undersigned has or hereafter acquires the power of disposition (collectively, the “Lock-Up Securities”), or exercise any right with respect to the registration of any of the Lock-up Securities, or file, cause to be filed or cause to be confidentially submitted any registration statement in connection therewith, under the Securities Act of 1933, as amended, or (ii) enter into any swap or any other agreement or any transaction that transfers, in whole or in part, directly or indirectly, the economic consequence of ownership of the Lock-Up Securities, whether any such swap or transaction is to be settled by delivery of Common Stock or other securities, in cash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and subject to the conditions below, the undersigned may transfer the Lock-Up Securities without the prior written consent of the Lock-Up Release Agent, provided that in the case of any transfer of Lock-Up Securities pursuant to clauses ‎(i) through ‎(vii) set forth below, (1) BofA receives a signed lock-up agreement for the balance of the Lock-Up Period from each donee, trustee, distributee, or transferee, as the case may be, (2) any such transfer shall not involve a disposition for value, (3) any required public report or filing (including filings under Section 16(a) of the Securities Exchange Act of 1934, as amended (the “Exchange Act”)) shall disclose the nature of such transfer and that the Lock-Up Securities remain subject to this lock-up agreement, and (4) the undersigned does not otherwise voluntarily effect any public filing or report regarding such transfers: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447"/>
        <w:gridCol w:w="9685"/>
      </w:tblGrid>
      <w:tr>
        <w:trPr/>
        <w:tc>
          <w:tcPr>
            <w:tcW w:w="7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pPr>
            <w:r>
              <w:rPr/>
              <w:t>(i)</w:t>
            </w:r>
          </w:p>
        </w:tc>
        <w:tc>
          <w:tcPr>
            <w:tcW w:w="9685" w:type="dxa"/>
            <w:tcBorders/>
            <w:vAlign w:val="center"/>
          </w:tcPr>
          <w:p>
            <w:pPr>
              <w:pStyle w:val="TableContents"/>
              <w:bidi w:val="0"/>
              <w:spacing w:before="0" w:after="283"/>
              <w:jc w:val="both"/>
              <w:rPr/>
            </w:pPr>
            <w:r>
              <w:rPr/>
              <w:t>by will, other testamentary document or intestacy; 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7"/>
        <w:gridCol w:w="9881"/>
      </w:tblGrid>
      <w:tr>
        <w:trPr/>
        <w:tc>
          <w:tcPr>
            <w:tcW w:w="3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w:t>
            </w:r>
          </w:p>
        </w:tc>
        <w:tc>
          <w:tcPr>
            <w:tcW w:w="9881" w:type="dxa"/>
            <w:tcBorders/>
            <w:vAlign w:val="center"/>
          </w:tcPr>
          <w:p>
            <w:pPr>
              <w:pStyle w:val="TableContents"/>
              <w:bidi w:val="0"/>
              <w:spacing w:before="0" w:after="283"/>
              <w:jc w:val="both"/>
              <w:rPr/>
            </w:pPr>
            <w:r>
              <w:rPr>
                <w:rFonts w:ascii="Times New Roman;Times;Serif" w:hAnsi="Times New Roman;Times;Serif"/>
              </w:rPr>
              <w:t>a</w:t>
            </w:r>
            <w:r>
              <w:rPr/>
              <w:t xml:space="preserve">s a </w:t>
            </w:r>
            <w:r>
              <w:rPr>
                <w:i/>
              </w:rPr>
              <w:t>bona fide</w:t>
            </w:r>
            <w:r>
              <w:rPr/>
              <w:t xml:space="preserve"> gift or gifts, including to charitable organizations or for bona fide estate planning purposes;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7"/>
        <w:gridCol w:w="9891"/>
      </w:tblGrid>
      <w:tr>
        <w:trPr/>
        <w:tc>
          <w:tcPr>
            <w:tcW w:w="3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91" w:type="dxa"/>
            <w:tcBorders/>
            <w:vAlign w:val="center"/>
          </w:tcPr>
          <w:p>
            <w:pPr>
              <w:pStyle w:val="TableContents"/>
              <w:bidi w:val="0"/>
              <w:spacing w:before="0" w:after="283"/>
              <w:jc w:val="both"/>
              <w:rPr/>
            </w:pPr>
            <w:r>
              <w:rPr>
                <w:rFonts w:ascii="Times New Roman;Times;Serif" w:hAnsi="Times New Roman;Times;Serif"/>
                <w:sz w:val="20"/>
              </w:rPr>
              <w:t xml:space="preserve">to any trust for the direct or indirect benefit of the undersigned or the immediate family of the undersigned (for purposes of this lock-up agreement, “immediate family” shall mean any relationship by blood, marriage or adoption, not more remote than first cousin), </w:t>
            </w:r>
            <w:r>
              <w:rPr/>
              <w:t xml:space="preserve">or if the </w:t>
            </w:r>
            <w:r>
              <w:rPr>
                <w:sz w:val="20"/>
              </w:rPr>
              <w:t>undersigned is a trust, to a trustor or beneficiary of the trust or to the estate of a beneficiary of such trust;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7"/>
        <w:gridCol w:w="9861"/>
      </w:tblGrid>
      <w:tr>
        <w:trPr/>
        <w:tc>
          <w:tcPr>
            <w:tcW w:w="3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pPr>
            <w:r>
              <w:rPr/>
              <w:t>(iv)</w:t>
            </w:r>
          </w:p>
        </w:tc>
        <w:tc>
          <w:tcPr>
            <w:tcW w:w="9861" w:type="dxa"/>
            <w:tcBorders/>
            <w:vAlign w:val="center"/>
          </w:tcPr>
          <w:p>
            <w:pPr>
              <w:pStyle w:val="TableContents"/>
              <w:bidi w:val="0"/>
              <w:spacing w:before="0" w:after="283"/>
              <w:jc w:val="both"/>
              <w:rPr/>
            </w:pPr>
            <w:r>
              <w:rPr/>
              <w:t>to a partnership, limited liability company or other entity of which the undersigned and the immediate family of the undersigned are the legal and beneficial owner of all of the outstanding equity securities or similar interests;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(v)</w:t>
            </w:r>
          </w:p>
        </w:tc>
        <w:tc>
          <w:tcPr>
            <w:tcW w:w="9944" w:type="dxa"/>
            <w:tcBorders/>
            <w:vAlign w:val="center"/>
          </w:tcPr>
          <w:p>
            <w:pPr>
              <w:pStyle w:val="TableContents"/>
              <w:bidi w:val="0"/>
              <w:spacing w:before="0" w:after="283"/>
              <w:jc w:val="both"/>
              <w:rPr/>
            </w:pPr>
            <w:r>
              <w:rPr/>
              <w:t>if the undersigned is a corporation, partnership, limited liability company, trust or other business entity, (A) to another corporation, partnership, limited liability company, trust or other business entity that is an affiliate (as defined in Rule 405 promulgated under the Securities Act of 1933, as amended) of the undersigned, or to any investment fund or other entity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or (B) as part of a distribution to members or shareholders of the undersigned;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33"/>
        <w:gridCol w:w="9835"/>
      </w:tblGrid>
      <w:tr>
        <w:trPr/>
        <w:tc>
          <w:tcPr>
            <w:tcW w:w="37"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pPr>
            <w:r>
              <w:rPr/>
              <w:t>(vi)</w:t>
            </w:r>
          </w:p>
        </w:tc>
        <w:tc>
          <w:tcPr>
            <w:tcW w:w="9835" w:type="dxa"/>
            <w:tcBorders/>
            <w:vAlign w:val="center"/>
          </w:tcPr>
          <w:p>
            <w:pPr>
              <w:pStyle w:val="TableContents"/>
              <w:bidi w:val="0"/>
              <w:spacing w:before="0" w:after="283"/>
              <w:jc w:val="both"/>
              <w:rPr/>
            </w:pPr>
            <w:r>
              <w:rPr/>
              <w:t>to a nominee or custodian of any person or entity to whom a transfer would be permissible under clauses ‎(i) through ‎(v) above;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76"/>
        <w:gridCol w:w="9792"/>
      </w:tblGrid>
      <w:tr>
        <w:trPr/>
        <w:tc>
          <w:tcPr>
            <w:tcW w:w="3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pPr>
            <w:r>
              <w:rPr/>
              <w:t>(vii)</w:t>
            </w:r>
          </w:p>
        </w:tc>
        <w:tc>
          <w:tcPr>
            <w:tcW w:w="9792" w:type="dxa"/>
            <w:tcBorders/>
            <w:vAlign w:val="center"/>
          </w:tcPr>
          <w:p>
            <w:pPr>
              <w:pStyle w:val="TableContents"/>
              <w:bidi w:val="0"/>
              <w:spacing w:before="0" w:after="283"/>
              <w:jc w:val="both"/>
              <w:rPr/>
            </w:pPr>
            <w:r>
              <w:rPr/>
              <w:t>in the case of an individual, by operation of law, such as pursuant to a qualified domestic order, divorce settlement, divorce decree, separation agreement or related court order;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33"/>
        <w:gridCol w:w="9735"/>
      </w:tblGrid>
      <w:tr>
        <w:trPr/>
        <w:tc>
          <w:tcPr>
            <w:tcW w:w="37"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pPr>
            <w:r>
              <w:rPr/>
              <w:t>(viii)</w:t>
            </w:r>
          </w:p>
        </w:tc>
        <w:tc>
          <w:tcPr>
            <w:tcW w:w="9735" w:type="dxa"/>
            <w:tcBorders/>
            <w:vAlign w:val="center"/>
          </w:tcPr>
          <w:p>
            <w:pPr>
              <w:pStyle w:val="TableContents"/>
              <w:bidi w:val="0"/>
              <w:spacing w:before="0" w:after="283"/>
              <w:jc w:val="both"/>
              <w:rPr/>
            </w:pPr>
            <w:r>
              <w:rPr/>
              <w:t>from an employee or a director of, or a service provider to, the Company or any of its subsidiaries upon the death, disability or termination of employment, in each case, of such person;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7"/>
        <w:gridCol w:w="9881"/>
      </w:tblGrid>
      <w:tr>
        <w:trPr/>
        <w:tc>
          <w:tcPr>
            <w:tcW w:w="3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pPr>
            <w:r>
              <w:rPr/>
              <w:t>(ix)</w:t>
            </w:r>
          </w:p>
        </w:tc>
        <w:tc>
          <w:tcPr>
            <w:tcW w:w="9881" w:type="dxa"/>
            <w:tcBorders/>
            <w:vAlign w:val="center"/>
          </w:tcPr>
          <w:p>
            <w:pPr>
              <w:pStyle w:val="TableContents"/>
              <w:bidi w:val="0"/>
              <w:spacing w:before="0" w:after="283"/>
              <w:jc w:val="both"/>
              <w:rPr/>
            </w:pPr>
            <w:r>
              <w:rPr/>
              <w:t>pursuant to a bona fide third-party tender offer, merger, consolidation or other similar transaction that is approved by the board of directors of the Company and made to all holders of shares of the Company’s capital stock involving a Change of Control (as defined below) (including negotiating and entering into an agreement providing for any such transaction), provided that in the event that such tender offer, merger, consolidation or other similar transaction is not completed, the undersigned’s Lock-Up Securities shall remain subject to this lock-up agreement;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(x)</w:t>
            </w:r>
          </w:p>
        </w:tc>
        <w:tc>
          <w:tcPr>
            <w:tcW w:w="9946" w:type="dxa"/>
            <w:tcBorders/>
            <w:vAlign w:val="center"/>
          </w:tcPr>
          <w:p>
            <w:pPr>
              <w:pStyle w:val="TableContents"/>
              <w:bidi w:val="0"/>
              <w:spacing w:before="0" w:after="283"/>
              <w:jc w:val="both"/>
              <w:rPr/>
            </w:pPr>
            <w:r>
              <w:rPr/>
              <w:t>in connection with the exercise of any stock options or warrants, or the vesting or settlement of any restricted stock units or other compensatory equity securities in respect of shares of the Company outstanding as of the date hereof for any payment due for the exercise of options or other rights to purchase securities of the Company (including, in each case, by way of a “cashless” or “net exercise”) and to cover tax withholding obligations or taxes due (including estimated taxes and remittance payments) in connection with such vesting, settlement or exercise (including by means of a “net settlement,” “sell to cover” or otherwise); provided that any shares received upon any exercise or settlement of such equity awards (after giving effect to any net or cashless exercise or sell-to-cover transaction pursuant to this clause (x)) will remain subject to this lock-up agreement; 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948" w:type="dxa"/>
        <w:jc w:val="left"/>
        <w:tblInd w:w="0" w:type="dxa"/>
        <w:tblLayout w:type="fixed"/>
        <w:tblCellMar>
          <w:top w:w="0" w:type="dxa"/>
          <w:left w:w="0" w:type="dxa"/>
          <w:bottom w:w="0" w:type="dxa"/>
          <w:right w:w="0" w:type="dxa"/>
        </w:tblCellMar>
      </w:tblPr>
      <w:tblGrid>
        <w:gridCol w:w="38"/>
        <w:gridCol w:w="305"/>
        <w:gridCol w:w="9605"/>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w:t>
            </w:r>
          </w:p>
        </w:tc>
        <w:tc>
          <w:tcPr>
            <w:tcW w:w="9605" w:type="dxa"/>
            <w:tcBorders/>
            <w:vAlign w:val="center"/>
          </w:tcPr>
          <w:p>
            <w:pPr>
              <w:pStyle w:val="TableContents"/>
              <w:bidi w:val="0"/>
              <w:spacing w:before="0" w:after="283"/>
              <w:jc w:val="both"/>
              <w:rPr/>
            </w:pPr>
            <w:r>
              <w:rPr>
                <w:sz w:val="20"/>
              </w:rPr>
              <w:t>pursuant to trading plans established in accordance with Rule 10b5-1 under the Exchange</w:t>
            </w:r>
            <w:r>
              <w:rPr/>
              <w:t xml:space="preserve"> </w:t>
            </w:r>
            <w:r>
              <w:rPr>
                <w:sz w:val="20"/>
              </w:rPr>
              <w:t>Act prior to the date 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undersigned may enter into a trading plan established in accordance with Rule 10b5-1 under the Exchange Act during the Lock-Up Period so long as no transfers are effected under such trading plan prior to the expiration of the Lock-Up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may sell shares of Common Stock of the Company purchased by the undersigned on the open market following the Public Offering if and only if (i) such sales are not required to be reported in any public report or filing with the Securities and Exchange Commission, or otherwise and (ii) the undersigned does not otherwise voluntarily effect any public filing or report regarding such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lock-up agreement, “Change of Control” means the transfer to or acquisition by (whether by tender offer, merger, consolidation, division or other similar transaction), in one transaction or a series of related transactions, a person or entity or group of affiliated persons or entities (other than an underwriter pursuant to an offering), of the Company’s voting securities if, after such transfer or acquisition, such person, entity or group of affiliated persons or entities would beneficially own (as defined in Rule 13d-3 promulgated under the Exchange Act) more than 90% of the outstanding voting securities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also agrees and consents to the entry of stop transfer instructions with the Company’s transfer agent and registrar against the transfer of the Lock-Up Securities except in compliance with the foregoing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this lock-up agreement shall not be deemed to prohibit the Company from amending or supplementing its existing resale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contained herein, this lock-up agreement will automatically terminate and the undersigned shall be released from all obligations hereunder upon the earliest to occur of (A) the Company advising BofA in writing that it has determined not to proceed with the Public Offering, (B) the Underwriting Agreement being executed but then terminated (other than the provisions thereof which survive termination) prior to payment for and delivery of any Common Stock to be sold thereunder, or (C) December 31, 2024, if the Underwriting Agreement does not become effective by such date.</w:t>
      </w:r>
    </w:p>
    <w:p>
      <w:pPr>
        <w:pStyle w:val="TextBody"/>
        <w:bidi w:val="0"/>
        <w:spacing w:before="0" w:after="0"/>
        <w:ind w:left="0" w:right="0" w:hanging="0"/>
        <w:jc w:val="left"/>
        <w:rPr>
          <w:caps w:val="false"/>
          <w:smallCaps w:val="false"/>
        </w:rPr>
      </w:pPr>
      <w:r>
        <w:rPr>
          <w:caps w:val="false"/>
          <w:smallCaps w:val="false"/>
        </w:rPr>
        <w:t> </w:t>
      </w:r>
    </w:p>
    <w:tbl>
      <w:tblPr>
        <w:tblW w:w="1850" w:type="dxa"/>
        <w:jc w:val="left"/>
        <w:tblInd w:w="0" w:type="dxa"/>
        <w:tblLayout w:type="fixed"/>
        <w:tblCellMar>
          <w:top w:w="0" w:type="dxa"/>
          <w:left w:w="0" w:type="dxa"/>
          <w:bottom w:w="0" w:type="dxa"/>
          <w:right w:w="0" w:type="dxa"/>
        </w:tblCellMar>
      </w:tblPr>
      <w:tblGrid>
        <w:gridCol w:w="75"/>
        <w:gridCol w:w="1160"/>
        <w:gridCol w:w="615"/>
      </w:tblGrid>
      <w:tr>
        <w:trPr/>
        <w:tc>
          <w:tcPr>
            <w:tcW w:w="75" w:type="dxa"/>
            <w:tcBorders/>
            <w:vAlign w:val="center"/>
          </w:tcPr>
          <w:p>
            <w:pPr>
              <w:pStyle w:val="TableContents"/>
              <w:bidi w:val="0"/>
              <w:spacing w:before="0" w:after="283"/>
              <w:jc w:val="left"/>
              <w:rPr>
                <w:sz w:val="4"/>
                <w:szCs w:val="4"/>
              </w:rPr>
            </w:pPr>
            <w:r>
              <w:rPr>
                <w:sz w:val="4"/>
                <w:szCs w:val="4"/>
              </w:rPr>
            </w:r>
          </w:p>
        </w:tc>
        <w:tc>
          <w:tcPr>
            <w:tcW w:w="1775" w:type="dxa"/>
            <w:gridSpan w:val="2"/>
            <w:tcBorders/>
            <w:vAlign w:val="center"/>
          </w:tcPr>
          <w:p>
            <w:pPr>
              <w:pStyle w:val="TableContents"/>
              <w:bidi w:val="0"/>
              <w:spacing w:before="0" w:after="283"/>
              <w:jc w:val="left"/>
              <w:rPr/>
            </w:pPr>
            <w:r>
              <w:rPr/>
              <w:t>Very truly yours,</w:t>
            </w:r>
          </w:p>
        </w:tc>
      </w:tr>
      <w:tr>
        <w:trPr/>
        <w:tc>
          <w:tcPr>
            <w:tcW w:w="7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Signature:</w:t>
            </w:r>
          </w:p>
        </w:tc>
        <w:tc>
          <w:tcPr>
            <w:tcW w:w="61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Print Name:</w:t>
            </w:r>
          </w:p>
        </w:tc>
        <w:tc>
          <w:tcPr>
            <w:tcW w:w="615" w:type="dxa"/>
            <w:tcBorders>
              <w:bottom w:val="single" w:sz="8" w:space="0" w:color="000000"/>
            </w:tcBorders>
            <w:tcMar>
              <w:bottom w:w="28" w:type="dxa"/>
            </w:tcMar>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A-3</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4" w:name="tm2426052d5_ex5-1.htm"/>
      <w:bookmarkStart w:id="25" w:name="kstm2426052d5_ex51"/>
      <w:bookmarkEnd w:id="24"/>
      <w:bookmarkEnd w:id="25"/>
      <w:r>
        <w:rPr/>
        <w:t> </w:t>
      </w:r>
      <w:r>
        <w:br w:type="page"/>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5.1</w:t>
      </w:r>
    </w:p>
    <w:tbl>
      <w:tblPr>
        <w:tblW w:w="5778" w:type="dxa"/>
        <w:jc w:val="left"/>
        <w:tblInd w:w="0" w:type="dxa"/>
        <w:tblLayout w:type="fixed"/>
        <w:tblCellMar>
          <w:top w:w="0" w:type="dxa"/>
          <w:left w:w="0" w:type="dxa"/>
          <w:bottom w:w="0" w:type="dxa"/>
          <w:right w:w="0" w:type="dxa"/>
        </w:tblCellMar>
      </w:tblPr>
      <w:tblGrid>
        <w:gridCol w:w="38"/>
        <w:gridCol w:w="3980"/>
        <w:gridCol w:w="1760"/>
      </w:tblGrid>
      <w:tr>
        <w:trPr/>
        <w:tc>
          <w:tcPr>
            <w:tcW w:w="38" w:type="dxa"/>
            <w:tcBorders/>
            <w:vAlign w:val="center"/>
          </w:tcPr>
          <w:p>
            <w:pPr>
              <w:pStyle w:val="TableContents"/>
              <w:bidi w:val="0"/>
              <w:spacing w:before="0" w:after="283"/>
              <w:jc w:val="left"/>
              <w:rPr>
                <w:sz w:val="4"/>
                <w:szCs w:val="4"/>
              </w:rPr>
            </w:pPr>
            <w:r>
              <w:rPr>
                <w:sz w:val="4"/>
                <w:szCs w:val="4"/>
              </w:rPr>
            </w:r>
          </w:p>
        </w:tc>
        <w:tc>
          <w:tcPr>
            <w:tcW w:w="398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Skadden, Arps, Slate, Meagher &amp; Flom llp</w:t>
            </w:r>
          </w:p>
          <w:p>
            <w:pPr>
              <w:pStyle w:val="TableContents"/>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525 University Avenue</w:t>
            </w:r>
          </w:p>
          <w:p>
            <w:pPr>
              <w:pStyle w:val="TableContents"/>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Palo Alto, California 94301</w:t>
            </w:r>
          </w:p>
          <w:p>
            <w:pPr>
              <w:pStyle w:val="TableContents"/>
              <w:bidi w:val="0"/>
              <w:ind w:left="0" w:right="0" w:hanging="0"/>
              <w:jc w:val="left"/>
              <w:rPr>
                <w:bdr w:val="single" w:sz="8" w:space="1" w:color="000000"/>
              </w:rPr>
            </w:pPr>
            <w:r>
              <w:rPr>
                <w:bdr w:val="single" w:sz="8" w:space="1" w:color="000000"/>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(650) 470-4500</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(650) 470-4570</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www.skadden.com</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1760" w:type="dxa"/>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FIRM/AFFILIATE</w:t>
              <w:br/>
              <w:t>OFFICES</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WILMINGTON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BRUSSELS</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FRANKFURT</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LONDON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MUNICH</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PARIS</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SÃO PAULO</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SEOUL</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TOKYO</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TORONTO</w:t>
            </w:r>
          </w:p>
        </w:tc>
      </w:tr>
    </w:tbl>
    <w:p>
      <w:pPr>
        <w:pStyle w:val="TextBody"/>
        <w:bidi w:val="0"/>
        <w:spacing w:before="0" w:after="283"/>
        <w:jc w:val="left"/>
        <w:rPr/>
      </w:pPr>
      <w:r>
        <w:rPr/>
        <w:t> </w:t>
      </w:r>
    </w:p>
    <w:tbl>
      <w:tblPr>
        <w:tblW w:w="1543" w:type="dxa"/>
        <w:jc w:val="left"/>
        <w:tblInd w:w="0" w:type="dxa"/>
        <w:tblLayout w:type="fixed"/>
        <w:tblCellMar>
          <w:top w:w="0" w:type="dxa"/>
          <w:left w:w="0" w:type="dxa"/>
          <w:bottom w:w="0" w:type="dxa"/>
          <w:right w:w="0" w:type="dxa"/>
        </w:tblCellMar>
      </w:tblPr>
      <w:tblGrid>
        <w:gridCol w:w="38"/>
        <w:gridCol w:w="143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20"/>
              </w:rPr>
            </w:pPr>
            <w:r>
              <w:rPr>
                <w:sz w:val="20"/>
              </w:rPr>
              <w:t>October 18, 2024</w:t>
            </w:r>
          </w:p>
        </w:tc>
        <w:tc>
          <w:tcPr>
            <w:tcW w:w="75" w:type="dxa"/>
            <w:tcBorders/>
            <w:vAlign w:val="center"/>
          </w:tcPr>
          <w:p>
            <w:pPr>
              <w:pStyle w:val="TableContents"/>
              <w:bidi w:val="0"/>
              <w:spacing w:before="0" w:after="283"/>
              <w:jc w:val="both"/>
              <w:rPr/>
            </w:pPr>
            <w:r>
              <w:rPr/>
              <w:t> </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Lucid Group,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7373 Gateway Boulevard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Newark, California 94560</w:t>
      </w:r>
    </w:p>
    <w:p>
      <w:pPr>
        <w:pStyle w:val="TextBody"/>
        <w:bidi w:val="0"/>
        <w:spacing w:before="0" w:after="0"/>
        <w:ind w:left="0" w:right="0" w:hanging="0"/>
        <w:jc w:val="left"/>
        <w:rPr>
          <w:caps w:val="false"/>
          <w:smallCaps w:val="false"/>
        </w:rPr>
      </w:pPr>
      <w:r>
        <w:rPr>
          <w:caps w:val="false"/>
          <w:smallCaps w:val="false"/>
        </w:rPr>
        <w:t> </w:t>
      </w:r>
    </w:p>
    <w:tbl>
      <w:tblPr>
        <w:tblW w:w="2568" w:type="dxa"/>
        <w:jc w:val="left"/>
        <w:tblInd w:w="0" w:type="dxa"/>
        <w:tblLayout w:type="fixed"/>
        <w:tblCellMar>
          <w:top w:w="0" w:type="dxa"/>
          <w:left w:w="0" w:type="dxa"/>
          <w:bottom w:w="0" w:type="dxa"/>
          <w:right w:w="0" w:type="dxa"/>
        </w:tblCellMar>
      </w:tblPr>
      <w:tblGrid>
        <w:gridCol w:w="38"/>
        <w:gridCol w:w="305"/>
        <w:gridCol w:w="2225"/>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20"/>
              </w:rPr>
            </w:pPr>
            <w:r>
              <w:rPr>
                <w:sz w:val="20"/>
              </w:rPr>
              <w:t>Re:</w:t>
            </w:r>
          </w:p>
        </w:tc>
        <w:tc>
          <w:tcPr>
            <w:tcW w:w="2225" w:type="dxa"/>
            <w:tcBorders/>
            <w:vAlign w:val="center"/>
          </w:tcPr>
          <w:p>
            <w:pPr>
              <w:pStyle w:val="TableContents"/>
              <w:bidi w:val="0"/>
              <w:spacing w:before="0" w:after="283"/>
              <w:jc w:val="both"/>
              <w:rPr>
                <w:sz w:val="20"/>
              </w:rPr>
            </w:pPr>
            <w:r>
              <w:rPr>
                <w:sz w:val="20"/>
              </w:rPr>
              <w:t>Lucid Group, Inc.</w:t>
              <w:br/>
            </w:r>
            <w:r>
              <w:rPr>
                <w:sz w:val="20"/>
                <w:u w:val="single"/>
              </w:rPr>
              <w:t>Offering of Common Stock</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special United States counsel to Lucid Group, Inc., a Delaware corporation (the “Company”), in connection with the public offering by the Company of 301,813,971 shares of common stock, par value $0.0001 per share (“Common Stock”), of the Company (including up to 39,367,040 shares of Common Stock subject to an over-allotment option)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being furnished in accordance with the requirements of Item 601(b)(5) of Regulation S-K under the Securities Act of 1933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Lucid Group,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18, 2024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opinions stated herein, we have examined and relied upon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registration statement on Form S-3ASR (File No. 333-282677) of the Company relating to Common Stock and other securities of the Company filed on October 16, 2024 with the Securities and Exchange Commission (the “Commission”) under the Securities Act allowing for delayed offerings pursuant to Rule 415 of the General Rules and Regulations under the Securities Act (the “Rules and Regulations”), including the information deemed to be a part of the registration statement pursuant to Rule 430B of the Rules and Regulations being hereinafter referred to as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prospectus, dated October 16, 2024 (the “Base Prospectus”), which forms a part of and is included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preliminary prospectus supplement, dated October 16, 2024 (together with the Base Prospectus, the “Preliminary Prospectus”), relating to the offering of the Shares, in the form filed with the Commission pursuant to Rule 424(b) of the Rules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prospectus supplement, dated October 16, 2024 (together with the Base Prospectus, the “Prospectus”), relating to the offering of the Shares, in the form filed with the Commission pursuant to Rule 424(b) of the Rules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 executed copy of the Underwriting Agreement (the “Underwriting Agreement”), dated October 16, 2024 between the Company and BofA Securities, Inc. (the “Underwriter”), relating to the sale by the Company to the Underwriter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 executed copy of a certificate of Dan Horwood, Assistant Secretary of the Company, dated the date hereof (the “Secretary’s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 copy of the Company’s Third Amended and Restated Certificate of Incorporation, certified by the Secretary of State of the State of Delaware as of October 16, 2024, and certified pursuant to the Secretary’s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 copy of the Company’s Second Amended and Restated Bylaws, in effect as of the date hereof and certified pursuant to the Secretary’s Certificate;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copy of certain action by written consent of the Board of Directors of the Company, adopted on October 15, 2024 and certain resolutions of the Pricing Committee thereof, adopted on October 16, 2024, certified pursuant to the Secretary’s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as we have deemed necessary or appropriate as a basis for the opinions stated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Lucid Group,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18, 2024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examination, we have assumed the genuineness of all signatures, including electronic signatures, the legal capacity and competency of all natural persons, the authenticity of all documents submitted to us as originals, the conformity to original documents of all documents submitted to us as facsimile, electronic, certified or photocopied copies, and the authenticity of the originals of such copies. As to any facts relevant to the opinions stated herein that we did not independently establish or verify, we have relied upon statements and representations of officers and other representatives of the Company and others and of public officials, including the facts and conclusions set forth in the Secretary’s Certificate and the factual representations and warranties set forth in the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express any opinion with respect to the laws of any jurisdiction other than the General Corporation Law of the State of Delaware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herein, “Organizational Documents” means those documents listed in paragraphs (h) and (i)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subject to the qualifications and assumptions stated herein, we are of the opinion that the Shares have been duly authorized by all requisite corporate action on the part of the Company under the DGCL and when issued and sold in accordance with the Underwriting Agreement, will be validly issued, fully paid and nonassessable, provided that the consideration therefor is not less than $0.0001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rendering the foregoing opinion we have assumed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Company’s issuance of the Shares does not and will not (i) except to the extent expressly stated in the opinions contained herein, violate any statute to which the Company or such issuance is subject, or (ii) constitute a violation of, or a breach under, or require the consent or approval of any other person under, any agreement or instrument binding on the Company (except that we do not make this assumption with respect to the Organizational Documents or those agreements or instruments expressed to be governed by the laws of the State of New York which are listed in Part II of the Registration Statement or the Company’s Annual Report on Form 10-K for the year ended December 31, 2023, although we have assumed compliance with any covenant, restriction or provision with respect to financial ratios or tests or any aspect of the financial condition or results of operations of the Company contained in such agreements or instruments);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Company’s authorized capital stock is as set forth in the Certificate of Incorporation, and we have relied solely on the certified copy thereof issued by the Secretary of State of the State of Delaware and have not made any other inquiries or investigations.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shall be interpreted in accordance with customary practice of United States lawyers who regularly give opinions in transactions of this type.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Lucid Group,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18, 2024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reference to our firm under the heading “Legal Matters” in the Preliminary Prospectus and the Prospectus. We also hereby consent to the filing of this opinion with the Commission as an exhibit to the Company’s Current Report on Form 8-K being filed on the date hereof and incorporated by reference into the Registration Statement. In giving this consent, we do not thereby admit that we are within the category of persons whose consent is required under Section 7 of the Securities Act or the Rules and Regulations.</w:t>
      </w:r>
    </w:p>
    <w:p>
      <w:pPr>
        <w:pStyle w:val="TextBody"/>
        <w:bidi w:val="0"/>
        <w:spacing w:before="0" w:after="0"/>
        <w:ind w:left="0" w:right="0" w:hanging="0"/>
        <w:jc w:val="left"/>
        <w:rPr>
          <w:caps w:val="false"/>
          <w:smallCaps w:val="false"/>
        </w:rPr>
      </w:pPr>
      <w:r>
        <w:rPr>
          <w:caps w:val="false"/>
          <w:smallCaps w:val="false"/>
        </w:rPr>
        <w:t> </w:t>
      </w:r>
    </w:p>
    <w:tbl>
      <w:tblPr>
        <w:tblW w:w="3875" w:type="dxa"/>
        <w:jc w:val="left"/>
        <w:tblInd w:w="0" w:type="dxa"/>
        <w:tblLayout w:type="fixed"/>
        <w:tblCellMar>
          <w:top w:w="0" w:type="dxa"/>
          <w:left w:w="0" w:type="dxa"/>
          <w:bottom w:w="0" w:type="dxa"/>
          <w:right w:w="0" w:type="dxa"/>
        </w:tblCellMar>
      </w:tblPr>
      <w:tblGrid>
        <w:gridCol w:w="75"/>
        <w:gridCol w:w="3800"/>
      </w:tblGrid>
      <w:tr>
        <w:trPr/>
        <w:tc>
          <w:tcPr>
            <w:tcW w:w="75"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Skadden, Arps, Slate, Meagher &amp; Flom LLP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BDP</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pPr>
      <w:r>
        <w:rPr/>
        <w:t> </w:t>
      </w:r>
    </w:p>
    <w:p>
      <w:pPr>
        <w:pStyle w:val="TextBody"/>
        <w:bidi w:val="0"/>
        <w:jc w:val="left"/>
        <w:rPr/>
      </w:pPr>
      <w:bookmarkStart w:id="26" w:name="tm2426052d5_ex10-1.htm"/>
      <w:bookmarkStart w:id="27" w:name="kstm2426052d5_ex101"/>
      <w:bookmarkEnd w:id="26"/>
      <w:bookmarkEnd w:id="27"/>
      <w:r>
        <w:rPr/>
        <w:t> </w:t>
      </w:r>
      <w:r>
        <w:br w:type="page"/>
      </w:r>
    </w:p>
    <w:p>
      <w:pPr>
        <w:pStyle w:val="TextBody"/>
        <w:bidi w:val="0"/>
        <w:jc w:val="right"/>
        <w:rPr>
          <w:b/>
        </w:rPr>
      </w:pPr>
      <w:r>
        <w:rPr>
          <w:b/>
        </w:rPr>
        <w:t>Exhibit 10.1</w:t>
      </w:r>
    </w:p>
    <w:p>
      <w:pPr>
        <w:pStyle w:val="TextBody"/>
        <w:pBdr>
          <w:bottom w:val="double" w:sz="6" w:space="1" w:color="000000"/>
        </w:pBdr>
        <w:bidi w:val="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and between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LUCID GROUP,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AYAR THIRD INVESTMENT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the Date Set Forth in Schedule 1</w:t>
      </w:r>
    </w:p>
    <w:p>
      <w:pPr>
        <w:pStyle w:val="TextBody"/>
        <w:bidi w:val="0"/>
        <w:spacing w:before="0" w:after="0"/>
        <w:ind w:left="0" w:right="0" w:hanging="0"/>
        <w:jc w:val="left"/>
        <w:rPr>
          <w:caps w:val="false"/>
          <w:smallCaps w:val="false"/>
        </w:rPr>
      </w:pPr>
      <w:r>
        <w:rPr>
          <w:caps w:val="false"/>
          <w:smallCaps w:val="false"/>
        </w:rPr>
        <w:t> </w:t>
      </w:r>
    </w:p>
    <w:p>
      <w:pPr>
        <w:pStyle w:val="TextBody"/>
        <w:pBdr>
          <w:top w:val="double" w:sz="6"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SUBSCRIPTION AGREEMENT</w:t>
      </w:r>
      <w:r>
        <w:rPr>
          <w:rFonts w:ascii="Times New Roman;Times;Serif" w:hAnsi="Times New Roman;Times;Serif"/>
          <w:b w:val="false"/>
          <w:i w:val="false"/>
          <w:caps w:val="false"/>
          <w:smallCaps w:val="false"/>
          <w:sz w:val="20"/>
        </w:rPr>
        <w:t>, dated as of the date set forth on Schedule 1 hereto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by and between Lucid Group,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Ayar Third Investment Company, a single shareholder limited liability company organized under the laws of the Kingdom of Saudi Arabia (the “</w:t>
      </w:r>
      <w:r>
        <w:rPr>
          <w:rFonts w:ascii="Times New Roman;Times;Serif" w:hAnsi="Times New Roman;Times;Serif"/>
          <w:b/>
          <w:i w:val="false"/>
          <w:caps w:val="false"/>
          <w:smallCaps w:val="false"/>
          <w:sz w:val="20"/>
        </w:rPr>
        <w:t>Investor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concurrently with this Agreement, the Company is entering into an Underwriting Agreement (as amended or modified from time to time, the “</w:t>
      </w:r>
      <w:r>
        <w:rPr>
          <w:rFonts w:ascii="Times New Roman;Times;Serif" w:hAnsi="Times New Roman;Times;Serif"/>
          <w:b/>
          <w:i w:val="false"/>
          <w:caps w:val="false"/>
          <w:smallCaps w:val="false"/>
          <w:sz w:val="20"/>
        </w:rPr>
        <w:t>Underwriting Agreement</w:t>
      </w:r>
      <w:r>
        <w:rPr>
          <w:rFonts w:ascii="Times New Roman;Times;Serif" w:hAnsi="Times New Roman;Times;Serif"/>
          <w:b w:val="false"/>
          <w:i w:val="false"/>
          <w:caps w:val="false"/>
          <w:smallCaps w:val="false"/>
          <w:sz w:val="20"/>
        </w:rPr>
        <w:t>”) with the underwriter named therein (the “</w:t>
      </w:r>
      <w:r>
        <w:rPr>
          <w:rFonts w:ascii="Times New Roman;Times;Serif" w:hAnsi="Times New Roman;Times;Serif"/>
          <w:b/>
          <w:i w:val="false"/>
          <w:caps w:val="false"/>
          <w:smallCaps w:val="false"/>
          <w:sz w:val="20"/>
        </w:rPr>
        <w:t>Underwriter</w:t>
      </w:r>
      <w:r>
        <w:rPr>
          <w:rFonts w:ascii="Times New Roman;Times;Serif" w:hAnsi="Times New Roman;Times;Serif"/>
          <w:b w:val="false"/>
          <w:i w:val="false"/>
          <w:caps w:val="false"/>
          <w:smallCaps w:val="false"/>
          <w:sz w:val="20"/>
        </w:rPr>
        <w:t>”) pursuant to which the Company is offering shares of its Class A common stock, par value $0.0001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Public Offering</w:t>
      </w:r>
      <w:r>
        <w:rPr>
          <w:rFonts w:ascii="Times New Roman;Times;Serif" w:hAnsi="Times New Roman;Times;Serif"/>
          <w:b w:val="false"/>
          <w:i w:val="false"/>
          <w:caps w:val="false"/>
          <w:smallCaps w:val="false"/>
          <w:sz w:val="20"/>
        </w:rPr>
        <w:t>”) pursuant to the Registration Statement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desires to issue and sell to the Investor, and the Investor desires to purchase from the Company, in a private placement, a number of shares of Common Stock in a pro rata proportion to the number of shares sold by the Company in the Public Offering, based on the Investor Ownership Percentage (as defined below) and at the same price initially to be paid by the Underwriter as set forth in the Underwriting Agreement for such Public Offering (prior to any subsequent upward adjustment in the price to be paid by the Underwriter pursuant to the Underwriting Agreement), subject to the terms and conditions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representations, warranties, covenants and agreements contained in this Agreement, the receipt and sufficiency of which are hereby acknowledged, the parties to this Agreement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1</w:t>
      </w:r>
      <w:r>
        <w:rPr>
          <w:rFonts w:ascii="Times New Roman;Times;Serif" w:hAnsi="Times New Roman;Times;Serif"/>
          <w:b w:val="false"/>
          <w:i w:val="false"/>
          <w:smallCaps/>
          <w:sz w:val="20"/>
        </w:rPr>
        <w:b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         </w:t>
      </w:r>
      <w:r>
        <w:rPr>
          <w:rFonts w:ascii="Times New Roman;Times;Serif" w:hAnsi="Times New Roman;Times;Serif"/>
          <w:b w:val="false"/>
          <w:i/>
          <w:caps w:val="false"/>
          <w:smallCaps w:val="false"/>
          <w:sz w:val="20"/>
        </w:rPr>
        <w:t>Definitions</w:t>
      </w:r>
      <w:r>
        <w:rPr>
          <w:rFonts w:ascii="Times New Roman;Times;Serif" w:hAnsi="Times New Roman;Times;Serif"/>
          <w:b w:val="false"/>
          <w:i w:val="false"/>
          <w:caps w:val="false"/>
          <w:smallCaps w:val="false"/>
          <w:sz w:val="20"/>
        </w:rPr>
        <w:t>. (a) As used in this Agreement (including the recitals hereto), the following terms shall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xml:space="preserve">” means, with respect to any Person, any other Person that, directly or indirectly, through one or more intermediaries, controls, is controlled by, or is under common control with, such Person;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for purposes of this Agreement only, the Company shall not be deemed an Affiliate of the Investor or any of the Investor’s Affiliates. The term “</w:t>
      </w:r>
      <w:r>
        <w:rPr>
          <w:rFonts w:ascii="Times New Roman;Times;Serif" w:hAnsi="Times New Roman;Times;Serif"/>
          <w:b/>
          <w:i w:val="false"/>
          <w:caps w:val="false"/>
          <w:smallCaps w:val="false"/>
          <w:sz w:val="20"/>
        </w:rPr>
        <w:t>control</w:t>
      </w:r>
      <w:r>
        <w:rPr>
          <w:rFonts w:ascii="Times New Roman;Times;Serif" w:hAnsi="Times New Roman;Times;Serif"/>
          <w:b w:val="false"/>
          <w:i w:val="false"/>
          <w:caps w:val="false"/>
          <w:smallCaps w:val="false"/>
          <w:sz w:val="20"/>
        </w:rPr>
        <w:t>” means the possession, directly or indirectly, of the power to direct or cause the direction of the management and policies of a Person, whether through the ownership of voting securities, by contract or otherwise, including the ability to elect at least a majority of the members of the board of directors or other governing body of a Person, and the terms “</w:t>
      </w:r>
      <w:r>
        <w:rPr>
          <w:rFonts w:ascii="Times New Roman;Times;Serif" w:hAnsi="Times New Roman;Times;Serif"/>
          <w:b/>
          <w:i w:val="false"/>
          <w:caps w:val="false"/>
          <w:smallCaps w:val="false"/>
          <w:sz w:val="20"/>
        </w:rPr>
        <w:t>controlled</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controlling</w:t>
      </w:r>
      <w:r>
        <w:rPr>
          <w:rFonts w:ascii="Times New Roman;Times;Serif" w:hAnsi="Times New Roman;Times;Serif"/>
          <w:b w:val="false"/>
          <w:i w:val="false"/>
          <w:caps w:val="false"/>
          <w:smallCaps w:val="false"/>
          <w:sz w:val="20"/>
        </w:rPr>
        <w:t>” have correlative meanings. Notwithstanding the foregoing, no governmental entity (other than a commercial entity acting in a commercial capacity) and no sovereign or political subdivision of The Kingdom of Saudi Arabia shall be considered an Affiliate of the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Additional Placement Shares</w:t>
      </w:r>
      <w:r>
        <w:rPr>
          <w:rFonts w:ascii="Times New Roman;Times;Serif" w:hAnsi="Times New Roman;Times;Serif"/>
          <w:b w:val="false"/>
          <w:i w:val="false"/>
          <w:caps w:val="false"/>
          <w:smallCaps w:val="false"/>
          <w:sz w:val="20"/>
        </w:rPr>
        <w:t>” means the number of shares of Common Stock equal to the number of shares of Common Stock actually sold pursuant to the Underwriter’s option to purchase additional shares under the Underwriting Agreement (the “</w:t>
      </w:r>
      <w:r>
        <w:rPr>
          <w:rFonts w:ascii="Times New Roman;Times;Serif" w:hAnsi="Times New Roman;Times;Serif"/>
          <w:b/>
          <w:i w:val="false"/>
          <w:caps w:val="false"/>
          <w:smallCaps w:val="false"/>
          <w:sz w:val="20"/>
        </w:rPr>
        <w:t>Option</w:t>
      </w:r>
      <w:r>
        <w:rPr>
          <w:rFonts w:ascii="Times New Roman;Times;Serif" w:hAnsi="Times New Roman;Times;Serif"/>
          <w:b w:val="false"/>
          <w:i w:val="false"/>
          <w:caps w:val="false"/>
          <w:smallCaps w:val="false"/>
          <w:sz w:val="20"/>
        </w:rPr>
        <w:t>”) multiplied by a ratio, the numerator of which is the Investor Ownership Percentage and the denominator of which is a percentage equal to 100% minus the Investor Ownership Percentage, rounded down to the nearest whole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except a Saturday, a Sunday or other day on which the SEC or banks in the City of New York are authorized or required by Law to be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Company Organizational Documents</w:t>
      </w:r>
      <w:r>
        <w:rPr>
          <w:rFonts w:ascii="Times New Roman;Times;Serif" w:hAnsi="Times New Roman;Times;Serif"/>
          <w:b w:val="false"/>
          <w:i w:val="false"/>
          <w:caps w:val="false"/>
          <w:smallCaps w:val="false"/>
          <w:sz w:val="20"/>
        </w:rPr>
        <w:t>” means the Company’s Third Amended and Restated Certificate of Incorporation and Second Amended and Restated Bylaws, each as amended and/or restated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means generally accepted accounting principles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Governmental Authority</w:t>
      </w:r>
      <w:r>
        <w:rPr>
          <w:rFonts w:ascii="Times New Roman;Times;Serif" w:hAnsi="Times New Roman;Times;Serif"/>
          <w:b w:val="false"/>
          <w:i w:val="false"/>
          <w:caps w:val="false"/>
          <w:smallCaps w:val="false"/>
          <w:sz w:val="20"/>
        </w:rPr>
        <w:t>” means any government, court, regulatory or administrative agency, arbitrator (public or private), commission or authority, stock exchange or other legislative, executive or judicial governmental entity (in each case including any self-regulatory organization), whether federal, state or local, domestic, foreign or multinational. For the avoidance of doubt, Investor shall not be deemed to be a Governmental Authority for any purpose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Investor Material Adverse Effect</w:t>
      </w:r>
      <w:r>
        <w:rPr>
          <w:rFonts w:ascii="Times New Roman;Times;Serif" w:hAnsi="Times New Roman;Times;Serif"/>
          <w:b w:val="false"/>
          <w:i w:val="false"/>
          <w:caps w:val="false"/>
          <w:smallCaps w:val="false"/>
          <w:sz w:val="20"/>
        </w:rPr>
        <w:t>” means any effect, change, event or occurrence that would prevent or materially delay, interfere with, hinder or impair the compliance by the Investor with its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Investor Ownership Percentage</w:t>
      </w:r>
      <w:r>
        <w:rPr>
          <w:rFonts w:ascii="Times New Roman;Times;Serif" w:hAnsi="Times New Roman;Times;Serif"/>
          <w:b w:val="false"/>
          <w:i w:val="false"/>
          <w:caps w:val="false"/>
          <w:smallCaps w:val="false"/>
          <w:sz w:val="20"/>
        </w:rPr>
        <w:t>” means 58.81024%.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Investor Rights Agreement</w:t>
      </w:r>
      <w:r>
        <w:rPr>
          <w:rFonts w:ascii="Times New Roman;Times;Serif" w:hAnsi="Times New Roman;Times;Serif"/>
          <w:b w:val="false"/>
          <w:i w:val="false"/>
          <w:caps w:val="false"/>
          <w:smallCaps w:val="false"/>
          <w:sz w:val="20"/>
        </w:rPr>
        <w:t>” means the Investor Rights Agreement, dated as of February 22, 2021, by and among the Company, the Investor and certain other parties thereto, as amended and/or restated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IRA Amendment</w:t>
      </w:r>
      <w:r>
        <w:rPr>
          <w:rFonts w:ascii="Times New Roman;Times;Serif" w:hAnsi="Times New Roman;Times;Serif"/>
          <w:b w:val="false"/>
          <w:i w:val="false"/>
          <w:caps w:val="false"/>
          <w:smallCaps w:val="false"/>
          <w:sz w:val="20"/>
        </w:rPr>
        <w:t>” means Amendment No. 5 to the Investor Rights Agreement, dated as of the date hereof, to provide the Investor with registration rights pursuant to the Investor Rights Agreement with respect to the Placement Shares and with certain other rights, such amendment substantially in the form attached hereto as “Annex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Judgment</w:t>
      </w:r>
      <w:r>
        <w:rPr>
          <w:rFonts w:ascii="Times New Roman;Times;Serif" w:hAnsi="Times New Roman;Times;Serif"/>
          <w:b w:val="false"/>
          <w:i w:val="false"/>
          <w:caps w:val="false"/>
          <w:smallCaps w:val="false"/>
          <w:sz w:val="20"/>
        </w:rPr>
        <w:t>” means any order, judgment, injunction, ruling, writ or decree of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Laws</w:t>
      </w:r>
      <w:r>
        <w:rPr>
          <w:rFonts w:ascii="Times New Roman;Times;Serif" w:hAnsi="Times New Roman;Times;Serif"/>
          <w:b w:val="false"/>
          <w:i w:val="false"/>
          <w:caps w:val="false"/>
          <w:smallCaps w:val="false"/>
          <w:sz w:val="20"/>
        </w:rPr>
        <w:t>” means all local, state or federal laws, common law, statutes, ordinances, codes, rules or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 means any material adverse change or any development involving a prospective material adverse change in the condition, financial or otherwise, or in the earnings, business or management of the Company and its subsidiaries considered as one enterprise.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means the Nasdaq Global Select Market or any other principal trading exchange or market for Common Stock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Initial Placement Shares</w:t>
      </w:r>
      <w:r>
        <w:rPr>
          <w:rFonts w:ascii="Times New Roman;Times;Serif" w:hAnsi="Times New Roman;Times;Serif"/>
          <w:b w:val="false"/>
          <w:i w:val="false"/>
          <w:caps w:val="false"/>
          <w:smallCaps w:val="false"/>
          <w:sz w:val="20"/>
        </w:rPr>
        <w:t>” means, the number of shares of Common Stock equal to the number of shares of Common Stock actually sold in the Public Offering, multiplied by a ratio, the numerator of which is the Investor Ownership Percentage, and the denominator of which is a percentage equal to 100% minus the Investor Ownership Percentage, rounded down to the nearest whole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corporation, limited liability company, partnership, joint venture, association, trust, unincorporated organization or any other entity, including a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Placement Shares</w:t>
      </w:r>
      <w:r>
        <w:rPr>
          <w:rFonts w:ascii="Times New Roman;Times;Serif" w:hAnsi="Times New Roman;Times;Serif"/>
          <w:b w:val="false"/>
          <w:i w:val="false"/>
          <w:caps w:val="false"/>
          <w:smallCaps w:val="false"/>
          <w:sz w:val="20"/>
        </w:rPr>
        <w:t>” means the Initial Placement Shares and the Additional Placement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Redeemable Convertible Preferred Stock</w:t>
      </w:r>
      <w:r>
        <w:rPr>
          <w:rFonts w:ascii="Times New Roman;Times;Serif" w:hAnsi="Times New Roman;Times;Serif"/>
          <w:b w:val="false"/>
          <w:i w:val="false"/>
          <w:caps w:val="false"/>
          <w:smallCaps w:val="false"/>
          <w:sz w:val="20"/>
        </w:rPr>
        <w:t>” are to the Series A Convertible Preferred Stock and Series B Convertible Preferred Stock, together.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means the Company’s Registration Statement on Form S-3 ASR (File No. 333-282677), including any amendment or supplement thereto and any information deemed to be included or incorporated by reference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Representatives</w:t>
      </w:r>
      <w:r>
        <w:rPr>
          <w:rFonts w:ascii="Times New Roman;Times;Serif" w:hAnsi="Times New Roman;Times;Serif"/>
          <w:b w:val="false"/>
          <w:i w:val="false"/>
          <w:caps w:val="false"/>
          <w:smallCaps w:val="false"/>
          <w:sz w:val="20"/>
        </w:rPr>
        <w:t>” means, with respect to any Person, its officers, directors, principals, partners, managers, members, employees, consultants, agents, financial advisors, investment bankers, attorneys, accountants, other advisors, and other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Series A Convertible Preferred Stock</w:t>
      </w:r>
      <w:r>
        <w:rPr>
          <w:rFonts w:ascii="Times New Roman;Times;Serif" w:hAnsi="Times New Roman;Times;Serif"/>
          <w:b w:val="false"/>
          <w:i w:val="false"/>
          <w:caps w:val="false"/>
          <w:smallCaps w:val="false"/>
          <w:sz w:val="20"/>
        </w:rPr>
        <w:t>” means the Series A Convertible Preferred Stock of the Company, par value $0.0001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Series B Convertible Preferred Stock</w:t>
      </w:r>
      <w:r>
        <w:rPr>
          <w:rFonts w:ascii="Times New Roman;Times;Serif" w:hAnsi="Times New Roman;Times;Serif"/>
          <w:b w:val="false"/>
          <w:i w:val="false"/>
          <w:caps w:val="false"/>
          <w:smallCaps w:val="false"/>
          <w:sz w:val="20"/>
        </w:rPr>
        <w:t>” means the Series B Convertible Preferred Stock of the Company, par value $0.0001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2</w:t>
      </w:r>
      <w:r>
        <w:rPr>
          <w:rFonts w:ascii="Times New Roman;Times;Serif" w:hAnsi="Times New Roman;Times;Serif"/>
          <w:b w:val="false"/>
          <w:i w:val="false"/>
          <w:smallCaps/>
          <w:sz w:val="20"/>
        </w:rPr>
        <w:br/>
        <w:t>Purchase and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         </w:t>
      </w:r>
      <w:r>
        <w:rPr>
          <w:rFonts w:ascii="Times New Roman;Times;Serif" w:hAnsi="Times New Roman;Times;Serif"/>
          <w:b w:val="false"/>
          <w:i/>
          <w:caps w:val="false"/>
          <w:smallCaps w:val="false"/>
          <w:sz w:val="20"/>
        </w:rPr>
        <w:t>Purchase and Sale</w:t>
      </w:r>
      <w:r>
        <w:rPr>
          <w:rFonts w:ascii="Times New Roman;Times;Serif" w:hAnsi="Times New Roman;Times;Serif"/>
          <w:b w:val="false"/>
          <w:i w:val="false"/>
          <w:caps w:val="false"/>
          <w:smallCaps w:val="false"/>
          <w:sz w:val="20"/>
        </w:rPr>
        <w:t>. On the terms of this Agreement and subject to the satisfaction (or, to the extent permitted by applicable Law, waiver by the party entitled to the benefit thereof) of the conditions set forth in ‎Article 6, the Investor shall purchase and acquire from the Company, and the Company shall issue, sell and deliver to the Investor, the Initial Placement Shares and the Additional Placement Shares (if applicable) at a purchase price per share of set forth on Schedule 1 (the “</w:t>
      </w:r>
      <w:r>
        <w:rPr>
          <w:rFonts w:ascii="Times New Roman;Times;Serif" w:hAnsi="Times New Roman;Times;Serif"/>
          <w:b/>
          <w:i w:val="false"/>
          <w:caps w:val="false"/>
          <w:smallCaps w:val="false"/>
          <w:sz w:val="20"/>
        </w:rPr>
        <w:t>Purchase Price</w:t>
      </w:r>
      <w:r>
        <w:rPr>
          <w:rFonts w:ascii="Times New Roman;Times;Serif" w:hAnsi="Times New Roman;Times;Serif"/>
          <w:b w:val="false"/>
          <w:i w:val="false"/>
          <w:caps w:val="false"/>
          <w:smallCaps w:val="false"/>
          <w:sz w:val="20"/>
        </w:rPr>
        <w:t>”), which equals the price to be paid by the Underwriter as set forth in the Underwriting Agreement at the time of the issuance of the launch press release issued by the Company on the date hereof relating to the Public Offering (for the avoidance of doubt, prior to any subsequent upward adjustment in the price to be paid by the Underwriter pursuant to the Underwriting Agreement). The amounts set forth on Schedule 1 reflect the actual number of Initial Placement Shares calculated as set forth in the definition of Initial Placement Shares and the aggregate Purchase Price for all Initial Placement Shares, which aggregate Purchase Price is not in excess of $971 million. An authorized employee of Investor’s parent, the Public Investment Fund of the Kingdom of Saudi Arabia, shall approve the information set forth on Schedule 1 and the attachment of Schedule 1 to this Agreement. The purchase and sale of the Initial Placement Shares pursuant to this ‎Section 2.01 is referred to as the “</w:t>
      </w:r>
      <w:r>
        <w:rPr>
          <w:rFonts w:ascii="Times New Roman;Times;Serif" w:hAnsi="Times New Roman;Times;Serif"/>
          <w:b/>
          <w:i w:val="false"/>
          <w:caps w:val="false"/>
          <w:smallCaps w:val="false"/>
          <w:sz w:val="20"/>
        </w:rPr>
        <w:t>Initial Placement</w:t>
      </w:r>
      <w:r>
        <w:rPr>
          <w:rFonts w:ascii="Times New Roman;Times;Serif" w:hAnsi="Times New Roman;Times;Serif"/>
          <w:b w:val="false"/>
          <w:i w:val="false"/>
          <w:caps w:val="false"/>
          <w:smallCaps w:val="false"/>
          <w:sz w:val="20"/>
        </w:rPr>
        <w:t>”. The purchase and sale of the Additional Placement Shares pursuant to this ‎Section 2.01 is referred to as the “</w:t>
      </w:r>
      <w:r>
        <w:rPr>
          <w:rFonts w:ascii="Times New Roman;Times;Serif" w:hAnsi="Times New Roman;Times;Serif"/>
          <w:b/>
          <w:i w:val="false"/>
          <w:caps w:val="false"/>
          <w:smallCaps w:val="false"/>
          <w:sz w:val="20"/>
        </w:rPr>
        <w:t>Additional Placement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         </w:t>
      </w:r>
      <w:r>
        <w:rPr>
          <w:rFonts w:ascii="Times New Roman;Times;Serif" w:hAnsi="Times New Roman;Times;Serif"/>
          <w:b w:val="false"/>
          <w:i/>
          <w:caps w:val="false"/>
          <w:smallCaps w:val="false"/>
          <w:sz w:val="20"/>
        </w:rPr>
        <w:t>Closing</w:t>
      </w:r>
      <w:r>
        <w:rPr>
          <w:rFonts w:ascii="Times New Roman;Times;Serif" w:hAnsi="Times New Roman;Times;Serif"/>
          <w:b w:val="false"/>
          <w:i w:val="false"/>
          <w:caps w:val="false"/>
          <w:smallCaps w:val="false"/>
          <w:sz w:val="20"/>
        </w:rPr>
        <w:t>. (a) Subject to the terms of this Agreement, the closing of the Placement (the “</w:t>
      </w:r>
      <w:r>
        <w:rPr>
          <w:rFonts w:ascii="Times New Roman;Times;Serif" w:hAnsi="Times New Roman;Times;Serif"/>
          <w:b/>
          <w:i w:val="false"/>
          <w:caps w:val="false"/>
          <w:smallCaps w:val="false"/>
          <w:sz w:val="20"/>
        </w:rPr>
        <w:t>Initial Closing</w:t>
      </w:r>
      <w:r>
        <w:rPr>
          <w:rFonts w:ascii="Times New Roman;Times;Serif" w:hAnsi="Times New Roman;Times;Serif"/>
          <w:b w:val="false"/>
          <w:i w:val="false"/>
          <w:caps w:val="false"/>
          <w:smallCaps w:val="false"/>
          <w:sz w:val="20"/>
        </w:rPr>
        <w:t>”) and the Additional Placement (the “</w:t>
      </w:r>
      <w:r>
        <w:rPr>
          <w:rFonts w:ascii="Times New Roman;Times;Serif" w:hAnsi="Times New Roman;Times;Serif"/>
          <w:b/>
          <w:i w:val="false"/>
          <w:caps w:val="false"/>
          <w:smallCaps w:val="false"/>
          <w:sz w:val="20"/>
        </w:rPr>
        <w:t>Additional Closing</w:t>
      </w:r>
      <w:r>
        <w:rPr>
          <w:rFonts w:ascii="Times New Roman;Times;Serif" w:hAnsi="Times New Roman;Times;Serif"/>
          <w:b w:val="false"/>
          <w:i w:val="false"/>
          <w:caps w:val="false"/>
          <w:smallCaps w:val="false"/>
          <w:sz w:val="20"/>
        </w:rPr>
        <w:t>”, and together with the Initial Closing, each, a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shall occur electronically on or about 10:00 a.m., New York City time, ten (10) business days after the pricing of the Public Offering in the case of Initial Placement and ten (10) business days after the Underwriter’s exercise of the Option in the case of Additional Placement (or, in each case, if such date is not a Business Day, the first Business Day thereafter), or at such other place, time or date as shall be agreed between the Company and the Investor (each such date, a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each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Investor shall pay the applicable aggregate Purchase Price to the Company by wire transfer in immediately available U.S. federal funds to an account designated by the Company in writing;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shall deliver to the Investor the applicable Placement Shares, in book entry form, free and clear of all liens, except restrictions imposed by applicable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3</w:t>
      </w:r>
      <w:r>
        <w:rPr>
          <w:rFonts w:ascii="Times New Roman;Times;Serif" w:hAnsi="Times New Roman;Times;Serif"/>
          <w:b w:val="false"/>
          <w:i w:val="false"/>
          <w:smallCaps/>
          <w:sz w:val="20"/>
        </w:rPr>
        <w:br/>
        <w:t>Representations and Warranties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represents and warrants to the Investor, as of the date hereof and as of the each Closing Date (except to the extent made only as of a specified date, in which case such representation and warranty is made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         </w:t>
      </w:r>
      <w:r>
        <w:rPr>
          <w:rFonts w:ascii="Times New Roman;Times;Serif" w:hAnsi="Times New Roman;Times;Serif"/>
          <w:b w:val="false"/>
          <w:i/>
          <w:caps w:val="false"/>
          <w:smallCaps w:val="false"/>
          <w:sz w:val="20"/>
        </w:rPr>
        <w:t>Organization; Good Standing</w:t>
      </w:r>
      <w:r>
        <w:rPr>
          <w:rFonts w:ascii="Times New Roman;Times;Serif" w:hAnsi="Times New Roman;Times;Serif"/>
          <w:b w:val="false"/>
          <w:i w:val="false"/>
          <w:caps w:val="false"/>
          <w:smallCaps w:val="false"/>
          <w:sz w:val="20"/>
        </w:rPr>
        <w:t>. (a) The Company is duly organized and is validly existing as a corporation in good standing under the laws of the State of Delaware and has corporate power and authority to own, lease and operate its properties and to conduct its business as described in the Company’s most recent Annual Report on Form 10-K and to enter into and perform its obligations under this Agreement; and the Company is duly qualified as a foreign corporation to transact business and is in good standing in each other jurisdiction (to the extent such concept or functional equivalent is applicable in such jurisdiction) in which such qualification is required, whether by reason of the ownership or leasing of property or the conduct of business, except where the failure so to qualify or to be in good standing would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 xml:space="preserve">Subsidiaries. </w:t>
      </w:r>
      <w:r>
        <w:rPr>
          <w:rFonts w:ascii="Times New Roman;Times;Serif" w:hAnsi="Times New Roman;Times;Serif"/>
          <w:b w:val="false"/>
          <w:i w:val="false"/>
          <w:caps w:val="false"/>
          <w:smallCaps w:val="false"/>
          <w:sz w:val="20"/>
        </w:rPr>
        <w:t>Each of the Company’s subsidiaries is duly organized and is validly existing in good standing under the laws of the jurisdiction of its incorporation or organization (to the extent such concept or functional equivalent is applicable in such jurisdiction), has corporate or similar power and authority to own, lease and operate its properties and to conduct its business as described in the Company’s most recent Annual Report on Form 10-K and is duly qualified to transact business and is in good standing in each jurisdiction (to the extent such concept or functional equivalent is applicable in such jurisdiction) in which such qualification is required, whether by reason of the ownership or leasing of property or the conduct of business, except where the failure to so qualify or to be in good standing would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3.02.         </w:t>
      </w:r>
      <w:r>
        <w:rPr>
          <w:rFonts w:ascii="Times New Roman;Times;Serif" w:hAnsi="Times New Roman;Times;Serif"/>
          <w:b w:val="false"/>
          <w:i/>
          <w:caps w:val="false"/>
          <w:smallCaps w:val="false"/>
          <w:sz w:val="20"/>
        </w:rPr>
        <w:t>Description of Capital Stock; Valid Issuance</w:t>
      </w:r>
      <w:r>
        <w:rPr>
          <w:rFonts w:ascii="Times New Roman;Times;Serif" w:hAnsi="Times New Roman;Times;Serif"/>
          <w:b w:val="false"/>
          <w:i w:val="false"/>
          <w:caps w:val="false"/>
          <w:smallCaps w:val="false"/>
          <w:sz w:val="20"/>
        </w:rPr>
        <w:t>. (a)  The authorized capital stock of the Company conforms as to legal matters to the description thereof contained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Placement Shares, when issued and delivered against payment therefor in accordance with the terms of this Agreement, will be duly authorized, validly issued, fully paid and non-assessable, and will conform to the description thereof in the Registration Statement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3.03.         </w:t>
      </w:r>
      <w:r>
        <w:rPr>
          <w:rFonts w:ascii="Times New Roman;Times;Serif" w:hAnsi="Times New Roman;Times;Serif"/>
          <w:b w:val="false"/>
          <w:i/>
          <w:caps w:val="false"/>
          <w:smallCaps w:val="false"/>
          <w:sz w:val="20"/>
        </w:rPr>
        <w:t>Authority; Noncontravention</w:t>
      </w:r>
      <w:r>
        <w:rPr>
          <w:rFonts w:ascii="Times New Roman;Times;Serif" w:hAnsi="Times New Roman;Times;Serif"/>
          <w:b w:val="false"/>
          <w:i w:val="false"/>
          <w:caps w:val="false"/>
          <w:smallCaps w:val="false"/>
          <w:sz w:val="20"/>
        </w:rPr>
        <w:t>. (a)  The execution, delivery and performance by the Company of this Agreement has been duly authorized by the Company. This Agreement has been duly executed and delivered by the Company and, assuming due authorization, execution and delivery hereof by the Investor, constitutes a legal, valid and binding obligation of the Company, enforceable against the Company in accordance with its terms, except that such enforceability (i) may be limited by bankruptcy, insolvency, fraudulent transfer, reorganization, moratorium and other similar Laws of general application affecting or relating to the enforcement of creditors’ rights generally and (ii) is subject to general principles of equity, whether considered in a proceeding at law or in equity (the “</w:t>
      </w:r>
      <w:r>
        <w:rPr>
          <w:rFonts w:ascii="Times New Roman;Times;Serif" w:hAnsi="Times New Roman;Times;Serif"/>
          <w:b/>
          <w:i w:val="false"/>
          <w:caps w:val="false"/>
          <w:smallCaps w:val="false"/>
          <w:sz w:val="20"/>
        </w:rPr>
        <w:t>Bankruptcy and Equity Exception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the execution and delivery of this Agreement by the Company, nor the performance or compliance by the Company with any of the terms or provisions hereof, will (i) conflict with or violate any provision of the Company Organizational Documents, or (ii) (x) violate any Law or Judgment (as defined herein) applicable to the Company or (y) violate or constitute a default (or constitute an event which, with notice or lapse of time or both, would violate or constitute a default) under any of the terms, conditions or provisions of any loan or credit agreement, indenture, debenture, note, bond, mortgage, deed of trust, lease, sublease, license, contract or other agreement (each, a “</w:t>
      </w:r>
      <w:r>
        <w:rPr>
          <w:rFonts w:ascii="Times New Roman;Times;Serif" w:hAnsi="Times New Roman;Times;Serif"/>
          <w:b/>
          <w:i w:val="false"/>
          <w:caps w:val="false"/>
          <w:smallCaps w:val="false"/>
          <w:sz w:val="20"/>
        </w:rPr>
        <w:t>Contract</w:t>
      </w:r>
      <w:r>
        <w:rPr>
          <w:rFonts w:ascii="Times New Roman;Times;Serif" w:hAnsi="Times New Roman;Times;Serif"/>
          <w:b w:val="false"/>
          <w:i w:val="false"/>
          <w:caps w:val="false"/>
          <w:smallCaps w:val="false"/>
          <w:sz w:val="20"/>
        </w:rPr>
        <w:t>”) to which the Company or any of its subsidiaries, as applicable, is a party or accelerate the Company’s or, if applicable, any of its subsidiaries’ obligations under any such Contract, except in the case of clause (ii), as would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3.04.         </w:t>
      </w:r>
      <w:r>
        <w:rPr>
          <w:rFonts w:ascii="Times New Roman;Times;Serif" w:hAnsi="Times New Roman;Times;Serif"/>
          <w:b w:val="false"/>
          <w:i/>
          <w:caps w:val="false"/>
          <w:smallCaps w:val="false"/>
          <w:sz w:val="20"/>
        </w:rPr>
        <w:t>Governmental Approvals</w:t>
      </w:r>
      <w:r>
        <w:rPr>
          <w:rFonts w:ascii="Times New Roman;Times;Serif" w:hAnsi="Times New Roman;Times;Serif"/>
          <w:b w:val="false"/>
          <w:i w:val="false"/>
          <w:caps w:val="false"/>
          <w:smallCaps w:val="false"/>
          <w:sz w:val="20"/>
        </w:rPr>
        <w:t>. Except for (a) filings required under, and compliance with other applicable requirements of, the Securities Act and the Exchange Act, (b) compliance with the rules and regulations of the Nasdaq and (c) compliance with any applicable state securities or “Blue Sky” laws, no consent or approval of, or filing, license, permit or authorization, declaration or registration with, any Governmental Authority is necessary for the execution and delivery of this Agreement by the Company and the performance by the Company of its obligations hereunder, other than such other consents, approvals, filings, licenses, permits or authorizations, declarations or registrations that, if not obtained, made or given, would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3.05.         </w:t>
      </w:r>
      <w:r>
        <w:rPr>
          <w:rFonts w:ascii="Times New Roman;Times;Serif" w:hAnsi="Times New Roman;Times;Serif"/>
          <w:b w:val="false"/>
          <w:i/>
          <w:caps w:val="false"/>
          <w:smallCaps w:val="false"/>
          <w:sz w:val="20"/>
        </w:rPr>
        <w:t>Sale of Securities</w:t>
      </w:r>
      <w:r>
        <w:rPr>
          <w:rFonts w:ascii="Times New Roman;Times;Serif" w:hAnsi="Times New Roman;Times;Serif"/>
          <w:b w:val="false"/>
          <w:i w:val="false"/>
          <w:caps w:val="false"/>
          <w:smallCaps w:val="false"/>
          <w:sz w:val="20"/>
        </w:rPr>
        <w:t>. Assuming the accuracy of the representations and warranties of the Investor set forth in ‎Section 4.05, the sale and issuance of the Placement Shares pursuant to this Agreement are exempt from the registration and prospectus delivery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3.06.         </w:t>
      </w:r>
      <w:r>
        <w:rPr>
          <w:rFonts w:ascii="Times New Roman;Times;Serif" w:hAnsi="Times New Roman;Times;Serif"/>
          <w:b w:val="false"/>
          <w:i/>
          <w:caps w:val="false"/>
          <w:smallCaps w:val="false"/>
          <w:sz w:val="20"/>
        </w:rPr>
        <w:t>Investment Company</w:t>
      </w:r>
      <w:r>
        <w:rPr>
          <w:rFonts w:ascii="Times New Roman;Times;Serif" w:hAnsi="Times New Roman;Times;Serif"/>
          <w:b w:val="false"/>
          <w:i w:val="false"/>
          <w:caps w:val="false"/>
          <w:smallCaps w:val="false"/>
          <w:sz w:val="20"/>
        </w:rPr>
        <w:t>. The Company is not, and will not be, after giving effect to the offer and sale of the Placement Shares, required to register as an “investment company” within the meaning of the Investment Company Act of 1940,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3.07.         </w:t>
      </w:r>
      <w:r>
        <w:rPr>
          <w:rFonts w:ascii="Times New Roman;Times;Serif" w:hAnsi="Times New Roman;Times;Serif"/>
          <w:b w:val="false"/>
          <w:i/>
          <w:caps w:val="false"/>
          <w:smallCaps w:val="false"/>
          <w:sz w:val="20"/>
        </w:rPr>
        <w:t>Price Stabilization of Common Stock</w:t>
      </w:r>
      <w:r>
        <w:rPr>
          <w:rFonts w:ascii="Times New Roman;Times;Serif" w:hAnsi="Times New Roman;Times;Serif"/>
          <w:b w:val="false"/>
          <w:i w:val="false"/>
          <w:caps w:val="false"/>
          <w:smallCaps w:val="false"/>
          <w:sz w:val="20"/>
        </w:rPr>
        <w:t>. The Company has not taken, nor will it take, directly or indirectly, any action designed to stabilize or manipulate the price of the Common Stock to facilitate the sale or resale of the Placement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3.08.         </w:t>
      </w:r>
      <w:r>
        <w:rPr>
          <w:rFonts w:ascii="Times New Roman;Times;Serif" w:hAnsi="Times New Roman;Times;Serif"/>
          <w:b w:val="false"/>
          <w:i/>
          <w:caps w:val="false"/>
          <w:smallCaps w:val="false"/>
          <w:sz w:val="20"/>
        </w:rPr>
        <w:t>Company SEC Documents</w:t>
      </w:r>
      <w:r>
        <w:rPr>
          <w:rFonts w:ascii="Times New Roman;Times;Serif" w:hAnsi="Times New Roman;Times;Serif"/>
          <w:b w:val="false"/>
          <w:i w:val="false"/>
          <w:caps w:val="false"/>
          <w:smallCaps w:val="false"/>
          <w:sz w:val="20"/>
        </w:rPr>
        <w:t>. (a) The Company has filed with the SEC, during the preceding 12 months, on a timely basis, all required reports, schedules, forms, statements and other documents required to be filed by the Company with the SEC pursuant to the Exchange Act (collectively, the “</w:t>
      </w:r>
      <w:r>
        <w:rPr>
          <w:rFonts w:ascii="Times New Roman;Times;Serif" w:hAnsi="Times New Roman;Times;Serif"/>
          <w:b/>
          <w:i w:val="false"/>
          <w:caps w:val="false"/>
          <w:smallCaps w:val="false"/>
          <w:sz w:val="20"/>
        </w:rPr>
        <w:t>Company SEC Documents</w:t>
      </w:r>
      <w:r>
        <w:rPr>
          <w:rFonts w:ascii="Times New Roman;Times;Serif" w:hAnsi="Times New Roman;Times;Serif"/>
          <w:b w:val="false"/>
          <w:i w:val="false"/>
          <w:caps w:val="false"/>
          <w:smallCaps w:val="false"/>
          <w:sz w:val="20"/>
        </w:rPr>
        <w:t>”). As of their respective SEC filing dates, the Company SEC Documents complied in all material respects with the requirements of the Securities Act, the Exchange Act or the Sarbanes-Oxley Act of 2002 (and the regulations promulgated thereunder), as the case may be, applicable to such Company SEC Documents, and none of the Company SEC Documents as of such respective dates (or, if amended prior to the date hereof, the date of the filing of such amendment, with respect to the disclosures that are amended) contained any untrue statement of a material fact or omitted to state a material fact required to be stated therein or necessary in order to make the statements therein, in light of the circumstances under which they were made, not misleading. As of the date hereof, (i) the Company is a Well Known Seasoned Issuer as defined in Rule 405 under the Securities Act and is eligible to file a registration statement on Form S-3 ASR, (ii) none of the Company’s subsidiaries is required to file any documents with the SEC, (iii) there are no outstanding or unresolved comments in comment letters from the SEC staff with respect to any of the Company SEC Documents and (iv) to the knowledge of the Company, none of the Company SEC Documents is the subject of ongoing SEC review, outstanding SEC comment or outstanding SEC investigation.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consolidated financial statements of the Company (including all related notes or schedules) included or incorporated by reference in the Company SEC Documents (i) complied as to form, as of their respective dates of filing with the SEC in all material respects with the published rules and regulations of the SEC with respect thereto, (ii) have been prepared in accordance with GAAP (except, in the case of unaudited quarterly statements, as permitted by Form 10-Q of the SEC or other rules and regulations of the SEC) applied on a consistent basis during the periods involved (except (x) as may be indicated in the notes thereto or (y) as permitted by Regulation S-X), and (iii) fairly present in all material respects the consolidated financial position of the Company and its subsidiaries as of the dates thereof and the consolidated results of their operations and cash flows for the periods shown (subject, in the case of unaudited quarterly financial statements, to normal year-end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has established and maintains disclosure controls and procedures and a system of internal controls over financial reporting (as such terms are defined in paragraphs (e) and (f), respectively, of Rule 13a-15 under the Exchange Act) as required by Rule 13a-15 under the Exchange Act. Since the end of the Company’s most recent audited fiscal year, neither the Company nor, to the knowledge of the Company, the Company’s independent registered public accounting firm has identified or been made aware of “material weaknesses” (as defined by the Public Company Accounting Oversight Board) in the design or operation of the Company’s internal controls over and procedures relating to financial reporting which would reasonably be expected to adversely affect in any material respect the Company’s ability to record, process, summarize and report financial data, in each case which has not been subsequently remediated. As of the date hereof, the Company is in compliance in all material respects with the applicable listing requirements and corporate governance rules and regulations of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3.09.         </w:t>
      </w:r>
      <w:r>
        <w:rPr>
          <w:rFonts w:ascii="Times New Roman;Times;Serif" w:hAnsi="Times New Roman;Times;Serif"/>
          <w:b w:val="false"/>
          <w:i/>
          <w:caps w:val="false"/>
          <w:smallCaps w:val="false"/>
          <w:sz w:val="20"/>
        </w:rPr>
        <w:t>No Other Investor Representations or Warranties</w:t>
      </w:r>
      <w:r>
        <w:rPr>
          <w:rFonts w:ascii="Times New Roman;Times;Serif" w:hAnsi="Times New Roman;Times;Serif"/>
          <w:b w:val="false"/>
          <w:i w:val="false"/>
          <w:caps w:val="false"/>
          <w:smallCaps w:val="false"/>
          <w:sz w:val="20"/>
        </w:rPr>
        <w:t>. Except for the representations and warranties expressly set forth in Article 4 hereof, the Investor hereby acknowledges that neither the Investor nor any of its Affiliates or Representatives, nor any other Person, has made or is making any other express or implied representation or warranty with respect to the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3.10.         </w:t>
      </w:r>
      <w:r>
        <w:rPr>
          <w:rFonts w:ascii="Times New Roman;Times;Serif" w:hAnsi="Times New Roman;Times;Serif"/>
          <w:b w:val="false"/>
          <w:i/>
          <w:caps w:val="false"/>
          <w:smallCaps w:val="false"/>
          <w:sz w:val="20"/>
        </w:rPr>
        <w:t>No Other Company Representations or Warranties</w:t>
      </w:r>
      <w:r>
        <w:rPr>
          <w:rFonts w:ascii="Times New Roman;Times;Serif" w:hAnsi="Times New Roman;Times;Serif"/>
          <w:b w:val="false"/>
          <w:i w:val="false"/>
          <w:caps w:val="false"/>
          <w:smallCaps w:val="false"/>
          <w:sz w:val="20"/>
        </w:rPr>
        <w:t>. Except for the representations and warranties made by the Company in this ‎Article 3, neither the Company, any of its Affiliates nor any other Person acting on its behalf makes any other express or implied representation or warranty with respect to its capital stock, the Company or any of its subsidiaries or their respective businesses, operations, properties, assets, liabilities, condition (financial or otherwise) or prospects, and the Investor acknowledges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4</w:t>
      </w:r>
      <w:r>
        <w:rPr>
          <w:rFonts w:ascii="Times New Roman;Times;Serif" w:hAnsi="Times New Roman;Times;Serif"/>
          <w:b w:val="false"/>
          <w:i w:val="false"/>
          <w:smallCaps/>
          <w:sz w:val="20"/>
        </w:rPr>
        <w:br/>
        <w:t>Representations and Warranties of the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represents and warrants to the Company, as of the date hereof and as of each Closing Date (except to the extent made only as of a specified date, in which case such representation and warranty is made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4.01.         </w:t>
      </w:r>
      <w:r>
        <w:rPr>
          <w:rFonts w:ascii="Times New Roman;Times;Serif" w:hAnsi="Times New Roman;Times;Serif"/>
          <w:b w:val="false"/>
          <w:i/>
          <w:caps w:val="false"/>
          <w:smallCaps w:val="false"/>
          <w:sz w:val="20"/>
        </w:rPr>
        <w:t>Organization; Standing</w:t>
      </w:r>
      <w:r>
        <w:rPr>
          <w:rFonts w:ascii="Times New Roman;Times;Serif" w:hAnsi="Times New Roman;Times;Serif"/>
          <w:b w:val="false"/>
          <w:i w:val="false"/>
          <w:caps w:val="false"/>
          <w:smallCaps w:val="false"/>
          <w:sz w:val="20"/>
        </w:rPr>
        <w:t>. The Investor is a single shareholder limited liability company organized under the laws of the Kingdom of Saudi Arabia and has all requisite power and authority necessary to enter into and perform its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4.02.         </w:t>
      </w:r>
      <w:r>
        <w:rPr>
          <w:rFonts w:ascii="Times New Roman;Times;Serif" w:hAnsi="Times New Roman;Times;Serif"/>
          <w:b w:val="false"/>
          <w:i/>
          <w:caps w:val="false"/>
          <w:smallCaps w:val="false"/>
          <w:sz w:val="20"/>
        </w:rPr>
        <w:t>Authority; Noncontravention</w:t>
      </w:r>
      <w:r>
        <w:rPr>
          <w:rFonts w:ascii="Times New Roman;Times;Serif" w:hAnsi="Times New Roman;Times;Serif"/>
          <w:b w:val="false"/>
          <w:i w:val="false"/>
          <w:caps w:val="false"/>
          <w:smallCaps w:val="false"/>
          <w:sz w:val="20"/>
        </w:rPr>
        <w:t>. (a)  The Investor has all necessary power and authority to execute and deliver this Agreement and to perform its obligations hereunder. The execution, delivery and performance by the Investor of this Agreement has been duly authorized and approved by all necessary action on the part of the Investor and no further action, approval or authorization by any of its stockholders, partners, members or other equity owners, as the case may be, is necessary to authorize the execution, delivery and performance by the Investor of this Agreement. This Agreement has been duly executed and delivered by the Investor and, assuming due authorization, execution and delivery hereof by the Company, constitutes a legal, valid and binding obligation of the Investor, enforceable against the Investor in accordance with its terms, except as such enforceability may be limited by the Bankruptcy and Equity Exception.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the execution and delivery of this Agreement by the Investor, nor the performance or compliance by the Investor with any of the terms or provisions hereof, will (i) conflict with or violate any provision of the certificate or formation, operating agreement or other comparable charter or organizational documents of the Investor, or (ii) (x) violate any Law or Judgment applicable to the Investor or any of its subsidiaries, or (y) violate or constitute a default (or constitute an event which, with notice or lapse of time or both, would violate or constitute a default) under any of the terms, conditions or provisions of any Contract to which the Investor or any of its subsidiaries is a party or accelerate the Investor’s or, if applicable, any of its subsidiaries’, obligations under any such Contract, except, in the case of clause (ii), as would not, individually or in the aggregate, reasonably be expected to have an Investor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4.03.         </w:t>
      </w:r>
      <w:r>
        <w:rPr>
          <w:rFonts w:ascii="Times New Roman;Times;Serif" w:hAnsi="Times New Roman;Times;Serif"/>
          <w:b w:val="false"/>
          <w:i/>
          <w:caps w:val="false"/>
          <w:smallCaps w:val="false"/>
          <w:sz w:val="20"/>
        </w:rPr>
        <w:t>Governmental Approvals</w:t>
      </w:r>
      <w:r>
        <w:rPr>
          <w:rFonts w:ascii="Times New Roman;Times;Serif" w:hAnsi="Times New Roman;Times;Serif"/>
          <w:b w:val="false"/>
          <w:i w:val="false"/>
          <w:caps w:val="false"/>
          <w:smallCaps w:val="false"/>
          <w:sz w:val="20"/>
        </w:rPr>
        <w:t>. No consent or approval of, or filing, license, permit or authorization, declaration or registration with, any Governmental Authority that would be required to be obtained or made by or on behalf of the Investor is necessary for the execution, delivery and performance of this Agreement by the Investor, other than such other consents, approvals, filings, licenses, permits, authorizations, declarations or registrations that, if not obtained, made or given, would not, individually or in the aggregate, reasonably be expected to have an Investor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4.04.         </w:t>
      </w:r>
      <w:r>
        <w:rPr>
          <w:rFonts w:ascii="Times New Roman;Times;Serif" w:hAnsi="Times New Roman;Times;Serif"/>
          <w:b w:val="false"/>
          <w:i/>
          <w:caps w:val="false"/>
          <w:smallCaps w:val="false"/>
          <w:sz w:val="20"/>
        </w:rPr>
        <w:t>Brokers and Other Advisors</w:t>
      </w:r>
      <w:r>
        <w:rPr>
          <w:rFonts w:ascii="Times New Roman;Times;Serif" w:hAnsi="Times New Roman;Times;Serif"/>
          <w:b w:val="false"/>
          <w:i w:val="false"/>
          <w:caps w:val="false"/>
          <w:smallCaps w:val="false"/>
          <w:sz w:val="20"/>
        </w:rPr>
        <w:t>. No broker, investment banker, financial advisor or other Person is entitled to any broker’s, finder’s, financial advisor’s or other similar fee or commission, or the reimbursement of expenses in connection with this Agreement, based upon arrangements made by or on behalf of the Investor or any of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4.05.         </w:t>
      </w:r>
      <w:r>
        <w:rPr>
          <w:rFonts w:ascii="Times New Roman;Times;Serif" w:hAnsi="Times New Roman;Times;Serif"/>
          <w:b w:val="false"/>
          <w:i/>
          <w:caps w:val="false"/>
          <w:smallCaps w:val="false"/>
          <w:sz w:val="20"/>
        </w:rPr>
        <w:t>Private Placement Matters</w:t>
      </w:r>
      <w:r>
        <w:rPr>
          <w:rFonts w:ascii="Times New Roman;Times;Serif" w:hAnsi="Times New Roman;Times;Serif"/>
          <w:b w:val="false"/>
          <w:i w:val="false"/>
          <w:caps w:val="false"/>
          <w:smallCaps w:val="false"/>
          <w:sz w:val="20"/>
        </w:rPr>
        <w:t>. The Investor acknowledges that the offer and sale of the Placement Shares have not been registered under the Securities Act or under any state or other applicable securities Laws. The Investor (a) acknowledges that it is acquiring the Placement Shares pursuant to an exemption from registration under the Securities Act solely for investment with no intention to distribute any of the foregoing to any Person, (b) will not sell, transfer, or otherwise dispose of any of the Placement Shares, except in compliance with the registration requirements or exemption provisions of the Securities Act and any other applicable securities Laws, (c) has such knowledge and experience in financial and business matters and in investments of this type that it is capable of evaluating the merits and risks of its investment in the Placement Shares and of making an informed investment decision, (d) is an institutional “accredited investor” (as that term is defined by Rule 501 of the Securities Act), and (e) (1) has been furnished with or has had access to all the information that it considers necessary or appropriate to make an informed investment decision with respect to the Placement Shares, (2) has had an opportunity to discuss (including by asking questions) with the Company and its Representatives the intended business and financial affairs of the Company and to obtain information necessary to verify any information furnished to it or to which it had access and (3) can bear the economic risk of (i) an investment in the Placement Shares indefinitely and (ii) a total loss in respect of such investment. The Investor has such knowledge and experience in business and financial matters so as to enable it to understand and evaluate the risks of, and form an investment decision with respect to its investment in, the Placement Shares and to protect its own interest in connection with such investment. The Investor further acknowledges that each Placement Share will constitute a “control security” and a “restricted security” under U.S. securities laws and will contain a legend to that effect in substantially the following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THE SECURITIES REPRESENTED HEREBY HAVE NOT BEEN REGISTERED UNDER THE SECURITIES ACT OF 1933, AS AMENDED, OR ANY STATE SECURITIES LAWS AND NEITHER THE SECURITIES NOR ANY INTEREST THEREIN MAY BE OFFERED, SOLD, TRANSFERRED, PLEDGED OR OTHERWISE DISPOSED OF EXCEPT PURSUANT TO AN EFFECTIVE REGISTRATION STATEMENT UNDER SUCH ACT OR SUCH LAWS OR AN EXEMPTION FROM REGISTRATION UNDER SUCH ACT AND SUCH LAWS WHICH, IN THE OPINION OF COUNSEL, IS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SECURITIES ARE HELD BY A PERSON WHO IS CONSIDERED AN AFFILIATE FOR PURPOSES OF RULE 144 UNDER THE SECURITIES ACT OF 1933 (THE “ACT”). NO TRANSFER OF THESE SECURITIES OR ANY INTEREST THEREIN MAY BE MADE UNLESS THE ISSUER HAS RECEIVED AN OPINION OF COUNSEL SATISFACTORY TO IT THAT THESE SECURITIES MAY BE SOLD PURSUANT TO RULE 144 OR ANOTHER AVAILABLE EXEMPTION UNDER THE ACT AND THE RULES AND REGULATIONS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4.06.         </w:t>
      </w:r>
      <w:r>
        <w:rPr>
          <w:rFonts w:ascii="Times New Roman;Times;Serif" w:hAnsi="Times New Roman;Times;Serif"/>
          <w:b w:val="false"/>
          <w:i/>
          <w:caps w:val="false"/>
          <w:smallCaps w:val="false"/>
          <w:sz w:val="20"/>
        </w:rPr>
        <w:t>No Other Company Representations or Warranties</w:t>
      </w:r>
      <w:r>
        <w:rPr>
          <w:rFonts w:ascii="Times New Roman;Times;Serif" w:hAnsi="Times New Roman;Times;Serif"/>
          <w:b w:val="false"/>
          <w:i w:val="false"/>
          <w:caps w:val="false"/>
          <w:smallCaps w:val="false"/>
          <w:sz w:val="20"/>
        </w:rPr>
        <w:t>. Except for the representations and warranties expressly set forth in ‎Article 3 hereof, the Investor hereby acknowledges that neither the Company nor any of its Affiliates or Representatives, nor any other Person, has made or is making any other express or implied representation or warranty with respect to the Company or any of its subsidiaries or their respective businesses, operations, assets, liabilities, condition (financial or otherwise) or prospects. The Investor hereby acknowledges (for itself and on behalf of its Affiliates and Representatives) that it has conducted, to its satisfaction, its own independent investigation of the business, operations, assets and financial condition of the Company and its subsidiaries and, in making its determination to proceed with the transactions contemplated by this Agreement, the Investor has relied on the results of their own independent investigation.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4.07.         </w:t>
      </w:r>
      <w:r>
        <w:rPr>
          <w:rFonts w:ascii="Times New Roman;Times;Serif" w:hAnsi="Times New Roman;Times;Serif"/>
          <w:b w:val="false"/>
          <w:i/>
          <w:caps w:val="false"/>
          <w:smallCaps w:val="false"/>
          <w:sz w:val="20"/>
        </w:rPr>
        <w:t>No Other Investor Representations or Warranties</w:t>
      </w:r>
      <w:r>
        <w:rPr>
          <w:rFonts w:ascii="Times New Roman;Times;Serif" w:hAnsi="Times New Roman;Times;Serif"/>
          <w:b w:val="false"/>
          <w:i w:val="false"/>
          <w:caps w:val="false"/>
          <w:smallCaps w:val="false"/>
          <w:sz w:val="20"/>
        </w:rPr>
        <w:t>. Except for the representations and warranties expressly set forth in this ‎Article 4, neither the Investor nor any other Person on its behalf has made or is making any other express or implied representation or warranty.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5</w:t>
      </w:r>
      <w:r>
        <w:rPr>
          <w:rFonts w:ascii="Times New Roman;Times;Serif" w:hAnsi="Times New Roman;Times;Serif"/>
          <w:b w:val="false"/>
          <w:i w:val="false"/>
          <w:smallCaps/>
          <w:sz w:val="20"/>
        </w:rPr>
        <w:br/>
        <w:t>Additional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5.01.         </w:t>
      </w:r>
      <w:r>
        <w:rPr>
          <w:rFonts w:ascii="Times New Roman;Times;Serif" w:hAnsi="Times New Roman;Times;Serif"/>
          <w:b w:val="false"/>
          <w:i/>
          <w:caps w:val="false"/>
          <w:smallCaps w:val="false"/>
          <w:sz w:val="20"/>
        </w:rPr>
        <w:t>Further Action; Commercially Reasonable Efforts; Filings</w:t>
      </w:r>
      <w:r>
        <w:rPr>
          <w:rFonts w:ascii="Times New Roman;Times;Serif" w:hAnsi="Times New Roman;Times;Serif"/>
          <w:b w:val="false"/>
          <w:i w:val="false"/>
          <w:caps w:val="false"/>
          <w:smallCaps w:val="false"/>
          <w:sz w:val="20"/>
        </w:rPr>
        <w:t>. (a)  Subject to the terms and conditions of this Agreement, each party shall use commercially reasonable efforts to take, or cause to be taken, all actions and to do, or cause to be done, and to assist and cooperate with the other parties in doing, all things reasonably necessary, proper or advisable under applicable Law to consummate this Agreement in accordance with its terms and conditions, including (i) the obtaining of all necessary actions, waivers, registrations, permits, authorizations, orders, consents and approvals from Governmental Authorities, the expiry or early termination of any applicable waiting periods, and the making of all necessary registrations and filings (including filings with Governmental Authorities, if any) and the taking of all steps as may be reasonably necessary to obtain an approval or waiver from, or to avoid a legal action or proceeding by, any Governmental Authorities, (ii) the delivery of required notices to, and the obtaining of required consents or waivers from, any third parties necessary, proper or advisable to consummate this Agreement, and (iii) the execution and delivery of any additional instruments necessary to consummate this Agreement and to fully carry out the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5.02.         </w:t>
      </w:r>
      <w:r>
        <w:rPr>
          <w:rFonts w:ascii="Times New Roman;Times;Serif" w:hAnsi="Times New Roman;Times;Serif"/>
          <w:b w:val="false"/>
          <w:i/>
          <w:caps w:val="false"/>
          <w:smallCaps w:val="false"/>
          <w:sz w:val="20"/>
        </w:rPr>
        <w:t>Public Disclosure</w:t>
      </w:r>
      <w:r>
        <w:rPr>
          <w:rFonts w:ascii="Times New Roman;Times;Serif" w:hAnsi="Times New Roman;Times;Serif"/>
          <w:b w:val="false"/>
          <w:i w:val="false"/>
          <w:caps w:val="false"/>
          <w:smallCaps w:val="false"/>
          <w:sz w:val="20"/>
        </w:rPr>
        <w:t>. The Investor and the Company shall, and shall cause their Affiliates to, consult with each other before issuing, and give each other the opportunity to review and comment upon, any press release or other public statements with respect to this Agreement, and shall not issue any such press release or make any such public statement without the consent of the other party, which shall not be unreasonably withheld, conditioned or delayed, except as such release or announcement that the Investor or the Company determines, after consultation with outside legal counsel, is required or deemed advisable by applicable Law, Judgment, court or regulatory process or the rules and regulations of any national securities exchange or national securities quotation system. For the avoidance of doubt, nothing in this Section 5.02 or Section 5.03 shall prevent the Company from making a filing with the SEC on Form 8-K (or other applicable form) relating to the Placement as required by Law. Notwithstanding the foregoing, this ‎Section 5.02 shall not apply to any press release or other public statement made by the Company that does not contain any information relating to this Agreement that has not been previously announced or made public in accordance with the terms of this Agreement and that is made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5.03.         </w:t>
      </w:r>
      <w:r>
        <w:rPr>
          <w:rFonts w:ascii="Times New Roman;Times;Serif" w:hAnsi="Times New Roman;Times;Serif"/>
          <w:b w:val="false"/>
          <w:i/>
          <w:caps w:val="false"/>
          <w:smallCaps w:val="false"/>
          <w:sz w:val="20"/>
        </w:rPr>
        <w:t>Confidentiality</w:t>
      </w:r>
      <w:r>
        <w:rPr>
          <w:rFonts w:ascii="Times New Roman;Times;Serif" w:hAnsi="Times New Roman;Times;Serif"/>
          <w:b w:val="false"/>
          <w:i w:val="false"/>
          <w:caps w:val="false"/>
          <w:smallCaps w:val="false"/>
          <w:sz w:val="20"/>
        </w:rPr>
        <w:t>. Confidentiality provisions of the Investor Rights Agreement shall apply with respect to any information (including oral, written and electronic information) concerning the Company, its subsidiaries or its Affiliates that may be furnished to the Investor, its Affiliates or their respective Representatives by or on behalf of the Company or any of its Representatives in connection with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5.04.         </w:t>
      </w:r>
      <w:r>
        <w:rPr>
          <w:rFonts w:ascii="Times New Roman;Times;Serif" w:hAnsi="Times New Roman;Times;Serif"/>
          <w:b w:val="false"/>
          <w:i/>
          <w:caps w:val="false"/>
          <w:smallCaps w:val="false"/>
          <w:sz w:val="20"/>
        </w:rPr>
        <w:t>Tax Matters</w:t>
      </w:r>
      <w:r>
        <w:rPr>
          <w:rFonts w:ascii="Times New Roman;Times;Serif" w:hAnsi="Times New Roman;Times;Serif"/>
          <w:b w:val="false"/>
          <w:i w:val="false"/>
          <w:caps w:val="false"/>
          <w:smallCaps w:val="false"/>
          <w:sz w:val="20"/>
        </w:rPr>
        <w:t>. The Company shall pay any and all documentary, stamp and similar issuance or transfer tax due on the issuance of the Placement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5.05.         </w:t>
      </w:r>
      <w:r>
        <w:rPr>
          <w:rFonts w:ascii="Times New Roman;Times;Serif" w:hAnsi="Times New Roman;Times;Serif"/>
          <w:b w:val="false"/>
          <w:i/>
          <w:caps w:val="false"/>
          <w:smallCaps w:val="false"/>
          <w:sz w:val="20"/>
        </w:rPr>
        <w:t>Delivery of Placement Shares After the Closing</w:t>
      </w:r>
      <w:r>
        <w:rPr>
          <w:rFonts w:ascii="Times New Roman;Times;Serif" w:hAnsi="Times New Roman;Times;Serif"/>
          <w:b w:val="false"/>
          <w:i w:val="false"/>
          <w:caps w:val="false"/>
          <w:smallCaps w:val="false"/>
          <w:sz w:val="20"/>
        </w:rPr>
        <w:t>. The Company shall deliver, or cause to be delivered, a book-entry statement evidencing the applicable Placement Shares within five (5) Business Days after the applicable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5.06.         </w:t>
      </w:r>
      <w:r>
        <w:rPr>
          <w:rFonts w:ascii="Times New Roman;Times;Serif" w:hAnsi="Times New Roman;Times;Serif"/>
          <w:b w:val="false"/>
          <w:i/>
          <w:caps w:val="false"/>
          <w:smallCaps w:val="false"/>
          <w:sz w:val="20"/>
        </w:rPr>
        <w:t>Market Standoff</w:t>
      </w:r>
      <w:r>
        <w:rPr>
          <w:rFonts w:ascii="Times New Roman;Times;Serif" w:hAnsi="Times New Roman;Times;Serif"/>
          <w:b w:val="false"/>
          <w:i w:val="false"/>
          <w:caps w:val="false"/>
          <w:smallCaps w:val="false"/>
          <w:sz w:val="20"/>
        </w:rPr>
        <w:t>. (a)  The Investor hereby agrees that, during each period beginning on the date of the Closing and ending on the date that is one hundred twenty (120) days after the Closing (a “</w:t>
      </w:r>
      <w:r>
        <w:rPr>
          <w:rFonts w:ascii="Times New Roman;Times;Serif" w:hAnsi="Times New Roman;Times;Serif"/>
          <w:b/>
          <w:i w:val="false"/>
          <w:caps w:val="false"/>
          <w:smallCaps w:val="false"/>
          <w:sz w:val="20"/>
        </w:rPr>
        <w:t>Lock-up Period</w:t>
      </w:r>
      <w:r>
        <w:rPr>
          <w:rFonts w:ascii="Times New Roman;Times;Serif" w:hAnsi="Times New Roman;Times;Serif"/>
          <w:b w:val="false"/>
          <w:i w:val="false"/>
          <w:caps w:val="false"/>
          <w:smallCaps w:val="false"/>
          <w:sz w:val="20"/>
        </w:rPr>
        <w:t>”), the Investor will not, without the prior written consent of the Company, (i) directly or indirectly, offer, pledge,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Common Stock, whether owned by the Investor as of the date hereof or hereafter acquired by the Investor or with respect to which the Investor has or hereafter acquires the power of disposition (collectively, the “</w:t>
      </w:r>
      <w:r>
        <w:rPr>
          <w:rFonts w:ascii="Times New Roman;Times;Serif" w:hAnsi="Times New Roman;Times;Serif"/>
          <w:b/>
          <w:i w:val="false"/>
          <w:caps w:val="false"/>
          <w:smallCaps w:val="false"/>
          <w:sz w:val="20"/>
        </w:rPr>
        <w:t>Lock-Up Securities</w:t>
      </w:r>
      <w:r>
        <w:rPr>
          <w:rFonts w:ascii="Times New Roman;Times;Serif" w:hAnsi="Times New Roman;Times;Serif"/>
          <w:b w:val="false"/>
          <w:i w:val="false"/>
          <w:caps w:val="false"/>
          <w:smallCaps w:val="false"/>
          <w:sz w:val="20"/>
        </w:rPr>
        <w:t>”), (ii) enter into any swap or any other agreement or any transaction that transfers, in whole or in part, directly or indirectly, the economic consequence of ownership of the Lock-Up Securities, whether any such swap or transaction is to be settled by delivery of Common Stock or other securities, in cash or otherwise, or (iii) make any short sale of, grant any option for the purchase of, or enter into any hedging or similar transaction with the same economic effect as a short sale of or the purpose of which is to offset the loss that results from a decline in the market price of the Lock-Up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Section 5.06(a), and subject to the conditions below, the Investor may transfer the Lock-Up Securities without the prior written consent of the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case of any transfer of Lock-Up Securities pursuant to clauses (i) through (iv) of this Section 5.06(b), (1) each donee, trustee, distributee, or transferee, as the case may be, shall agree in writing to be similarly bound during the balance of the Lock-Up Period, (2) any such transfer shall not involve a disposition for value, (3) any required public report or filing (including filings under Section 16(a) of the Exchange Act) shall disclose the nature of such transfer and that the Lock-Up Securities remain subject to the terms set forth in this Section 5.06, and (4) the Investor does not otherwise voluntarily effect any public filing or report regarding such transfers: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as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gift or gifts, including to charitable organizations;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an Affiliate of the Investor;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a nominee or custodian of any Person to whom a transfer would be permissible under clauses (i) or (ii) above;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pursuant to a bona fide third-party tender offer, merger, consolidation or other similar transaction that is approved by the board of directors of the Company and made to all holders of shares of the Company’s capital stock involving a Change of Control (as defined below) (including negotiating and entering into an agreement providing for any such transaction),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event that such tender offer, merger, consolidation or other similar transaction is not completed, the Investor’s Lock-Up Securities shall remain subject to this Section 5.06.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Section 5.06, “</w:t>
      </w:r>
      <w:r>
        <w:rPr>
          <w:rFonts w:ascii="Times New Roman;Times;Serif" w:hAnsi="Times New Roman;Times;Serif"/>
          <w:b/>
          <w:i w:val="false"/>
          <w:caps w:val="false"/>
          <w:smallCaps w:val="false"/>
          <w:sz w:val="20"/>
        </w:rPr>
        <w:t>Change of Control</w:t>
      </w:r>
      <w:r>
        <w:rPr>
          <w:rFonts w:ascii="Times New Roman;Times;Serif" w:hAnsi="Times New Roman;Times;Serif"/>
          <w:b w:val="false"/>
          <w:i w:val="false"/>
          <w:caps w:val="false"/>
          <w:smallCaps w:val="false"/>
          <w:sz w:val="20"/>
        </w:rPr>
        <w:t>” means the transfer to or acquisition by (whether by tender offer, merger, consolidation, division or other similar transaction), in one transaction or a series of related transactions, a Person or group of affiliated Persons, of the Company’s voting securities if, after such transfer or acquisition, such Person or group of affiliated Persons would beneficially own (as defined in Rule 13d-3 promulgated under the Exchange Act) more than 90% of the outstanding voting securities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Nothing in this Section 5.06 shall prohibit the registration for resale of the shares of outstanding Redeemable Convertible Preferred Stock and the shares of Common Stock issuable upon conversion, repurchase or redemption of the outstanding Redeemable Convertible Preferred Stock, including any filings with the SEC related to such resale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attempted transfer in violation of this Section 5.06 shall be null and void ab initio.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Investor agrees and consents to the entry of stop transfer instructions with the Company’s transfer agent and registrar against the transfer of the Lock-Up Securities except in compliance with this Section 5.06.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6</w:t>
      </w:r>
      <w:r>
        <w:rPr>
          <w:rFonts w:ascii="Times New Roman;Times;Serif" w:hAnsi="Times New Roman;Times;Serif"/>
          <w:b w:val="false"/>
          <w:i w:val="false"/>
          <w:smallCaps/>
          <w:sz w:val="20"/>
        </w:rPr>
        <w:br/>
        <w:t>Conditions to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         </w:t>
      </w:r>
      <w:r>
        <w:rPr>
          <w:rFonts w:ascii="Times New Roman;Times;Serif" w:hAnsi="Times New Roman;Times;Serif"/>
          <w:b w:val="false"/>
          <w:i/>
          <w:caps w:val="false"/>
          <w:smallCaps w:val="false"/>
          <w:sz w:val="20"/>
        </w:rPr>
        <w:t>Condition to the Obligations of the Company and the Investor</w:t>
      </w:r>
      <w:r>
        <w:rPr>
          <w:rFonts w:ascii="Times New Roman;Times;Serif" w:hAnsi="Times New Roman;Times;Serif"/>
          <w:b w:val="false"/>
          <w:i w:val="false"/>
          <w:caps w:val="false"/>
          <w:smallCaps w:val="false"/>
          <w:sz w:val="20"/>
        </w:rPr>
        <w:t>. The respective obligations of each of the Company and the Investor to effect the Closing shall be subject to the satisfaction (or waiver, if permissible under applicable Law) on or prior to each Closing Date of the conditions that (a) no Judgment shall be enacted, promulgated, issued, entered, or threatened by any Governmental Authority and no applicable Law (collectively, “</w:t>
      </w:r>
      <w:r>
        <w:rPr>
          <w:rFonts w:ascii="Times New Roman;Times;Serif" w:hAnsi="Times New Roman;Times;Serif"/>
          <w:b/>
          <w:i w:val="false"/>
          <w:caps w:val="false"/>
          <w:smallCaps w:val="false"/>
          <w:sz w:val="20"/>
        </w:rPr>
        <w:t>Restraints</w:t>
      </w:r>
      <w:r>
        <w:rPr>
          <w:rFonts w:ascii="Times New Roman;Times;Serif" w:hAnsi="Times New Roman;Times;Serif"/>
          <w:b w:val="false"/>
          <w:i w:val="false"/>
          <w:caps w:val="false"/>
          <w:smallCaps w:val="false"/>
          <w:sz w:val="20"/>
        </w:rPr>
        <w:t>”) shall be in effect enjoining or otherwise prohibiting consummation of this Agreement and (b) the closing of the Public Offering as set forth in the Underwriting Agreement has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         </w:t>
      </w:r>
      <w:r>
        <w:rPr>
          <w:rFonts w:ascii="Times New Roman;Times;Serif" w:hAnsi="Times New Roman;Times;Serif"/>
          <w:b w:val="false"/>
          <w:i/>
          <w:caps w:val="false"/>
          <w:smallCaps w:val="false"/>
          <w:sz w:val="20"/>
        </w:rPr>
        <w:t>Conditions to the Obligations of the Company</w:t>
      </w:r>
      <w:r>
        <w:rPr>
          <w:rFonts w:ascii="Times New Roman;Times;Serif" w:hAnsi="Times New Roman;Times;Serif"/>
          <w:b w:val="false"/>
          <w:i w:val="false"/>
          <w:caps w:val="false"/>
          <w:smallCaps w:val="false"/>
          <w:sz w:val="20"/>
        </w:rPr>
        <w:t>. The obligations of the Company to effect the Closing shall be further subject to the satisfaction (or waiver, if permissible under applicable Law) on or prior to each Closing Date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representations and warranties of the Investor set forth in this Agreement shall be true and correct as of the date of this Agreement and as of each Closing Date with the same effect as though made on and as of such date (except to the extent expressly made as of an earlier date, in which case as of such earlier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Investor shall have complied with or performed in all material respects its obligations and covenants required to be complied with or performed by it pursuant to this Agreement at or prior to such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6.03.         </w:t>
      </w:r>
      <w:r>
        <w:rPr>
          <w:rFonts w:ascii="Times New Roman;Times;Serif" w:hAnsi="Times New Roman;Times;Serif"/>
          <w:b w:val="false"/>
          <w:i/>
          <w:caps w:val="false"/>
          <w:smallCaps w:val="false"/>
          <w:sz w:val="20"/>
        </w:rPr>
        <w:t>Conditions to the Obligations of the Investor</w:t>
      </w:r>
      <w:r>
        <w:rPr>
          <w:rFonts w:ascii="Times New Roman;Times;Serif" w:hAnsi="Times New Roman;Times;Serif"/>
          <w:b w:val="false"/>
          <w:i w:val="false"/>
          <w:caps w:val="false"/>
          <w:smallCaps w:val="false"/>
          <w:sz w:val="20"/>
        </w:rPr>
        <w:t>. The obligations of the Investor to effect the Closing shall be further subject to the satisfaction (or waiver, if permissible under applicable Law) on or prior to each Closing Date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representations and warranties of the Company set forth in this Agreement shall be true and correct as of the date of this Agreement and as of the Closing Date with the same effect as though made on and as of such date (except to the extent expressly made as of an earlier date, in which case as of such earlier date), except where the failure to be true and correct would not,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have complied with or performed in all material respects its obligations and covenants required to be complied with or performed by it pursuant to this Agreement at or prior to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shall have obtained any and all consents, permits, approvals, registrations and waivers necessary for consummation of the applicable 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stop order or suspension of trading shall have been imposed by the Nasdaq, the SEC or any other Governmental Authority with respect to the public trading in the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Common Stock shall be listed on the Nasdaq;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Investor Rights Agreement, as amended by the IRA Amendment, shall be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7</w:t>
      </w:r>
      <w:r>
        <w:rPr>
          <w:rFonts w:ascii="Times New Roman;Times;Serif" w:hAnsi="Times New Roman;Times;Serif"/>
          <w:b w:val="false"/>
          <w:i w:val="false"/>
          <w:smallCaps/>
          <w:sz w:val="20"/>
        </w:rPr>
        <w:br/>
        <w:t>Termination; Survival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7.01.         </w:t>
      </w:r>
      <w:r>
        <w:rPr>
          <w:rFonts w:ascii="Times New Roman;Times;Serif" w:hAnsi="Times New Roman;Times;Serif"/>
          <w:b w:val="false"/>
          <w:i/>
          <w:caps w:val="false"/>
          <w:smallCaps w:val="false"/>
          <w:sz w:val="20"/>
        </w:rPr>
        <w:t>Termination</w:t>
      </w:r>
      <w:r>
        <w:rPr>
          <w:rFonts w:ascii="Times New Roman;Times;Serif" w:hAnsi="Times New Roman;Times;Serif"/>
          <w:b w:val="false"/>
          <w:i w:val="false"/>
          <w:caps w:val="false"/>
          <w:smallCaps w:val="false"/>
          <w:sz w:val="20"/>
        </w:rPr>
        <w:t>. This Agreement will terminate automatically upon the date which the Company has sold to the Investor pursuant to this Agreement the Placement Shares. This Agreement may be terminated earlier: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the mutual written consent of the Company and the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either the Company or the Investor if the Underwriting Agreement has been terminated in accordance with its terms following its execution (or, if the Underwriting Agreement has not been executed, if the Company provides written notice to the Investor that it does not intend to proceed with the Public Offering prior to October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by either the Company or the Investor, if any Restraint enjoining or otherwise prohibiting consummation of this Agreement shall be in effect and shall have become final and nonappealable;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party seeking to terminate this Agreement pursuant to this ‎Section 7.01(c) shall have used the required efforts to cause the conditions to Closing to be satisfied in accordance with ‎Section 5.01;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by the Investor, if the Company shall have breached any of its representations or warranties or failed to perform any of its covenants or agreements set forth in this Agreement, which breach or failure to perform (i) would give rise to the failure of a condition set forth in ‎Section 6.03(a) or ‎Section 6.03(b) and (ii) shall not have been cured within thirty (30) calendar days following receipt by the Company of written notice of such breach or failure to perform from the Investor stating the Investor’s intention to terminate this Agreement pursuant to this ‎Section 7.01(d) and the basis for such termination;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Investor shall not have the right to terminate this Agreement pursuant to this ‎Section 7.01(d) if the Investor is then in material breach of any of its representations, warranties, covenants or agreements hereunder, which breach would give rise to the failure of any condition set forth in ‎Section 6.02(a) or ‎Section 6.02(b) to be satisfied;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by the Company, if the Investor shall have breached any of its representations or warranties or failed to perform any of its covenants or agreements set forth in this Agreement, which breach or failure to perform (i) would give rise to the failure of a condition set forth in ‎Section 6.02(a) or ‎Section 6.02(b) and (ii) shall not have been cured within thirty (30) calendar days following receipt by the Investor of written notice of such breach or failure to perform from the Company stating the Company’s intention to terminate this Agreement pursuant to this ‎Section 7.01(e) and the basis for such termination;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Company shall not have the right to terminate this Agreement pursuant to this ‎Section 7.01(e) if the Company is then in material breach of any of its representations, warranties, covenants or agreements hereunder, which breach would give rise to the failure of any condition set forth in ‎Section 6.03(a) or ‎Section 6.03(b) to be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7.02.         </w:t>
      </w:r>
      <w:r>
        <w:rPr>
          <w:rFonts w:ascii="Times New Roman;Times;Serif" w:hAnsi="Times New Roman;Times;Serif"/>
          <w:b w:val="false"/>
          <w:i/>
          <w:caps w:val="false"/>
          <w:smallCaps w:val="false"/>
          <w:sz w:val="20"/>
        </w:rPr>
        <w:t>Effect of Termination</w:t>
      </w:r>
      <w:r>
        <w:rPr>
          <w:rFonts w:ascii="Times New Roman;Times;Serif" w:hAnsi="Times New Roman;Times;Serif"/>
          <w:b w:val="false"/>
          <w:i w:val="false"/>
          <w:caps w:val="false"/>
          <w:smallCaps w:val="false"/>
          <w:sz w:val="20"/>
        </w:rPr>
        <w:t>. In the event of the termination of this Agreement as provided in ‎Section 7.01, written notice thereof shall be given to the other party, specifying the provision hereof pursuant to which such termination is made, and this Agreement shall forthwith become null and void (other than ‎Article 1, ‎Section 5.03, Section 5.06, this ‎Section 7.02 and ‎Article 8, all of which shall survive termination of this Agreement), and there shall be no liability on the part of the Investor or the Company or their respective directors, officers and Affiliates, except that no such termination shall relieve any party from liability for damages to another party resulting from a willful and material breach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7.03.         </w:t>
      </w:r>
      <w:r>
        <w:rPr>
          <w:rFonts w:ascii="Times New Roman;Times;Serif" w:hAnsi="Times New Roman;Times;Serif"/>
          <w:b w:val="false"/>
          <w:i/>
          <w:caps w:val="false"/>
          <w:smallCaps w:val="false"/>
          <w:sz w:val="20"/>
        </w:rPr>
        <w:t>Survival</w:t>
      </w:r>
      <w:r>
        <w:rPr>
          <w:rFonts w:ascii="Times New Roman;Times;Serif" w:hAnsi="Times New Roman;Times;Serif"/>
          <w:b w:val="false"/>
          <w:i w:val="false"/>
          <w:caps w:val="false"/>
          <w:smallCaps w:val="false"/>
          <w:sz w:val="20"/>
        </w:rPr>
        <w:t>. Subject to Section 7.02, all of the covenants or other agreements of the parties contained in this Agreement shall survive until fully performed or fulfilled, unless and to the extent that non-compliance with such covenants or agreements is waived in writing by the party entitled to such performance. The representations and warranties made as of each Closing Date shall survive until such Closing Date and shall then expire. Notwithstanding any other provision set forth in this Agreement, the maximum liability of the Company under or relating to this Agreement to the extent relating to or arising out of any breach of the representations and warranties expressly set forth in this Agreement shall, with respect to any Placement, in no event exceed the aggregate purchase price paid by the Investor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8</w:t>
      </w:r>
      <w:r>
        <w:rPr>
          <w:rFonts w:ascii="Times New Roman;Times;Serif" w:hAnsi="Times New Roman;Times;Serif"/>
          <w:b w:val="false"/>
          <w:i w:val="false"/>
          <w:smallCaps/>
          <w:sz w:val="20"/>
        </w:rPr>
        <w:b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8.01.         </w:t>
      </w:r>
      <w:r>
        <w:rPr>
          <w:rFonts w:ascii="Times New Roman;Times;Serif" w:hAnsi="Times New Roman;Times;Serif"/>
          <w:b w:val="false"/>
          <w:i/>
          <w:caps w:val="false"/>
          <w:smallCaps w:val="false"/>
          <w:sz w:val="20"/>
        </w:rPr>
        <w:t>Amendments; Waivers</w:t>
      </w:r>
      <w:r>
        <w:rPr>
          <w:rFonts w:ascii="Times New Roman;Times;Serif" w:hAnsi="Times New Roman;Times;Serif"/>
          <w:b w:val="false"/>
          <w:i w:val="false"/>
          <w:caps w:val="false"/>
          <w:smallCaps w:val="false"/>
          <w:sz w:val="20"/>
        </w:rPr>
        <w:t>. Subject to compliance with applicable Law, this Agreement may be amended or supplemented in any and all respects by written agreement of the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8.02.         </w:t>
      </w:r>
      <w:r>
        <w:rPr>
          <w:rFonts w:ascii="Times New Roman;Times;Serif" w:hAnsi="Times New Roman;Times;Serif"/>
          <w:b w:val="false"/>
          <w:i/>
          <w:caps w:val="false"/>
          <w:smallCaps w:val="false"/>
          <w:sz w:val="20"/>
        </w:rPr>
        <w:t>Extension of Time, Waiver, Etc</w:t>
      </w:r>
      <w:r>
        <w:rPr>
          <w:rFonts w:ascii="Times New Roman;Times;Serif" w:hAnsi="Times New Roman;Times;Serif"/>
          <w:b w:val="false"/>
          <w:i w:val="false"/>
          <w:caps w:val="false"/>
          <w:smallCaps w:val="false"/>
          <w:sz w:val="20"/>
        </w:rPr>
        <w:t>. The Company and the Investor may, subject to applicable Law, (a) waive any inaccuracies in the representations and warranties of the other party contained herein or in any document delivered pursuant hereto, (b) extend the time for the performance of any of the obligations or acts of the other party or (c) waive compliance by the other party with any of the agreements contained herein applicable to such party or, except as otherwise provided herein, waive any of such party’s conditions. Notwithstanding the foregoing, no failure or delay by the Company or the Investor in exercising any right hereunder shall operate as a waiver thereof nor shall any single or partial exercise thereof preclude any other or further exercise thereof or the exercise of any other right hereunder. Any agreement on the part of a party hereto to any such extension or waiver shall be valid only if set forth in an instrument in writing signed on behalf of such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8.03.         </w:t>
      </w:r>
      <w:r>
        <w:rPr>
          <w:rFonts w:ascii="Times New Roman;Times;Serif" w:hAnsi="Times New Roman;Times;Serif"/>
          <w:b w:val="false"/>
          <w:i/>
          <w:caps w:val="false"/>
          <w:smallCaps w:val="false"/>
          <w:sz w:val="20"/>
        </w:rPr>
        <w:t>Assignment</w:t>
      </w:r>
      <w:r>
        <w:rPr>
          <w:rFonts w:ascii="Times New Roman;Times;Serif" w:hAnsi="Times New Roman;Times;Serif"/>
          <w:b w:val="false"/>
          <w:i w:val="false"/>
          <w:caps w:val="false"/>
          <w:smallCaps w:val="false"/>
          <w:sz w:val="20"/>
        </w:rPr>
        <w:t>. Neither this Agreement nor any of the rights, interests or obligations hereunder shall be assigned, in whole or in part, by operation of Law or otherwise, by any of the parties hereto without the prior written consent of the other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8.04.         </w:t>
      </w:r>
      <w:r>
        <w:rPr>
          <w:rFonts w:ascii="Times New Roman;Times;Serif" w:hAnsi="Times New Roman;Times;Serif"/>
          <w:b w:val="false"/>
          <w:i/>
          <w:caps w:val="false"/>
          <w:smallCaps w:val="false"/>
          <w:sz w:val="20"/>
        </w:rPr>
        <w:t>Counterparts</w:t>
      </w:r>
      <w:r>
        <w:rPr>
          <w:rFonts w:ascii="Times New Roman;Times;Serif" w:hAnsi="Times New Roman;Times;Serif"/>
          <w:b w:val="false"/>
          <w:i w:val="false"/>
          <w:caps w:val="false"/>
          <w:smallCaps w:val="false"/>
          <w:sz w:val="20"/>
        </w:rPr>
        <w:t>. This Agreement may be signed by the parties in one or more counterparts which together shall constitute one and the same agreement among the parties. Electronic signatures complying with the New York Electronic Signatures and Records Act (N.Y. State Tech. §§ 301-309), as amended from time to time, or other applicable law will be deemed original signatures for purposes of this Agreement. Transmission by telecopy, electronic mail or other transmission method of an executed counterpart of this Agreement will constitute due and sufficient delivery of such counterpart.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8.05.         </w:t>
      </w:r>
      <w:r>
        <w:rPr>
          <w:rFonts w:ascii="Times New Roman;Times;Serif" w:hAnsi="Times New Roman;Times;Serif"/>
          <w:b w:val="false"/>
          <w:i/>
          <w:caps w:val="false"/>
          <w:smallCaps w:val="false"/>
          <w:sz w:val="20"/>
        </w:rPr>
        <w:t>Entire Agreement; No Third-Party Beneficiaries</w:t>
      </w:r>
      <w:r>
        <w:rPr>
          <w:rFonts w:ascii="Times New Roman;Times;Serif" w:hAnsi="Times New Roman;Times;Serif"/>
          <w:b w:val="false"/>
          <w:i w:val="false"/>
          <w:caps w:val="false"/>
          <w:smallCaps w:val="false"/>
          <w:sz w:val="20"/>
        </w:rPr>
        <w:t>. This Agreement constitutes the entire agreement, and supersedes all other prior agreements and understandings, both written and oral, among the parties and their Affiliates, or any of them, with respect to the subject matter hereof and thereof. No provision of this Agreement shall confer upon any Person other than the parties hereto and their permitted assigns any rights or remedies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8.06.         </w:t>
      </w:r>
      <w:r>
        <w:rPr>
          <w:rFonts w:ascii="Times New Roman;Times;Serif" w:hAnsi="Times New Roman;Times;Serif"/>
          <w:b w:val="false"/>
          <w:i/>
          <w:caps w:val="false"/>
          <w:smallCaps w:val="false"/>
          <w:sz w:val="20"/>
        </w:rPr>
        <w:t>Governing Law; Jurisdiction</w:t>
      </w:r>
      <w:r>
        <w:rPr>
          <w:rFonts w:ascii="Times New Roman;Times;Serif" w:hAnsi="Times New Roman;Times;Serif"/>
          <w:b w:val="false"/>
          <w:i w:val="false"/>
          <w:caps w:val="false"/>
          <w:smallCaps w:val="false"/>
          <w:sz w:val="20"/>
        </w:rPr>
        <w:t>. (a)  This Agreement and all matters, claims or legal actions or proceedings (whether at law, in equity, in Contract, in tort or otherwise) based upon, arising out of or relating to this Agreement, execution or performance of this Agreement, shall be governed by, and construed in accordance with, the internal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All legal actions or proceedings arising out of or relating to this Agreement shall be heard and determined in the courts of the State of New York located in the City and County of New York, Borough of Manhattan, or in the United States District Court for the Southern District of New York and the parties hereto hereby irrevocably submit to the exclusive jurisdiction and venue of such courts in any such legal action or proceeding and irrevocably waive the defense of an inconvenient forum or lack of jurisdiction to the maintenance of any such legal action or proceeding. Each party hereto agrees that service of process upon such party in any legal action or proceeding arising out of or relating to this Agreement shall be effective if notice is given by overnight courier at the address set forth in ‎Section 8.09. The parties hereto agree that a final judgment in any such legal action or proceeding shall be conclusive and may be enforced in other jurisdictions by suit on the judgment or in any other manner provided by applicable Law;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nothing in the foregoing shall restrict any party’s rights to seek any post-judgment relief regarding, or any appeal from, a final trial court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8.07.         </w:t>
      </w:r>
      <w:r>
        <w:rPr>
          <w:rFonts w:ascii="Times New Roman;Times;Serif" w:hAnsi="Times New Roman;Times;Serif"/>
          <w:b w:val="false"/>
          <w:i/>
          <w:caps w:val="false"/>
          <w:smallCaps w:val="false"/>
          <w:sz w:val="20"/>
        </w:rPr>
        <w:t>Specific Enforcement</w:t>
      </w:r>
      <w:r>
        <w:rPr>
          <w:rFonts w:ascii="Times New Roman;Times;Serif" w:hAnsi="Times New Roman;Times;Serif"/>
          <w:b w:val="false"/>
          <w:i w:val="false"/>
          <w:caps w:val="false"/>
          <w:smallCaps w:val="false"/>
          <w:sz w:val="20"/>
        </w:rPr>
        <w:t>. The parties hereto agree that irreparable damage for which monetary relief, even if available, might not be an adequate remedy, might occur in the event that any provision of this Agreement is not performed in accordance with its specific terms or is otherwise breached, including if the parties hereto fail to take any action required of them hereunder to cause the Closing to occur, and that time is of the essence. Subject to the determination of a court of competent jurisdiction, the parties acknowledge and agree that (a) the parties shall be entitled to seek an injunction or injunctions, specific performance or other equitable relief to prevent breaches of this Agreement and to enforce specifically the terms and provisions hereof (including, for the avoidance of doubt, the right of the Company to cause any Placement to be consummated on the terms and subject to the conditions set forth in this Agreement) in the courts described in ‎Section 8.06, this being in addition to any other remedy to which they are entitled under this Agreement and (b) the right of specific enforcement is an integral part of this Agreement and without that right, neither the Company nor the Investor would have entered into this Agreement. The parties hereto agree not to assert that a remedy of specific enforcement is unenforceable, invalid, contrary to Law or inequitable for any reason, and agree not to assert that a remedy of monetary damages would provide an adequate remedy or that the parties otherwise have an adequate remedy at law. The parties hereto acknowledge and agree that any party seeking an injunction or injunctions to prevent breaches of this Agreement and to enforce specifically the terms and provisions of this Agreement in accordance with this ‎Section 8.07 shall not be required to provide any bond or other security in connection with any such order or injunction.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8.08.         </w:t>
      </w:r>
      <w:r>
        <w:rPr>
          <w:rFonts w:ascii="Times New Roman;Times;Serif" w:hAnsi="Times New Roman;Times;Serif"/>
          <w:b w:val="false"/>
          <w:i/>
          <w:caps w:val="false"/>
          <w:smallCaps w:val="false"/>
          <w:sz w:val="20"/>
        </w:rPr>
        <w:t>WAIVER OF JURY TRIAL</w:t>
      </w:r>
      <w:r>
        <w:rPr>
          <w:rFonts w:ascii="Times New Roman;Times;Serif" w:hAnsi="Times New Roman;Times;Serif"/>
          <w:b w:val="false"/>
          <w:i w:val="false"/>
          <w:caps w:val="false"/>
          <w:smallCaps w:val="false"/>
          <w:sz w:val="20"/>
        </w:rPr>
        <w:t>. EACH PARTY HERETO ACKNOWLEDGES AND AGREES THAT ANY CONTROVERSY WHICH MAY ARISE UNDER THIS AGREEMENT IS LIKELY TO INVOLVE COMPLICATED AND DIFFICULT ISSUES, AND THEREFORE IT HEREBY IRREVOCABLY AND UNCONDITIONALLY WAIVES, TO THE FULLEST EXTENT PERMITTED BY APPLICABLE LAW, ANY RIGHT IT MAY HAVE TO A TRIAL BY JURY IN RESPECT OF ANY LITIGATION DIRECTLY OR INDIRECTLY ARISING OUT OF OR RELATING TO THIS AGREEMENT. EACH PARTY CERTIFIES AND ACKNOWLEDGES THAT (a) NO REPRESENTATIVE, AGENT OR ATTORNEY OF ANY OTHER PARTY HAS REPRESENTED, EXPRESSLY OR OTHERWISE, THAT SUCH OTHER PARTY WOULD NOT, IN THE EVENT OF LITIGATION, SEEK TO ENFORCE THE FOREGOING WAIVER, (b) IT UNDERSTANDS AND HAS CONSIDERED THE IMPLICATIONS OF SUCH WAIVER, (c) IT MAKES SUCH WAIVER VOLUNTARILY AND (d) IT HAS BEEN INDUCED TO ENTER INTO THIS AGREEMENT BY, AMONG OTHER THINGS, THE MUTUAL WAIVER AND CERTIFICATIONS IN THIS ‎SECTION 8.08.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8.09.         </w:t>
      </w:r>
      <w:r>
        <w:rPr>
          <w:rFonts w:ascii="Times New Roman;Times;Serif" w:hAnsi="Times New Roman;Times;Serif"/>
          <w:b w:val="false"/>
          <w:i/>
          <w:caps w:val="false"/>
          <w:smallCaps w:val="false"/>
          <w:sz w:val="20"/>
        </w:rPr>
        <w:t>Notices</w:t>
      </w:r>
      <w:r>
        <w:rPr>
          <w:rFonts w:ascii="Times New Roman;Times;Serif" w:hAnsi="Times New Roman;Times;Serif"/>
          <w:b w:val="false"/>
          <w:i w:val="false"/>
          <w:caps w:val="false"/>
          <w:smallCaps w:val="false"/>
          <w:sz w:val="20"/>
        </w:rPr>
        <w:t>. All notices, requests and other communications to any party hereunder shall be in writing and shall be deemed given if delivered personally, emailed, or sent by overnight courier (providing proof of delivery) to the parties at the following addresses:</w:t>
      </w:r>
    </w:p>
    <w:p>
      <w:pPr>
        <w:pStyle w:val="TextBody"/>
        <w:bidi w:val="0"/>
        <w:spacing w:before="0" w:after="0"/>
        <w:ind w:left="0" w:right="0" w:hanging="0"/>
        <w:jc w:val="left"/>
        <w:rPr>
          <w:caps w:val="false"/>
          <w:smallCaps w:val="false"/>
        </w:rPr>
      </w:pPr>
      <w:r>
        <w:rPr>
          <w:caps w:val="false"/>
          <w:smallCaps w:val="false"/>
        </w:rPr>
        <w:t> </w:t>
      </w:r>
    </w:p>
    <w:tbl>
      <w:tblPr>
        <w:tblW w:w="4974" w:type="dxa"/>
        <w:jc w:val="left"/>
        <w:tblInd w:w="0" w:type="dxa"/>
        <w:tblLayout w:type="fixed"/>
        <w:tblCellMar>
          <w:top w:w="0" w:type="dxa"/>
          <w:left w:w="0" w:type="dxa"/>
          <w:bottom w:w="0" w:type="dxa"/>
          <w:right w:w="0" w:type="dxa"/>
        </w:tblCellMar>
      </w:tblPr>
      <w:tblGrid>
        <w:gridCol w:w="290"/>
        <w:gridCol w:w="1109"/>
        <w:gridCol w:w="3575"/>
      </w:tblGrid>
      <w:tr>
        <w:trPr/>
        <w:tc>
          <w:tcPr>
            <w:tcW w:w="290" w:type="dxa"/>
            <w:tcBorders/>
            <w:vAlign w:val="center"/>
          </w:tcPr>
          <w:p>
            <w:pPr>
              <w:pStyle w:val="TableContents"/>
              <w:bidi w:val="0"/>
              <w:spacing w:before="0" w:after="283"/>
              <w:jc w:val="center"/>
              <w:rPr/>
            </w:pPr>
            <w:r>
              <w:rPr/>
              <w:t>(a)</w:t>
            </w:r>
          </w:p>
        </w:tc>
        <w:tc>
          <w:tcPr>
            <w:tcW w:w="4684" w:type="dxa"/>
            <w:gridSpan w:val="2"/>
            <w:tcBorders/>
            <w:vAlign w:val="center"/>
          </w:tcPr>
          <w:p>
            <w:pPr>
              <w:pStyle w:val="TableContents"/>
              <w:bidi w:val="0"/>
              <w:spacing w:before="0" w:after="283"/>
              <w:jc w:val="left"/>
              <w:rPr/>
            </w:pPr>
            <w:r>
              <w:rPr/>
              <w:t>If to the Company, to it at:</w:t>
            </w:r>
          </w:p>
        </w:tc>
      </w:tr>
      <w:tr>
        <w:trPr/>
        <w:tc>
          <w:tcPr>
            <w:tcW w:w="290" w:type="dxa"/>
            <w:tcBorders/>
            <w:vAlign w:val="center"/>
          </w:tcPr>
          <w:p>
            <w:pPr>
              <w:pStyle w:val="TableContents"/>
              <w:bidi w:val="0"/>
              <w:spacing w:before="0" w:after="283"/>
              <w:jc w:val="left"/>
              <w:rPr/>
            </w:pPr>
            <w:r>
              <w:rPr/>
              <w:t> </w:t>
            </w:r>
          </w:p>
        </w:tc>
        <w:tc>
          <w:tcPr>
            <w:tcW w:w="4684" w:type="dxa"/>
            <w:gridSpan w:val="2"/>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283"/>
              <w:jc w:val="left"/>
              <w:rPr/>
            </w:pPr>
            <w:r>
              <w:rPr/>
              <w:t> </w:t>
            </w:r>
          </w:p>
        </w:tc>
        <w:tc>
          <w:tcPr>
            <w:tcW w:w="4684" w:type="dxa"/>
            <w:gridSpan w:val="2"/>
            <w:tcBorders/>
            <w:vAlign w:val="center"/>
          </w:tcPr>
          <w:p>
            <w:pPr>
              <w:pStyle w:val="TableContents"/>
              <w:bidi w:val="0"/>
              <w:spacing w:before="0" w:after="283"/>
              <w:jc w:val="left"/>
              <w:rPr/>
            </w:pPr>
            <w:r>
              <w:rPr/>
              <w:t>Lucid Group, Inc.</w:t>
            </w:r>
          </w:p>
        </w:tc>
      </w:tr>
      <w:tr>
        <w:trPr/>
        <w:tc>
          <w:tcPr>
            <w:tcW w:w="290" w:type="dxa"/>
            <w:tcBorders/>
            <w:vAlign w:val="center"/>
          </w:tcPr>
          <w:p>
            <w:pPr>
              <w:pStyle w:val="TableContents"/>
              <w:bidi w:val="0"/>
              <w:spacing w:before="0" w:after="283"/>
              <w:jc w:val="left"/>
              <w:rPr/>
            </w:pPr>
            <w:r>
              <w:rPr/>
              <w:t> </w:t>
            </w:r>
          </w:p>
        </w:tc>
        <w:tc>
          <w:tcPr>
            <w:tcW w:w="4684" w:type="dxa"/>
            <w:gridSpan w:val="2"/>
            <w:tcBorders/>
            <w:vAlign w:val="center"/>
          </w:tcPr>
          <w:p>
            <w:pPr>
              <w:pStyle w:val="TableContents"/>
              <w:bidi w:val="0"/>
              <w:spacing w:before="0" w:after="283"/>
              <w:jc w:val="left"/>
              <w:rPr/>
            </w:pPr>
            <w:r>
              <w:rPr/>
              <w:t>7373 Gateway Boulevard</w:t>
            </w:r>
          </w:p>
        </w:tc>
      </w:tr>
      <w:tr>
        <w:trPr/>
        <w:tc>
          <w:tcPr>
            <w:tcW w:w="290" w:type="dxa"/>
            <w:tcBorders/>
            <w:vAlign w:val="center"/>
          </w:tcPr>
          <w:p>
            <w:pPr>
              <w:pStyle w:val="TableContents"/>
              <w:bidi w:val="0"/>
              <w:spacing w:before="0" w:after="283"/>
              <w:jc w:val="left"/>
              <w:rPr/>
            </w:pPr>
            <w:r>
              <w:rPr/>
              <w:t> </w:t>
            </w:r>
          </w:p>
        </w:tc>
        <w:tc>
          <w:tcPr>
            <w:tcW w:w="4684" w:type="dxa"/>
            <w:gridSpan w:val="2"/>
            <w:tcBorders/>
            <w:vAlign w:val="center"/>
          </w:tcPr>
          <w:p>
            <w:pPr>
              <w:pStyle w:val="TableContents"/>
              <w:bidi w:val="0"/>
              <w:spacing w:before="0" w:after="283"/>
              <w:jc w:val="left"/>
              <w:rPr/>
            </w:pPr>
            <w:r>
              <w:rPr/>
              <w:t>Newark, CA 94560</w:t>
            </w:r>
          </w:p>
        </w:tc>
      </w:tr>
      <w:tr>
        <w:trPr/>
        <w:tc>
          <w:tcPr>
            <w:tcW w:w="290"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left"/>
              <w:rPr/>
            </w:pPr>
            <w:r>
              <w:rPr/>
              <w:t>Attention:</w:t>
            </w:r>
          </w:p>
        </w:tc>
        <w:tc>
          <w:tcPr>
            <w:tcW w:w="3575" w:type="dxa"/>
            <w:tcBorders/>
            <w:vAlign w:val="center"/>
          </w:tcPr>
          <w:p>
            <w:pPr>
              <w:pStyle w:val="TableContents"/>
              <w:bidi w:val="0"/>
              <w:spacing w:before="0" w:after="283"/>
              <w:jc w:val="left"/>
              <w:rPr/>
            </w:pPr>
            <w:r>
              <w:rPr/>
              <w:t>Legal Department</w:t>
            </w:r>
          </w:p>
        </w:tc>
      </w:tr>
      <w:tr>
        <w:trPr/>
        <w:tc>
          <w:tcPr>
            <w:tcW w:w="290"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left"/>
              <w:rPr/>
            </w:pPr>
            <w:r>
              <w:rPr/>
              <w:t>E-mail:</w:t>
            </w:r>
          </w:p>
        </w:tc>
        <w:tc>
          <w:tcPr>
            <w:tcW w:w="3575" w:type="dxa"/>
            <w:tcBorders/>
            <w:vAlign w:val="center"/>
          </w:tcPr>
          <w:p>
            <w:pPr>
              <w:pStyle w:val="TableContents"/>
              <w:bidi w:val="0"/>
              <w:spacing w:before="0" w:after="283"/>
              <w:jc w:val="left"/>
              <w:rPr/>
            </w:pPr>
            <w:r>
              <w:rPr/>
              <w:t>Legal@lucidmotors.com</w:t>
            </w:r>
          </w:p>
        </w:tc>
      </w:tr>
      <w:tr>
        <w:trPr/>
        <w:tc>
          <w:tcPr>
            <w:tcW w:w="290" w:type="dxa"/>
            <w:tcBorders/>
            <w:vAlign w:val="center"/>
          </w:tcPr>
          <w:p>
            <w:pPr>
              <w:pStyle w:val="TableContents"/>
              <w:bidi w:val="0"/>
              <w:spacing w:before="0" w:after="283"/>
              <w:jc w:val="left"/>
              <w:rPr/>
            </w:pPr>
            <w:r>
              <w:rPr/>
              <w:t> </w:t>
            </w:r>
          </w:p>
        </w:tc>
        <w:tc>
          <w:tcPr>
            <w:tcW w:w="4684" w:type="dxa"/>
            <w:gridSpan w:val="2"/>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283"/>
              <w:jc w:val="left"/>
              <w:rPr/>
            </w:pPr>
            <w:r>
              <w:rPr/>
              <w:t> </w:t>
            </w:r>
          </w:p>
        </w:tc>
        <w:tc>
          <w:tcPr>
            <w:tcW w:w="4684" w:type="dxa"/>
            <w:gridSpan w:val="2"/>
            <w:tcBorders/>
            <w:vAlign w:val="center"/>
          </w:tcPr>
          <w:p>
            <w:pPr>
              <w:pStyle w:val="TableContents"/>
              <w:bidi w:val="0"/>
              <w:spacing w:before="0" w:after="283"/>
              <w:jc w:val="left"/>
              <w:rPr/>
            </w:pPr>
            <w:r>
              <w:rPr/>
              <w:t>with a copy (which shall not constitute notice) to:</w:t>
            </w:r>
          </w:p>
        </w:tc>
      </w:tr>
      <w:tr>
        <w:trPr/>
        <w:tc>
          <w:tcPr>
            <w:tcW w:w="290" w:type="dxa"/>
            <w:tcBorders/>
            <w:vAlign w:val="center"/>
          </w:tcPr>
          <w:p>
            <w:pPr>
              <w:pStyle w:val="TableContents"/>
              <w:bidi w:val="0"/>
              <w:spacing w:before="0" w:after="283"/>
              <w:jc w:val="left"/>
              <w:rPr/>
            </w:pPr>
            <w:r>
              <w:rPr/>
              <w:t> </w:t>
            </w:r>
          </w:p>
        </w:tc>
        <w:tc>
          <w:tcPr>
            <w:tcW w:w="4684" w:type="dxa"/>
            <w:gridSpan w:val="2"/>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283"/>
              <w:jc w:val="left"/>
              <w:rPr/>
            </w:pPr>
            <w:r>
              <w:rPr/>
              <w:t> </w:t>
            </w:r>
          </w:p>
        </w:tc>
        <w:tc>
          <w:tcPr>
            <w:tcW w:w="4684" w:type="dxa"/>
            <w:gridSpan w:val="2"/>
            <w:tcBorders/>
            <w:vAlign w:val="center"/>
          </w:tcPr>
          <w:p>
            <w:pPr>
              <w:pStyle w:val="TableContents"/>
              <w:bidi w:val="0"/>
              <w:spacing w:before="0" w:after="283"/>
              <w:jc w:val="left"/>
              <w:rPr/>
            </w:pPr>
            <w:r>
              <w:rPr/>
              <w:t>Skadden, Arps, Slate, Meagher &amp; Flom LLP</w:t>
            </w:r>
          </w:p>
        </w:tc>
      </w:tr>
      <w:tr>
        <w:trPr/>
        <w:tc>
          <w:tcPr>
            <w:tcW w:w="290" w:type="dxa"/>
            <w:tcBorders/>
            <w:vAlign w:val="center"/>
          </w:tcPr>
          <w:p>
            <w:pPr>
              <w:pStyle w:val="TableContents"/>
              <w:bidi w:val="0"/>
              <w:spacing w:before="0" w:after="283"/>
              <w:jc w:val="left"/>
              <w:rPr/>
            </w:pPr>
            <w:r>
              <w:rPr/>
              <w:t> </w:t>
            </w:r>
          </w:p>
        </w:tc>
        <w:tc>
          <w:tcPr>
            <w:tcW w:w="4684" w:type="dxa"/>
            <w:gridSpan w:val="2"/>
            <w:tcBorders/>
            <w:vAlign w:val="center"/>
          </w:tcPr>
          <w:p>
            <w:pPr>
              <w:pStyle w:val="TableContents"/>
              <w:bidi w:val="0"/>
              <w:spacing w:before="0" w:after="283"/>
              <w:jc w:val="left"/>
              <w:rPr/>
            </w:pPr>
            <w:r>
              <w:rPr/>
              <w:t>525 University Avenue</w:t>
            </w:r>
          </w:p>
        </w:tc>
      </w:tr>
      <w:tr>
        <w:trPr/>
        <w:tc>
          <w:tcPr>
            <w:tcW w:w="290" w:type="dxa"/>
            <w:tcBorders/>
            <w:vAlign w:val="center"/>
          </w:tcPr>
          <w:p>
            <w:pPr>
              <w:pStyle w:val="TableContents"/>
              <w:bidi w:val="0"/>
              <w:spacing w:before="0" w:after="283"/>
              <w:jc w:val="left"/>
              <w:rPr/>
            </w:pPr>
            <w:r>
              <w:rPr/>
              <w:t> </w:t>
            </w:r>
          </w:p>
        </w:tc>
        <w:tc>
          <w:tcPr>
            <w:tcW w:w="4684" w:type="dxa"/>
            <w:gridSpan w:val="2"/>
            <w:tcBorders/>
            <w:vAlign w:val="center"/>
          </w:tcPr>
          <w:p>
            <w:pPr>
              <w:pStyle w:val="TableContents"/>
              <w:bidi w:val="0"/>
              <w:spacing w:before="0" w:after="283"/>
              <w:jc w:val="left"/>
              <w:rPr/>
            </w:pPr>
            <w:r>
              <w:rPr/>
              <w:t>Palo Alto, CA 94301</w:t>
            </w:r>
          </w:p>
        </w:tc>
      </w:tr>
      <w:tr>
        <w:trPr/>
        <w:tc>
          <w:tcPr>
            <w:tcW w:w="290" w:type="dxa"/>
            <w:tcBorders/>
            <w:vAlign w:val="center"/>
          </w:tcPr>
          <w:p>
            <w:pPr>
              <w:pStyle w:val="TableContents"/>
              <w:bidi w:val="0"/>
              <w:spacing w:before="0" w:after="283"/>
              <w:jc w:val="left"/>
              <w:rPr/>
            </w:pPr>
            <w:r>
              <w:rPr/>
              <w:t> </w:t>
            </w:r>
          </w:p>
        </w:tc>
        <w:tc>
          <w:tcPr>
            <w:tcW w:w="4684" w:type="dxa"/>
            <w:gridSpan w:val="2"/>
            <w:tcBorders/>
            <w:vAlign w:val="center"/>
          </w:tcPr>
          <w:p>
            <w:pPr>
              <w:pStyle w:val="TableContents"/>
              <w:bidi w:val="0"/>
              <w:spacing w:before="0" w:after="283"/>
              <w:jc w:val="left"/>
              <w:rPr/>
            </w:pPr>
            <w:r>
              <w:rPr/>
              <w:t>Attn: Thomas J. Ivey</w:t>
            </w:r>
          </w:p>
        </w:tc>
      </w:tr>
      <w:tr>
        <w:trPr/>
        <w:tc>
          <w:tcPr>
            <w:tcW w:w="290" w:type="dxa"/>
            <w:tcBorders/>
            <w:vAlign w:val="center"/>
          </w:tcPr>
          <w:p>
            <w:pPr>
              <w:pStyle w:val="TableContents"/>
              <w:bidi w:val="0"/>
              <w:spacing w:before="0" w:after="283"/>
              <w:jc w:val="left"/>
              <w:rPr/>
            </w:pPr>
            <w:r>
              <w:rPr/>
              <w:t> </w:t>
            </w:r>
          </w:p>
        </w:tc>
        <w:tc>
          <w:tcPr>
            <w:tcW w:w="4684" w:type="dxa"/>
            <w:gridSpan w:val="2"/>
            <w:tcBorders/>
            <w:vAlign w:val="center"/>
          </w:tcPr>
          <w:p>
            <w:pPr>
              <w:pStyle w:val="TableContents"/>
              <w:bidi w:val="0"/>
              <w:spacing w:before="0" w:after="283"/>
              <w:jc w:val="left"/>
              <w:rPr/>
            </w:pPr>
            <w:r>
              <w:rPr/>
              <w:t>           </w:t>
            </w:r>
            <w:r>
              <w:rPr/>
              <w:t>Brian D. Paulson</w:t>
            </w:r>
          </w:p>
        </w:tc>
      </w:tr>
      <w:tr>
        <w:trPr/>
        <w:tc>
          <w:tcPr>
            <w:tcW w:w="290"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left"/>
              <w:rPr/>
            </w:pPr>
            <w:r>
              <w:rPr/>
              <w:t>E-mail:</w:t>
            </w:r>
          </w:p>
        </w:tc>
        <w:tc>
          <w:tcPr>
            <w:tcW w:w="3575" w:type="dxa"/>
            <w:tcBorders/>
            <w:vAlign w:val="center"/>
          </w:tcPr>
          <w:p>
            <w:pPr>
              <w:pStyle w:val="TableContents"/>
              <w:bidi w:val="0"/>
              <w:spacing w:before="0" w:after="283"/>
              <w:jc w:val="left"/>
              <w:rPr/>
            </w:pPr>
            <w:r>
              <w:rPr/>
              <w:t>thomas.ivey@skadden.com</w:t>
            </w:r>
          </w:p>
        </w:tc>
      </w:tr>
      <w:tr>
        <w:trPr/>
        <w:tc>
          <w:tcPr>
            <w:tcW w:w="290"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pPr>
            <w:r>
              <w:rPr/>
              <w:t>brian.paulson@skadden.com</w:t>
            </w:r>
          </w:p>
        </w:tc>
      </w:tr>
      <w:tr>
        <w:trPr/>
        <w:tc>
          <w:tcPr>
            <w:tcW w:w="290" w:type="dxa"/>
            <w:tcBorders/>
            <w:vAlign w:val="center"/>
          </w:tcPr>
          <w:p>
            <w:pPr>
              <w:pStyle w:val="TableContents"/>
              <w:bidi w:val="0"/>
              <w:spacing w:before="0" w:after="283"/>
              <w:jc w:val="left"/>
              <w:rPr/>
            </w:pPr>
            <w:r>
              <w:rPr/>
              <w:t> </w:t>
            </w:r>
          </w:p>
        </w:tc>
        <w:tc>
          <w:tcPr>
            <w:tcW w:w="4684" w:type="dxa"/>
            <w:gridSpan w:val="2"/>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283"/>
              <w:jc w:val="left"/>
              <w:rPr/>
            </w:pPr>
            <w:r>
              <w:rPr/>
              <w:t> </w:t>
            </w:r>
          </w:p>
        </w:tc>
        <w:tc>
          <w:tcPr>
            <w:tcW w:w="4684" w:type="dxa"/>
            <w:gridSpan w:val="2"/>
            <w:tcBorders/>
            <w:vAlign w:val="center"/>
          </w:tcPr>
          <w:p>
            <w:pPr>
              <w:pStyle w:val="TableContents"/>
              <w:bidi w:val="0"/>
              <w:spacing w:before="0" w:after="283"/>
              <w:jc w:val="left"/>
              <w:rPr/>
            </w:pPr>
            <w:r>
              <w:rPr/>
              <w:t>If to the Investor, to it at:</w:t>
            </w:r>
          </w:p>
        </w:tc>
      </w:tr>
      <w:tr>
        <w:trPr/>
        <w:tc>
          <w:tcPr>
            <w:tcW w:w="290" w:type="dxa"/>
            <w:tcBorders/>
            <w:vAlign w:val="center"/>
          </w:tcPr>
          <w:p>
            <w:pPr>
              <w:pStyle w:val="TableContents"/>
              <w:bidi w:val="0"/>
              <w:spacing w:before="0" w:after="283"/>
              <w:jc w:val="left"/>
              <w:rPr/>
            </w:pPr>
            <w:r>
              <w:rPr/>
              <w:t> </w:t>
            </w:r>
          </w:p>
        </w:tc>
        <w:tc>
          <w:tcPr>
            <w:tcW w:w="4684" w:type="dxa"/>
            <w:gridSpan w:val="2"/>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283"/>
              <w:jc w:val="left"/>
              <w:rPr/>
            </w:pPr>
            <w:r>
              <w:rPr/>
              <w:t> </w:t>
            </w:r>
          </w:p>
        </w:tc>
        <w:tc>
          <w:tcPr>
            <w:tcW w:w="4684" w:type="dxa"/>
            <w:gridSpan w:val="2"/>
            <w:tcBorders/>
            <w:vAlign w:val="center"/>
          </w:tcPr>
          <w:p>
            <w:pPr>
              <w:pStyle w:val="TableContents"/>
              <w:bidi w:val="0"/>
              <w:spacing w:before="0" w:after="283"/>
              <w:jc w:val="left"/>
              <w:rPr/>
            </w:pPr>
            <w:r>
              <w:rPr/>
              <w:t>Prince Turki bin Abdul Aziz Al-Awal Road</w:t>
            </w:r>
          </w:p>
        </w:tc>
      </w:tr>
      <w:tr>
        <w:trPr/>
        <w:tc>
          <w:tcPr>
            <w:tcW w:w="290" w:type="dxa"/>
            <w:tcBorders/>
            <w:vAlign w:val="center"/>
          </w:tcPr>
          <w:p>
            <w:pPr>
              <w:pStyle w:val="TableContents"/>
              <w:bidi w:val="0"/>
              <w:spacing w:before="0" w:after="283"/>
              <w:jc w:val="left"/>
              <w:rPr/>
            </w:pPr>
            <w:r>
              <w:rPr/>
              <w:t> </w:t>
            </w:r>
          </w:p>
        </w:tc>
        <w:tc>
          <w:tcPr>
            <w:tcW w:w="4684" w:type="dxa"/>
            <w:gridSpan w:val="2"/>
            <w:tcBorders/>
            <w:vAlign w:val="center"/>
          </w:tcPr>
          <w:p>
            <w:pPr>
              <w:pStyle w:val="TableContents"/>
              <w:bidi w:val="0"/>
              <w:spacing w:before="0" w:after="283"/>
              <w:jc w:val="left"/>
              <w:rPr/>
            </w:pPr>
            <w:r>
              <w:rPr/>
              <w:t>P.O. Box 6847</w:t>
            </w:r>
          </w:p>
        </w:tc>
      </w:tr>
      <w:tr>
        <w:trPr/>
        <w:tc>
          <w:tcPr>
            <w:tcW w:w="290" w:type="dxa"/>
            <w:tcBorders/>
            <w:vAlign w:val="center"/>
          </w:tcPr>
          <w:p>
            <w:pPr>
              <w:pStyle w:val="TableContents"/>
              <w:bidi w:val="0"/>
              <w:spacing w:before="0" w:after="283"/>
              <w:jc w:val="left"/>
              <w:rPr/>
            </w:pPr>
            <w:r>
              <w:rPr/>
              <w:t> </w:t>
            </w:r>
          </w:p>
        </w:tc>
        <w:tc>
          <w:tcPr>
            <w:tcW w:w="4684" w:type="dxa"/>
            <w:gridSpan w:val="2"/>
            <w:tcBorders/>
            <w:vAlign w:val="center"/>
          </w:tcPr>
          <w:p>
            <w:pPr>
              <w:pStyle w:val="TableContents"/>
              <w:bidi w:val="0"/>
              <w:spacing w:before="0" w:after="283"/>
              <w:jc w:val="left"/>
              <w:rPr/>
            </w:pPr>
            <w:r>
              <w:rPr/>
              <w:t>Riyadh 11452</w:t>
            </w:r>
          </w:p>
        </w:tc>
      </w:tr>
      <w:tr>
        <w:trPr/>
        <w:tc>
          <w:tcPr>
            <w:tcW w:w="290" w:type="dxa"/>
            <w:tcBorders/>
            <w:vAlign w:val="center"/>
          </w:tcPr>
          <w:p>
            <w:pPr>
              <w:pStyle w:val="TableContents"/>
              <w:bidi w:val="0"/>
              <w:spacing w:before="0" w:after="283"/>
              <w:jc w:val="left"/>
              <w:rPr/>
            </w:pPr>
            <w:r>
              <w:rPr/>
              <w:t> </w:t>
            </w:r>
          </w:p>
        </w:tc>
        <w:tc>
          <w:tcPr>
            <w:tcW w:w="4684" w:type="dxa"/>
            <w:gridSpan w:val="2"/>
            <w:tcBorders/>
            <w:vAlign w:val="center"/>
          </w:tcPr>
          <w:p>
            <w:pPr>
              <w:pStyle w:val="TableContents"/>
              <w:bidi w:val="0"/>
              <w:spacing w:before="0" w:after="283"/>
              <w:jc w:val="left"/>
              <w:rPr/>
            </w:pPr>
            <w:r>
              <w:rPr/>
              <w:t>Kingdom of Saudi Arabia</w:t>
            </w:r>
          </w:p>
        </w:tc>
      </w:tr>
      <w:tr>
        <w:trPr/>
        <w:tc>
          <w:tcPr>
            <w:tcW w:w="290"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left"/>
              <w:rPr/>
            </w:pPr>
            <w:r>
              <w:rPr/>
              <w:t>Attention:</w:t>
            </w:r>
          </w:p>
        </w:tc>
        <w:tc>
          <w:tcPr>
            <w:tcW w:w="3575" w:type="dxa"/>
            <w:tcBorders/>
            <w:vAlign w:val="center"/>
          </w:tcPr>
          <w:p>
            <w:pPr>
              <w:pStyle w:val="TableContents"/>
              <w:bidi w:val="0"/>
              <w:spacing w:before="0" w:after="283"/>
              <w:jc w:val="left"/>
              <w:rPr/>
            </w:pPr>
            <w:r>
              <w:rPr/>
              <w:t>Turqi Alnowaiser</w:t>
            </w:r>
          </w:p>
        </w:tc>
      </w:tr>
      <w:tr>
        <w:trPr/>
        <w:tc>
          <w:tcPr>
            <w:tcW w:w="290"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pPr>
            <w:r>
              <w:rPr/>
              <w:t>Yasir Alsalman</w:t>
            </w:r>
          </w:p>
        </w:tc>
      </w:tr>
      <w:tr>
        <w:trPr/>
        <w:tc>
          <w:tcPr>
            <w:tcW w:w="290"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left"/>
              <w:rPr/>
            </w:pPr>
            <w:r>
              <w:rPr/>
              <w:t>Email:</w:t>
            </w:r>
          </w:p>
        </w:tc>
        <w:tc>
          <w:tcPr>
            <w:tcW w:w="3575" w:type="dxa"/>
            <w:tcBorders/>
            <w:vAlign w:val="center"/>
          </w:tcPr>
          <w:p>
            <w:pPr>
              <w:pStyle w:val="TableContents"/>
              <w:bidi w:val="0"/>
              <w:spacing w:before="0" w:after="283"/>
              <w:jc w:val="left"/>
              <w:rPr/>
            </w:pPr>
            <w:r>
              <w:rPr/>
              <w:t>talnowaiser@pif.gov.sa</w:t>
            </w:r>
          </w:p>
        </w:tc>
      </w:tr>
      <w:tr>
        <w:trPr/>
        <w:tc>
          <w:tcPr>
            <w:tcW w:w="290"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pPr>
            <w:r>
              <w:rPr/>
              <w:t>yalsalman@pif.gov.sa</w:t>
            </w:r>
          </w:p>
        </w:tc>
      </w:tr>
      <w:tr>
        <w:trPr/>
        <w:tc>
          <w:tcPr>
            <w:tcW w:w="290"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pPr>
            <w:r>
              <w:rPr/>
              <w:t>lightning.investment@pif.gov.sa</w:t>
            </w:r>
          </w:p>
        </w:tc>
      </w:tr>
      <w:tr>
        <w:trPr/>
        <w:tc>
          <w:tcPr>
            <w:tcW w:w="290"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pPr>
            <w:r>
              <w:rPr/>
              <w:t>lightning.legal@pif.gov.sa</w:t>
            </w:r>
          </w:p>
        </w:tc>
      </w:tr>
      <w:tr>
        <w:trPr/>
        <w:tc>
          <w:tcPr>
            <w:tcW w:w="290"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pPr>
            <w:r>
              <w:rPr/>
              <w:t>Intl.operations@pif.gov.sa</w:t>
            </w:r>
          </w:p>
        </w:tc>
      </w:tr>
      <w:tr>
        <w:trPr/>
        <w:tc>
          <w:tcPr>
            <w:tcW w:w="290" w:type="dxa"/>
            <w:tcBorders/>
            <w:vAlign w:val="center"/>
          </w:tcPr>
          <w:p>
            <w:pPr>
              <w:pStyle w:val="TableContents"/>
              <w:bidi w:val="0"/>
              <w:spacing w:before="0" w:after="283"/>
              <w:jc w:val="left"/>
              <w:rPr/>
            </w:pPr>
            <w:r>
              <w:rPr/>
              <w:t> </w:t>
            </w:r>
          </w:p>
        </w:tc>
        <w:tc>
          <w:tcPr>
            <w:tcW w:w="4684" w:type="dxa"/>
            <w:gridSpan w:val="2"/>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283"/>
              <w:jc w:val="left"/>
              <w:rPr/>
            </w:pPr>
            <w:r>
              <w:rPr/>
              <w:t> </w:t>
            </w:r>
          </w:p>
        </w:tc>
        <w:tc>
          <w:tcPr>
            <w:tcW w:w="4684" w:type="dxa"/>
            <w:gridSpan w:val="2"/>
            <w:tcBorders/>
            <w:vAlign w:val="center"/>
          </w:tcPr>
          <w:p>
            <w:pPr>
              <w:pStyle w:val="TableContents"/>
              <w:bidi w:val="0"/>
              <w:spacing w:before="0" w:after="283"/>
              <w:jc w:val="left"/>
              <w:rPr/>
            </w:pPr>
            <w:r>
              <w:rPr/>
              <w:t>with a copy (which shall not constitute notice) to:</w:t>
            </w:r>
          </w:p>
        </w:tc>
      </w:tr>
      <w:tr>
        <w:trPr/>
        <w:tc>
          <w:tcPr>
            <w:tcW w:w="290" w:type="dxa"/>
            <w:tcBorders/>
            <w:vAlign w:val="center"/>
          </w:tcPr>
          <w:p>
            <w:pPr>
              <w:pStyle w:val="TableContents"/>
              <w:bidi w:val="0"/>
              <w:spacing w:before="0" w:after="283"/>
              <w:jc w:val="left"/>
              <w:rPr/>
            </w:pPr>
            <w:r>
              <w:rPr/>
              <w:t> </w:t>
            </w:r>
          </w:p>
        </w:tc>
        <w:tc>
          <w:tcPr>
            <w:tcW w:w="4684" w:type="dxa"/>
            <w:gridSpan w:val="2"/>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283"/>
              <w:jc w:val="left"/>
              <w:rPr/>
            </w:pPr>
            <w:r>
              <w:rPr/>
              <w:t> </w:t>
            </w:r>
          </w:p>
        </w:tc>
        <w:tc>
          <w:tcPr>
            <w:tcW w:w="4684" w:type="dxa"/>
            <w:gridSpan w:val="2"/>
            <w:tcBorders/>
            <w:vAlign w:val="center"/>
          </w:tcPr>
          <w:p>
            <w:pPr>
              <w:pStyle w:val="TableContents"/>
              <w:bidi w:val="0"/>
              <w:spacing w:before="0" w:after="283"/>
              <w:jc w:val="left"/>
              <w:rPr/>
            </w:pPr>
            <w:r>
              <w:rPr/>
              <w:t>Gibson, Dunn &amp; Crutcher LLP</w:t>
            </w:r>
          </w:p>
        </w:tc>
      </w:tr>
      <w:tr>
        <w:trPr/>
        <w:tc>
          <w:tcPr>
            <w:tcW w:w="290" w:type="dxa"/>
            <w:tcBorders/>
            <w:vAlign w:val="center"/>
          </w:tcPr>
          <w:p>
            <w:pPr>
              <w:pStyle w:val="TableContents"/>
              <w:bidi w:val="0"/>
              <w:spacing w:before="0" w:after="283"/>
              <w:jc w:val="left"/>
              <w:rPr/>
            </w:pPr>
            <w:r>
              <w:rPr/>
              <w:t> </w:t>
            </w:r>
          </w:p>
        </w:tc>
        <w:tc>
          <w:tcPr>
            <w:tcW w:w="4684" w:type="dxa"/>
            <w:gridSpan w:val="2"/>
            <w:tcBorders/>
            <w:vAlign w:val="center"/>
          </w:tcPr>
          <w:p>
            <w:pPr>
              <w:pStyle w:val="TableContents"/>
              <w:bidi w:val="0"/>
              <w:spacing w:before="0" w:after="283"/>
              <w:jc w:val="left"/>
              <w:rPr/>
            </w:pPr>
            <w:r>
              <w:rPr/>
              <w:t>200 Park Avenue</w:t>
            </w:r>
          </w:p>
        </w:tc>
      </w:tr>
      <w:tr>
        <w:trPr/>
        <w:tc>
          <w:tcPr>
            <w:tcW w:w="290" w:type="dxa"/>
            <w:tcBorders/>
            <w:vAlign w:val="center"/>
          </w:tcPr>
          <w:p>
            <w:pPr>
              <w:pStyle w:val="TableContents"/>
              <w:bidi w:val="0"/>
              <w:spacing w:before="0" w:after="283"/>
              <w:jc w:val="left"/>
              <w:rPr/>
            </w:pPr>
            <w:r>
              <w:rPr/>
              <w:t> </w:t>
            </w:r>
          </w:p>
        </w:tc>
        <w:tc>
          <w:tcPr>
            <w:tcW w:w="4684" w:type="dxa"/>
            <w:gridSpan w:val="2"/>
            <w:tcBorders/>
            <w:vAlign w:val="center"/>
          </w:tcPr>
          <w:p>
            <w:pPr>
              <w:pStyle w:val="TableContents"/>
              <w:bidi w:val="0"/>
              <w:spacing w:before="0" w:after="283"/>
              <w:jc w:val="left"/>
              <w:rPr/>
            </w:pPr>
            <w:r>
              <w:rPr/>
              <w:t>New York, New York 10017</w:t>
            </w:r>
          </w:p>
        </w:tc>
      </w:tr>
      <w:tr>
        <w:trPr/>
        <w:tc>
          <w:tcPr>
            <w:tcW w:w="290"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left"/>
              <w:rPr/>
            </w:pPr>
            <w:r>
              <w:rPr/>
              <w:t>Attention:</w:t>
            </w:r>
          </w:p>
        </w:tc>
        <w:tc>
          <w:tcPr>
            <w:tcW w:w="3575" w:type="dxa"/>
            <w:tcBorders/>
            <w:vAlign w:val="center"/>
          </w:tcPr>
          <w:p>
            <w:pPr>
              <w:pStyle w:val="TableContents"/>
              <w:bidi w:val="0"/>
              <w:spacing w:before="0" w:after="283"/>
              <w:jc w:val="left"/>
              <w:rPr/>
            </w:pPr>
            <w:r>
              <w:rPr/>
              <w:t>Richard Birns</w:t>
            </w:r>
          </w:p>
        </w:tc>
      </w:tr>
      <w:tr>
        <w:trPr/>
        <w:tc>
          <w:tcPr>
            <w:tcW w:w="290"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pPr>
            <w:r>
              <w:rPr/>
              <w:t>Stewart McDowell</w:t>
            </w:r>
          </w:p>
        </w:tc>
      </w:tr>
      <w:tr>
        <w:trPr/>
        <w:tc>
          <w:tcPr>
            <w:tcW w:w="290"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left"/>
              <w:rPr/>
            </w:pPr>
            <w:r>
              <w:rPr/>
              <w:t>Email:</w:t>
            </w:r>
          </w:p>
        </w:tc>
        <w:tc>
          <w:tcPr>
            <w:tcW w:w="3575" w:type="dxa"/>
            <w:tcBorders/>
            <w:vAlign w:val="center"/>
          </w:tcPr>
          <w:p>
            <w:pPr>
              <w:pStyle w:val="TableContents"/>
              <w:bidi w:val="0"/>
              <w:spacing w:before="0" w:after="283"/>
              <w:jc w:val="left"/>
              <w:rPr/>
            </w:pPr>
            <w:r>
              <w:rPr/>
              <w:t>rbirns@gibsondunn.com</w:t>
            </w:r>
          </w:p>
        </w:tc>
      </w:tr>
      <w:tr>
        <w:trPr/>
        <w:tc>
          <w:tcPr>
            <w:tcW w:w="290"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pPr>
            <w:r>
              <w:rPr/>
              <w:t>smcdowell@gibsondunn.com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to such other address or email address as such party may hereafter specify in writing to the other party hereto. All such notices, requests and other communications shall be deemed received (1) on the date of actual receipt by the recipient thereof if received prior to 5:00 p.m. local time in the place of receipt and such day is a business day in the place of receipt, or (2) on the next succeeding business day in the place of receipt.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8.10.         </w:t>
      </w:r>
      <w:r>
        <w:rPr>
          <w:rFonts w:ascii="Times New Roman;Times;Serif" w:hAnsi="Times New Roman;Times;Serif"/>
          <w:b w:val="false"/>
          <w:i/>
          <w:caps w:val="false"/>
          <w:smallCaps w:val="false"/>
          <w:sz w:val="20"/>
        </w:rPr>
        <w:t>Severability</w:t>
      </w:r>
      <w:r>
        <w:rPr>
          <w:rFonts w:ascii="Times New Roman;Times;Serif" w:hAnsi="Times New Roman;Times;Serif"/>
          <w:b w:val="false"/>
          <w:i w:val="false"/>
          <w:caps w:val="false"/>
          <w:smallCaps w:val="false"/>
          <w:sz w:val="20"/>
        </w:rPr>
        <w:t>. If any term, condition or other provision of this Agreement is determined by a court of competent jurisdiction to be invalid, illegal or incapable of being enforced by any rule of Law or public policy, all other terms, provisions and conditions of this Agreement shall nevertheless remain in full force and effect. Upon such determination that any term, condition or other provision is invalid, illegal or incapable of being enforced, the parties hereto shall negotiate in good faith to modify this Agreement so as to effect the original intent of the parties as closely as possible to the fullest extent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8.11.         </w:t>
      </w:r>
      <w:r>
        <w:rPr>
          <w:rFonts w:ascii="Times New Roman;Times;Serif" w:hAnsi="Times New Roman;Times;Serif"/>
          <w:b w:val="false"/>
          <w:i/>
          <w:caps w:val="false"/>
          <w:smallCaps w:val="false"/>
          <w:sz w:val="20"/>
        </w:rPr>
        <w:t>Expenses</w:t>
      </w:r>
      <w:r>
        <w:rPr>
          <w:rFonts w:ascii="Times New Roman;Times;Serif" w:hAnsi="Times New Roman;Times;Serif"/>
          <w:b w:val="false"/>
          <w:i w:val="false"/>
          <w:caps w:val="false"/>
          <w:smallCaps w:val="false"/>
          <w:sz w:val="20"/>
        </w:rPr>
        <w:t>. Except as otherwise expressly provided herein, all costs and expenses, including fees and disbursements of counsel, financial advisors and accountants, incurred in connection with this Agreement shall be paid by the party incurring such costs and expenses, whether or not the Closing shall have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8.12.         </w:t>
      </w:r>
      <w:r>
        <w:rPr>
          <w:rFonts w:ascii="Times New Roman;Times;Serif" w:hAnsi="Times New Roman;Times;Serif"/>
          <w:b w:val="false"/>
          <w:i/>
          <w:caps w:val="false"/>
          <w:smallCaps w:val="false"/>
          <w:sz w:val="20"/>
        </w:rPr>
        <w:t>Interpretation</w:t>
      </w:r>
      <w:r>
        <w:rPr>
          <w:rFonts w:ascii="Times New Roman;Times;Serif" w:hAnsi="Times New Roman;Times;Serif"/>
          <w:b w:val="false"/>
          <w:i w:val="false"/>
          <w:caps w:val="false"/>
          <w:smallCaps w:val="false"/>
          <w:sz w:val="20"/>
        </w:rPr>
        <w:t>. (a)  When a reference is made in this Agreement to an Article, a Section, Exhibit or Schedule, such reference shall be to an Article of, a Section of, or an Exhibit or Schedule to, this Agreement unless otherwise indicated.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Unless otherwise specifically indicated, all references to “dollars” or “$” shall refer to the lawful money of the United States. References to a Person are also to its permitted assigns and successors. When calculating the period of time between which, within which or following which any act is to be done or step taken pursuant to this Agreement, the date that is the reference date in calculating such period shall be excluded.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parties hereto have participated jointly in the negotiation and drafting of this Agreement and, in the event an ambiguity or question of intent or interpretation arises, this Agreement shall be construed as jointly drafted by the parties hereto and no presumption or burden of proof shall arise favoring or disfavoring any party hereto by virtue of the authorship of any provision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duly executed and delivered as of the date set forth on Schedule 1 hereto.</w:t>
      </w:r>
    </w:p>
    <w:p>
      <w:pPr>
        <w:pStyle w:val="TextBody"/>
        <w:bidi w:val="0"/>
        <w:spacing w:before="0" w:after="0"/>
        <w:ind w:left="0" w:right="0" w:hanging="0"/>
        <w:jc w:val="left"/>
        <w:rPr>
          <w:caps w:val="false"/>
          <w:smallCaps w:val="false"/>
        </w:rPr>
      </w:pPr>
      <w:r>
        <w:rPr>
          <w:caps w:val="false"/>
          <w:smallCaps w:val="false"/>
        </w:rPr>
        <w:t> </w:t>
      </w:r>
    </w:p>
    <w:tbl>
      <w:tblPr>
        <w:tblW w:w="4050" w:type="dxa"/>
        <w:jc w:val="left"/>
        <w:tblInd w:w="0" w:type="dxa"/>
        <w:tblLayout w:type="fixed"/>
        <w:tblCellMar>
          <w:top w:w="0" w:type="dxa"/>
          <w:left w:w="0" w:type="dxa"/>
          <w:bottom w:w="0" w:type="dxa"/>
          <w:right w:w="0" w:type="dxa"/>
        </w:tblCellMar>
      </w:tblPr>
      <w:tblGrid>
        <w:gridCol w:w="75"/>
        <w:gridCol w:w="365"/>
        <w:gridCol w:w="650"/>
        <w:gridCol w:w="2960"/>
      </w:tblGrid>
      <w:tr>
        <w:trPr/>
        <w:tc>
          <w:tcPr>
            <w:tcW w:w="75" w:type="dxa"/>
            <w:tcBorders/>
            <w:vAlign w:val="center"/>
          </w:tcPr>
          <w:p>
            <w:pPr>
              <w:pStyle w:val="TableContents"/>
              <w:bidi w:val="0"/>
              <w:spacing w:before="0" w:after="283"/>
              <w:jc w:val="left"/>
              <w:rPr/>
            </w:pPr>
            <w:r>
              <w:rPr/>
              <w:t> </w:t>
            </w:r>
          </w:p>
        </w:tc>
        <w:tc>
          <w:tcPr>
            <w:tcW w:w="3975" w:type="dxa"/>
            <w:gridSpan w:val="3"/>
            <w:tcBorders/>
            <w:vAlign w:val="center"/>
          </w:tcPr>
          <w:p>
            <w:pPr>
              <w:pStyle w:val="TableContents"/>
              <w:bidi w:val="0"/>
              <w:spacing w:before="0" w:after="283"/>
              <w:jc w:val="left"/>
              <w:rPr/>
            </w:pPr>
            <w:r>
              <w:rPr/>
              <w:t>LUCID GROUP, INC.</w:t>
            </w:r>
          </w:p>
        </w:tc>
      </w:tr>
      <w:tr>
        <w:trPr/>
        <w:tc>
          <w:tcPr>
            <w:tcW w:w="75" w:type="dxa"/>
            <w:tcBorders/>
            <w:vAlign w:val="center"/>
          </w:tcPr>
          <w:p>
            <w:pPr>
              <w:pStyle w:val="TableContents"/>
              <w:bidi w:val="0"/>
              <w:spacing w:before="0" w:after="283"/>
              <w:jc w:val="left"/>
              <w:rPr/>
            </w:pPr>
            <w:r>
              <w:rPr/>
              <w:t> </w:t>
            </w:r>
          </w:p>
        </w:tc>
        <w:tc>
          <w:tcPr>
            <w:tcW w:w="3975"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3610" w:type="dxa"/>
            <w:gridSpan w:val="2"/>
            <w:tcBorders>
              <w:bottom w:val="single" w:sz="8" w:space="0" w:color="000000"/>
            </w:tcBorders>
            <w:tcMar>
              <w:bottom w:w="28" w:type="dxa"/>
            </w:tcMar>
            <w:vAlign w:val="center"/>
          </w:tcPr>
          <w:p>
            <w:pPr>
              <w:pStyle w:val="TableContents"/>
              <w:bidi w:val="0"/>
              <w:spacing w:before="0" w:after="283"/>
              <w:jc w:val="left"/>
              <w:rPr/>
            </w:pPr>
            <w:r>
              <w:rPr/>
              <w:t>/s/ Gagan Dhingra</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960" w:type="dxa"/>
            <w:tcBorders/>
            <w:vAlign w:val="center"/>
          </w:tcPr>
          <w:p>
            <w:pPr>
              <w:pStyle w:val="TableContents"/>
              <w:bidi w:val="0"/>
              <w:spacing w:before="0" w:after="283"/>
              <w:jc w:val="left"/>
              <w:rPr/>
            </w:pPr>
            <w:r>
              <w:rPr/>
              <w:t>Gagan Dhingra</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960" w:type="dxa"/>
            <w:tcBorders/>
            <w:vAlign w:val="center"/>
          </w:tcPr>
          <w:p>
            <w:pPr>
              <w:pStyle w:val="TableContents"/>
              <w:bidi w:val="0"/>
              <w:spacing w:before="0" w:after="283"/>
              <w:jc w:val="left"/>
              <w:rPr/>
            </w:pPr>
            <w:r>
              <w:rPr/>
              <w:t>Interim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duly executed and delivered as of the date set forth on Schedule 1 hereto.</w:t>
      </w:r>
    </w:p>
    <w:p>
      <w:pPr>
        <w:pStyle w:val="TextBody"/>
        <w:bidi w:val="0"/>
        <w:spacing w:before="0" w:after="0"/>
        <w:ind w:left="0" w:right="0" w:hanging="0"/>
        <w:jc w:val="left"/>
        <w:rPr>
          <w:caps w:val="false"/>
          <w:smallCaps w:val="false"/>
        </w:rPr>
      </w:pPr>
      <w:r>
        <w:rPr>
          <w:caps w:val="false"/>
          <w:smallCaps w:val="false"/>
        </w:rPr>
        <w:t> </w:t>
      </w:r>
    </w:p>
    <w:tbl>
      <w:tblPr>
        <w:tblW w:w="4533" w:type="dxa"/>
        <w:jc w:val="left"/>
        <w:tblInd w:w="0" w:type="dxa"/>
        <w:tblLayout w:type="fixed"/>
        <w:tblCellMar>
          <w:top w:w="0" w:type="dxa"/>
          <w:left w:w="0" w:type="dxa"/>
          <w:bottom w:w="0" w:type="dxa"/>
          <w:right w:w="0" w:type="dxa"/>
        </w:tblCellMar>
      </w:tblPr>
      <w:tblGrid>
        <w:gridCol w:w="75"/>
        <w:gridCol w:w="537"/>
        <w:gridCol w:w="956"/>
        <w:gridCol w:w="2965"/>
      </w:tblGrid>
      <w:tr>
        <w:trPr/>
        <w:tc>
          <w:tcPr>
            <w:tcW w:w="75" w:type="dxa"/>
            <w:tcBorders/>
            <w:vAlign w:val="center"/>
          </w:tcPr>
          <w:p>
            <w:pPr>
              <w:pStyle w:val="TableContents"/>
              <w:bidi w:val="0"/>
              <w:spacing w:before="0" w:after="283"/>
              <w:jc w:val="left"/>
              <w:rPr/>
            </w:pPr>
            <w:r>
              <w:rPr/>
              <w:t> </w:t>
            </w:r>
          </w:p>
        </w:tc>
        <w:tc>
          <w:tcPr>
            <w:tcW w:w="4458" w:type="dxa"/>
            <w:gridSpan w:val="3"/>
            <w:tcBorders/>
            <w:vAlign w:val="center"/>
          </w:tcPr>
          <w:p>
            <w:pPr>
              <w:pStyle w:val="TableContents"/>
              <w:bidi w:val="0"/>
              <w:spacing w:before="0" w:after="283"/>
              <w:jc w:val="left"/>
              <w:rPr/>
            </w:pPr>
            <w:r>
              <w:rPr/>
              <w:t>AYAR THIRD INVESTMENT COMPANY</w:t>
            </w:r>
          </w:p>
        </w:tc>
      </w:tr>
      <w:tr>
        <w:trPr/>
        <w:tc>
          <w:tcPr>
            <w:tcW w:w="75" w:type="dxa"/>
            <w:tcBorders/>
            <w:vAlign w:val="center"/>
          </w:tcPr>
          <w:p>
            <w:pPr>
              <w:pStyle w:val="TableContents"/>
              <w:bidi w:val="0"/>
              <w:spacing w:before="0" w:after="283"/>
              <w:jc w:val="left"/>
              <w:rPr/>
            </w:pPr>
            <w:r>
              <w:rPr/>
              <w:t> </w:t>
            </w:r>
          </w:p>
        </w:tc>
        <w:tc>
          <w:tcPr>
            <w:tcW w:w="445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pPr>
            <w:r>
              <w:rPr/>
              <w:t>By:</w:t>
            </w:r>
          </w:p>
        </w:tc>
        <w:tc>
          <w:tcPr>
            <w:tcW w:w="3921" w:type="dxa"/>
            <w:gridSpan w:val="2"/>
            <w:tcBorders>
              <w:bottom w:val="single" w:sz="8" w:space="0" w:color="000000"/>
            </w:tcBorders>
            <w:tcMar>
              <w:bottom w:w="28" w:type="dxa"/>
            </w:tcMar>
            <w:vAlign w:val="center"/>
          </w:tcPr>
          <w:p>
            <w:pPr>
              <w:pStyle w:val="TableContents"/>
              <w:bidi w:val="0"/>
              <w:spacing w:before="0" w:after="283"/>
              <w:jc w:val="left"/>
              <w:rPr/>
            </w:pPr>
            <w:r>
              <w:rPr/>
              <w:t>/s/ Turqi A. Alnowaiser</w:t>
            </w:r>
          </w:p>
        </w:tc>
      </w:tr>
      <w:tr>
        <w:trPr/>
        <w:tc>
          <w:tcPr>
            <w:tcW w:w="75"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left"/>
              <w:rPr/>
            </w:pPr>
            <w:r>
              <w:rPr/>
              <w:t>Name:</w:t>
            </w:r>
          </w:p>
        </w:tc>
        <w:tc>
          <w:tcPr>
            <w:tcW w:w="2965" w:type="dxa"/>
            <w:tcBorders/>
            <w:vAlign w:val="center"/>
          </w:tcPr>
          <w:p>
            <w:pPr>
              <w:pStyle w:val="TableContents"/>
              <w:bidi w:val="0"/>
              <w:spacing w:before="0" w:after="283"/>
              <w:jc w:val="left"/>
              <w:rPr/>
            </w:pPr>
            <w:r>
              <w:rPr/>
              <w:t>Turqi A. Alnowaiser</w:t>
            </w:r>
          </w:p>
        </w:tc>
      </w:tr>
      <w:tr>
        <w:trPr/>
        <w:tc>
          <w:tcPr>
            <w:tcW w:w="75"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left"/>
              <w:rPr/>
            </w:pPr>
            <w:r>
              <w:rPr/>
              <w:t>Title:</w:t>
            </w:r>
          </w:p>
        </w:tc>
        <w:tc>
          <w:tcPr>
            <w:tcW w:w="2965" w:type="dxa"/>
            <w:tcBorders/>
            <w:vAlign w:val="center"/>
          </w:tcPr>
          <w:p>
            <w:pPr>
              <w:pStyle w:val="TableContents"/>
              <w:bidi w:val="0"/>
              <w:spacing w:before="0" w:after="283"/>
              <w:jc w:val="left"/>
              <w:rPr/>
            </w:pPr>
            <w:r>
              <w:rPr/>
              <w:t>Authorized Manager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AMENDMENT NO. 5 TO INVESTOR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5 TO INVESTOR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5 (this “</w:t>
      </w:r>
      <w:r>
        <w:rPr>
          <w:rFonts w:ascii="Times New Roman;Times;Serif" w:hAnsi="Times New Roman;Times;Serif"/>
          <w:b/>
          <w:i w:val="false"/>
          <w:caps w:val="false"/>
          <w:smallCaps w:val="false"/>
          <w:sz w:val="20"/>
        </w:rPr>
        <w:t>Amendment</w:t>
      </w:r>
      <w:r>
        <w:rPr>
          <w:rFonts w:ascii="Times New Roman;Times;Serif" w:hAnsi="Times New Roman;Times;Serif"/>
          <w:b w:val="false"/>
          <w:i w:val="false"/>
          <w:caps w:val="false"/>
          <w:smallCaps w:val="false"/>
          <w:sz w:val="20"/>
        </w:rPr>
        <w:t>”), effective as of the date of the Subscription Agreement (as defined below), is made to that certain Investor Rights Agreement, dated as of February 22, 2021, as amended from time to time,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by and among (i) Churchill Capital Corp IV, a Delaware corporation (“</w:t>
      </w:r>
      <w:r>
        <w:rPr>
          <w:rFonts w:ascii="Times New Roman;Times;Serif" w:hAnsi="Times New Roman;Times;Serif"/>
          <w:b/>
          <w:i w:val="false"/>
          <w:caps w:val="false"/>
          <w:smallCaps w:val="false"/>
          <w:sz w:val="20"/>
        </w:rPr>
        <w:t>PubCo</w:t>
      </w:r>
      <w:r>
        <w:rPr>
          <w:rFonts w:ascii="Times New Roman;Times;Serif" w:hAnsi="Times New Roman;Times;Serif"/>
          <w:b w:val="false"/>
          <w:i w:val="false"/>
          <w:caps w:val="false"/>
          <w:smallCaps w:val="false"/>
          <w:sz w:val="20"/>
        </w:rPr>
        <w:t>”); (ii) Ayar Third Investment Company, a single shareholder limited liability company organized under the laws of the Kingdom of Saudi Arabia (“</w:t>
      </w:r>
      <w:r>
        <w:rPr>
          <w:rFonts w:ascii="Times New Roman;Times;Serif" w:hAnsi="Times New Roman;Times;Serif"/>
          <w:b/>
          <w:i w:val="false"/>
          <w:caps w:val="false"/>
          <w:smallCaps w:val="false"/>
          <w:sz w:val="20"/>
        </w:rPr>
        <w:t>Ayar</w:t>
      </w:r>
      <w:r>
        <w:rPr>
          <w:rFonts w:ascii="Times New Roman;Times;Serif" w:hAnsi="Times New Roman;Times;Serif"/>
          <w:b w:val="false"/>
          <w:i w:val="false"/>
          <w:caps w:val="false"/>
          <w:smallCaps w:val="false"/>
          <w:sz w:val="20"/>
        </w:rPr>
        <w:t>”); (iii) each of the Persons identified on the signature pages to the Agreement or on the signature pages to a joinder to the Agreement; and (iv) Churchill Sponsor IV LLC, a Delaware limited liability company. Unless otherwise defined herein, capitalized terms used herein shall have the meanings given to such terms in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connection with the Business Combination, PubCo changed its name to “Lucid Group,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as of the date hereof, PubCo entered into that certain Subscription Agreement (the “</w:t>
      </w:r>
      <w:r>
        <w:rPr>
          <w:rFonts w:ascii="Times New Roman;Times;Serif" w:hAnsi="Times New Roman;Times;Serif"/>
          <w:b/>
          <w:i w:val="false"/>
          <w:caps w:val="false"/>
          <w:smallCaps w:val="false"/>
          <w:sz w:val="20"/>
        </w:rPr>
        <w:t>Subscription Agreement</w:t>
      </w:r>
      <w:r>
        <w:rPr>
          <w:rFonts w:ascii="Times New Roman;Times;Serif" w:hAnsi="Times New Roman;Times;Serif"/>
          <w:b w:val="false"/>
          <w:i w:val="false"/>
          <w:caps w:val="false"/>
          <w:smallCaps w:val="false"/>
          <w:sz w:val="20"/>
        </w:rPr>
        <w:t>”) with Ayar, and it is a condition to the issuance and sale of the shares of Class A Common Stock, par value $0.0001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by PubCo to Ayar pursuant to the Subscription Agreement (such shares, together with the shares of Common Stock issuable upon conversion, repurchase or redemption thereof, the “</w:t>
      </w:r>
      <w:r>
        <w:rPr>
          <w:rFonts w:ascii="Times New Roman;Times;Serif" w:hAnsi="Times New Roman;Times;Serif"/>
          <w:b/>
          <w:i w:val="false"/>
          <w:caps w:val="false"/>
          <w:smallCaps w:val="false"/>
          <w:sz w:val="20"/>
        </w:rPr>
        <w:t>Fifth Placement Shares</w:t>
      </w:r>
      <w:r>
        <w:rPr>
          <w:rFonts w:ascii="Times New Roman;Times;Serif" w:hAnsi="Times New Roman;Times;Serif"/>
          <w:b w:val="false"/>
          <w:i w:val="false"/>
          <w:caps w:val="false"/>
          <w:smallCaps w:val="false"/>
          <w:sz w:val="20"/>
        </w:rPr>
        <w:t>”) that the Agreement be amended as set forth in this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Section 5.4(b) of the Agreement, the Agreement may be amended in whole or in part at any time with the express written consent of PubCo and the Holders holding in the aggregate more than fifty percent (50%) of the Registrable Securities Beneficially Owned by the Holders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Ayar holds more than fifty percent (50%) of the Registrable Securities Beneficially Owned by the Holders as of the date 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Ayar and PubCo amend the Agreement as set forth in this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for other good and valuable consideration, the receipt and sufficiency of which are hereby acknowledged, all of the parties hereto mutually agree, with effect as of the date hereof, to the following: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223"/>
        <w:gridCol w:w="9940"/>
      </w:tblGrid>
      <w:tr>
        <w:trPr/>
        <w:tc>
          <w:tcPr>
            <w:tcW w:w="4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1.</w:t>
            </w:r>
          </w:p>
        </w:tc>
        <w:tc>
          <w:tcPr>
            <w:tcW w:w="9940" w:type="dxa"/>
            <w:tcBorders/>
            <w:vAlign w:val="center"/>
          </w:tcPr>
          <w:p>
            <w:pPr>
              <w:pStyle w:val="TableContents"/>
              <w:bidi w:val="0"/>
              <w:spacing w:before="0" w:after="283"/>
              <w:jc w:val="left"/>
              <w:rPr/>
            </w:pPr>
            <w:r>
              <w:rPr/>
              <w:t>The definition of “Registrable Securities” in Section 1.1 of the Agreement is amended to read: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Registrable Securities</w:t>
      </w:r>
      <w:r>
        <w:rPr>
          <w:rFonts w:ascii="Times New Roman;Times;Serif" w:hAnsi="Times New Roman;Times;Serif"/>
          <w:b w:val="false"/>
          <w:i w:val="false"/>
          <w:caps w:val="false"/>
          <w:smallCaps w:val="false"/>
          <w:sz w:val="20"/>
        </w:rPr>
        <w:t xml:space="preserve">” means (a) any shares of Common Stock, (b) any Warrants or any shares of Common Stock issued or issuable upon the exercise thereof, (c) any Equity Securities of PubCo that may be issued or distributed or be issuable with respect to the securities referred to in clauses (a) or (b) by way of conversion, dividend, stock split or other distribution, merger, consolidation, exchange, recapitalization or reclassification or similar transaction, in each case Beneficially Owned by a Holder as of immediately following the Closing, and (d) with respect to Ayar only, the Placement Shares, the Second Placement Shares, the Third Placement Shares, the Fourth Placement Shares and the Fifth Placement Shares;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any such Registrable Securities shall cease to be Registrable Securities to the extent (A) a Registration Statement with respect to the sale of such Registrable Securities has become effective under the Securities Act and such Registrable Securities have been sold, transferred, disposed of or exchanged in accordance with the plan of distribution set forth in such Registration Statement, (B) such Registrable Securities shall have ceased to be outstanding, (C) such Registrable Securities have been sold to, or through, a broker, dealer or Underwriter in a public distribution or other public securities transaction or (D)(i) the Holder thereof, together with its, his or her Permitted Transferees, Beneficially Owns less than one percent (1%) of the shares of Common Stock that are outstanding at such time and (ii) such shares of Common Stock are eligible for resale without volume or manner-of-sale restrictions and without current public information pursuant to Rule 144 under the Securities Act as set forth in a written opinion letter to such effect, addressed, delivered and acceptable to PubCo’s transfer agent and the affected Holder (which opinion may assume that such Holder (and any predecessor holder of such shares of Common Stock) is not, and has not been at any time during the 90 days immediately before the date of such opinion, an Affiliate of PubCo except with respect to any control determined to be established under this Investor Rights Agreement), as reasonably determined by PubCo, upon the advice of counsel to PubCo. It is understood and agreed that, for purposes of this Investor Rights Agreement, where reference is made to Registrable Securities being listed with any securities exchange or automated quotation system, such reference shall not include the Warrants, the Series A Convertible Preferred Stock, or the Series B Convertible Preferred Stock (although it shall include the shares of Common Stock issued or issuable upon the exercise or conversion thereof).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314"/>
        <w:gridCol w:w="9832"/>
      </w:tblGrid>
      <w:tr>
        <w:trPr/>
        <w:tc>
          <w:tcPr>
            <w:tcW w:w="5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pPr>
            <w:r>
              <w:rPr/>
              <w:t>2.</w:t>
            </w:r>
          </w:p>
        </w:tc>
        <w:tc>
          <w:tcPr>
            <w:tcW w:w="9832" w:type="dxa"/>
            <w:tcBorders/>
            <w:vAlign w:val="center"/>
          </w:tcPr>
          <w:p>
            <w:pPr>
              <w:pStyle w:val="TableContents"/>
              <w:bidi w:val="0"/>
              <w:spacing w:before="0" w:after="283"/>
              <w:jc w:val="left"/>
              <w:rPr/>
            </w:pPr>
            <w:r>
              <w:rPr/>
              <w:t>A new section 3.19 is added at the end of Article III, which reads: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Section 3.19. Shelf Registration of Fifth Placement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Section 3.1 Not Applicable</w:t>
      </w:r>
      <w:r>
        <w:rPr>
          <w:rFonts w:ascii="Times New Roman;Times;Serif" w:hAnsi="Times New Roman;Times;Serif"/>
          <w:b w:val="false"/>
          <w:i w:val="false"/>
          <w:caps w:val="false"/>
          <w:smallCaps w:val="false"/>
          <w:sz w:val="20"/>
        </w:rPr>
        <w:t>. Section 3.1(a) of the Investor Rights Agreement shall not apply to the Fifth Placement Shares. Prior to the Fifth Shelf Registration Deadline (as defined below), Sections 3.1(b) through 3.1(d) and 3.2 through 3.17 of the Investor Rights Agreement shall not apply to the Fifth Placement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Filing</w:t>
      </w:r>
      <w:r>
        <w:rPr>
          <w:rFonts w:ascii="Times New Roman;Times;Serif" w:hAnsi="Times New Roman;Times;Serif"/>
          <w:b w:val="false"/>
          <w:i w:val="false"/>
          <w:caps w:val="false"/>
          <w:smallCaps w:val="false"/>
          <w:sz w:val="20"/>
        </w:rPr>
        <w:t>. PubCo shall use its commercially reasonable efforts to file and cause to become effective under the Securities Act no later than the end of the business day immediately after the date of filing of the Company’s Annual Report on Form 10-K for the fiscal year ended December 31, 2024 (and in no event later than February 28, 2025 even if the Annual Report has not yet been filed as of such date) (the “</w:t>
      </w:r>
      <w:r>
        <w:rPr>
          <w:rFonts w:ascii="Times New Roman;Times;Serif" w:hAnsi="Times New Roman;Times;Serif"/>
          <w:b/>
          <w:i w:val="false"/>
          <w:caps w:val="false"/>
          <w:smallCaps w:val="false"/>
          <w:sz w:val="20"/>
        </w:rPr>
        <w:t>Fifth Shelf Registration Deadline</w:t>
      </w:r>
      <w:r>
        <w:rPr>
          <w:rFonts w:ascii="Times New Roman;Times;Serif" w:hAnsi="Times New Roman;Times;Serif"/>
          <w:b w:val="false"/>
          <w:i w:val="false"/>
          <w:caps w:val="false"/>
          <w:smallCaps w:val="false"/>
          <w:sz w:val="20"/>
        </w:rPr>
        <w:t>”) a Shelf Registration Statement (it being agreed that the Shelf Registration shall be an Automatic Shelf Registration Statement if PubCo is a Well-Known Seasoned Issuer at the time of filing), or, if permitted, an amendment or a prospectus supplement to a Shelf Registration Statement then already filed, covering the resale on a delayed or continuous basis of all Fourth Placement Shares then issued to and Beneficially Owned by Ayar but not yet covered by a Shelf Registration Statement. PubCo shall maintain such Shelf Registration Statement in accordance with the terms of this Investor Rights Agreement, and shall prepare and file with the SEC such amendments, including post-effective amendments, and supplements as may be necessary to keep such Shelf Registration Statement continuously effective, available for use and in compliance with the provisions of the Securities Act until such time as of which all Registrable Securities registered by such Shelf Registration Statement have been sold or cease to be Registrable Securities. PubCo shall also use its commercially reasonable efforts to file any replacement or additional Shelf Registration Statement and use commercially reasonable efforts to cause such replacement or additional Shelf Registration Statement to become effective prior to the expiration of the initial Shelf Registration Statement filed pursuant to this Section 3.19.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if the SEC prevents the Company from including any or all of the Registrable Securities on the Shelf Registration Statement due to limitations on the use of Rule 415 of the Securities Act for the resale of the Registrable Securities by Ayar, the Shelf Registration Statement shall register the resale of a number of shares of the Registrable Securities which is equal to the maximum number of shares as is permitted by the SEC, and, subject to the provisions of this Section 3.19(b), the Company shall continue to its use commercially reasonable efforts to register all remaining Registrable Securities as set forth in this Section 3.19(b). Notwithstanding anything herein to the contrary, if the SEC limits the Company’s ability to file, or prohibits or delays the filing of, a Shelf Registration Statement or a Subsequent Shelf Registration with respect to any or all the Registrable Securities, the Company’s compliance with such limitation, prohibition or delay solely to the extent of such limitation, prohibition or delay shall not be a breach or default by the Company under this Agreement and shall not be deemed a failure by the Company to use “commercially reasonable efforts” or “reasonable efforts” as set forth above or elsewhere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Sections 5.1, 5.3, 5.4, 5.5, 5.6, 5.7, 5.13 and 5.14 of the Agreement are hereby incorporated into this Amendment, </w:t>
      </w:r>
      <w:r>
        <w:rPr>
          <w:rFonts w:ascii="Times New Roman;Times;Serif" w:hAnsi="Times New Roman;Times;Serif"/>
          <w:b w:val="false"/>
          <w:i/>
          <w:caps w:val="false"/>
          <w:smallCaps w:val="false"/>
          <w:sz w:val="20"/>
        </w:rPr>
        <w:t xml:space="preserve">mutatis mutandis. </w:t>
      </w:r>
      <w:r>
        <w:rPr>
          <w:rFonts w:ascii="Times New Roman;Times;Serif" w:hAnsi="Times New Roman;Times;Serif"/>
          <w:b w:val="false"/>
          <w:i w:val="false"/>
          <w:caps w:val="false"/>
          <w:smallCaps w:val="false"/>
          <w:sz w:val="20"/>
        </w:rPr>
        <w:t>Except as modified and amended herein, all other terms and provisions of the Agreement will not be amended and will remain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Amendment to be duly executed and delivered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4050" w:type="dxa"/>
        <w:jc w:val="left"/>
        <w:tblInd w:w="0" w:type="dxa"/>
        <w:tblLayout w:type="fixed"/>
        <w:tblCellMar>
          <w:top w:w="0" w:type="dxa"/>
          <w:left w:w="0" w:type="dxa"/>
          <w:bottom w:w="0" w:type="dxa"/>
          <w:right w:w="0" w:type="dxa"/>
        </w:tblCellMar>
      </w:tblPr>
      <w:tblGrid>
        <w:gridCol w:w="75"/>
        <w:gridCol w:w="365"/>
        <w:gridCol w:w="650"/>
        <w:gridCol w:w="2960"/>
      </w:tblGrid>
      <w:tr>
        <w:trPr/>
        <w:tc>
          <w:tcPr>
            <w:tcW w:w="75" w:type="dxa"/>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b/>
              </w:rPr>
            </w:pPr>
            <w:r>
              <w:rPr>
                <w:b/>
              </w:rPr>
              <w:t>LUCID GROUP, INC.</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1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3610" w:type="dxa"/>
            <w:gridSpan w:val="2"/>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both"/>
              <w:rPr/>
            </w:pPr>
            <w:r>
              <w:rPr/>
              <w:t>Name:</w:t>
            </w:r>
          </w:p>
        </w:tc>
        <w:tc>
          <w:tcPr>
            <w:tcW w:w="2960" w:type="dxa"/>
            <w:tcBorders/>
            <w:vAlign w:val="center"/>
          </w:tcPr>
          <w:p>
            <w:pPr>
              <w:pStyle w:val="TableContents"/>
              <w:bidi w:val="0"/>
              <w:spacing w:before="0" w:after="283"/>
              <w:jc w:val="both"/>
              <w:rPr/>
            </w:pPr>
            <w:r>
              <w:rPr/>
              <w:t>Gagan Dhingra</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both"/>
              <w:rPr/>
            </w:pPr>
            <w:r>
              <w:rPr/>
              <w:t>Title:</w:t>
            </w:r>
          </w:p>
        </w:tc>
        <w:tc>
          <w:tcPr>
            <w:tcW w:w="2960" w:type="dxa"/>
            <w:tcBorders/>
            <w:vAlign w:val="center"/>
          </w:tcPr>
          <w:p>
            <w:pPr>
              <w:pStyle w:val="TableContents"/>
              <w:bidi w:val="0"/>
              <w:spacing w:before="0" w:after="283"/>
              <w:jc w:val="both"/>
              <w:rPr/>
            </w:pPr>
            <w:r>
              <w:rPr/>
              <w:t>Interim Chief Financial Officer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Amendment to be duly executed and delivered as of the date first above written.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728" w:type="dxa"/>
        <w:jc w:val="left"/>
        <w:tblInd w:w="0" w:type="dxa"/>
        <w:tblLayout w:type="fixed"/>
        <w:tblCellMar>
          <w:top w:w="0" w:type="dxa"/>
          <w:left w:w="0" w:type="dxa"/>
          <w:bottom w:w="0" w:type="dxa"/>
          <w:right w:w="0" w:type="dxa"/>
        </w:tblCellMar>
      </w:tblPr>
      <w:tblGrid>
        <w:gridCol w:w="75"/>
        <w:gridCol w:w="560"/>
        <w:gridCol w:w="998"/>
        <w:gridCol w:w="3095"/>
      </w:tblGrid>
      <w:tr>
        <w:trPr/>
        <w:tc>
          <w:tcPr>
            <w:tcW w:w="75" w:type="dxa"/>
            <w:tcBorders/>
            <w:vAlign w:val="center"/>
          </w:tcPr>
          <w:p>
            <w:pPr>
              <w:pStyle w:val="TableContents"/>
              <w:bidi w:val="0"/>
              <w:spacing w:before="0" w:after="283"/>
              <w:jc w:val="left"/>
              <w:rPr>
                <w:sz w:val="4"/>
                <w:szCs w:val="4"/>
              </w:rPr>
            </w:pPr>
            <w:r>
              <w:rPr>
                <w:sz w:val="4"/>
                <w:szCs w:val="4"/>
              </w:rPr>
            </w:r>
          </w:p>
        </w:tc>
        <w:tc>
          <w:tcPr>
            <w:tcW w:w="4653" w:type="dxa"/>
            <w:gridSpan w:val="3"/>
            <w:tcBorders/>
            <w:vAlign w:val="center"/>
          </w:tcPr>
          <w:p>
            <w:pPr>
              <w:pStyle w:val="TableContents"/>
              <w:bidi w:val="0"/>
              <w:spacing w:before="0" w:after="283"/>
              <w:jc w:val="left"/>
              <w:rPr>
                <w:b/>
              </w:rPr>
            </w:pPr>
            <w:r>
              <w:rPr>
                <w:b/>
              </w:rPr>
              <w:t>AYAR THIRD INVESTMENT COMPANY</w:t>
            </w:r>
          </w:p>
        </w:tc>
      </w:tr>
      <w:tr>
        <w:trPr/>
        <w:tc>
          <w:tcPr>
            <w:tcW w:w="7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4093"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By:</w:t>
            </w:r>
          </w:p>
        </w:tc>
        <w:tc>
          <w:tcPr>
            <w:tcW w:w="4093" w:type="dxa"/>
            <w:gridSpan w:val="2"/>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both"/>
              <w:rPr/>
            </w:pPr>
            <w:r>
              <w:rPr/>
              <w:t>Name:</w:t>
            </w:r>
          </w:p>
        </w:tc>
        <w:tc>
          <w:tcPr>
            <w:tcW w:w="3095" w:type="dxa"/>
            <w:tcBorders/>
            <w:vAlign w:val="center"/>
          </w:tcPr>
          <w:p>
            <w:pPr>
              <w:pStyle w:val="TableContents"/>
              <w:bidi w:val="0"/>
              <w:spacing w:before="0" w:after="283"/>
              <w:jc w:val="both"/>
              <w:rPr/>
            </w:pPr>
            <w:r>
              <w:rPr/>
              <w:t>Turqi A. Alnowaiser</w:t>
            </w:r>
          </w:p>
        </w:tc>
      </w:tr>
      <w:tr>
        <w:trPr/>
        <w:tc>
          <w:tcPr>
            <w:tcW w:w="7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both"/>
              <w:rPr/>
            </w:pPr>
            <w:r>
              <w:rPr/>
              <w:t>Title:</w:t>
            </w:r>
          </w:p>
        </w:tc>
        <w:tc>
          <w:tcPr>
            <w:tcW w:w="3095" w:type="dxa"/>
            <w:tcBorders/>
            <w:vAlign w:val="center"/>
          </w:tcPr>
          <w:p>
            <w:pPr>
              <w:pStyle w:val="TableContents"/>
              <w:bidi w:val="0"/>
              <w:spacing w:before="0" w:after="283"/>
              <w:jc w:val="both"/>
              <w:rPr/>
            </w:pPr>
            <w:r>
              <w:rPr/>
              <w:t>Authorized Manager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Agreement: October 16,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Initial Placement Shares: 374,717,927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Price per Share: $2.591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8" w:name="tm2426052d5_ex10-2.htm"/>
      <w:bookmarkStart w:id="29" w:name="kstm2426052d5_ex102"/>
      <w:bookmarkEnd w:id="28"/>
      <w:bookmarkEnd w:id="29"/>
      <w:r>
        <w:rPr/>
        <w:t> </w:t>
      </w:r>
      <w:r>
        <w:br w:type="page"/>
      </w:r>
    </w:p>
    <w:p>
      <w:pPr>
        <w:pStyle w:val="TextBody"/>
        <w:bidi w:val="0"/>
        <w:jc w:val="right"/>
        <w:rPr>
          <w:b/>
        </w:rPr>
      </w:pPr>
      <w:r>
        <w:rPr>
          <w:b/>
        </w:rPr>
        <w:t>Exhibit 10.2</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AMENDMENT NO. 5 TO INVESTOR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5 (this “</w:t>
      </w:r>
      <w:r>
        <w:rPr>
          <w:rFonts w:ascii="Times New Roman;Times;Serif" w:hAnsi="Times New Roman;Times;Serif"/>
          <w:b/>
          <w:i w:val="false"/>
          <w:caps w:val="false"/>
          <w:smallCaps w:val="false"/>
          <w:sz w:val="20"/>
        </w:rPr>
        <w:t>Amendment</w:t>
      </w:r>
      <w:r>
        <w:rPr>
          <w:rFonts w:ascii="Times New Roman;Times;Serif" w:hAnsi="Times New Roman;Times;Serif"/>
          <w:b w:val="false"/>
          <w:i w:val="false"/>
          <w:caps w:val="false"/>
          <w:smallCaps w:val="false"/>
          <w:sz w:val="20"/>
        </w:rPr>
        <w:t>”), effective as of the date of the Subscription Agreement (as defined below), is made to that certain Investor Rights Agreement, dated as of February 22, 2021, as amended from time to time,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by and among (i) Churchill Capital Corp IV, a Delaware corporation (“</w:t>
      </w:r>
      <w:r>
        <w:rPr>
          <w:rFonts w:ascii="Times New Roman;Times;Serif" w:hAnsi="Times New Roman;Times;Serif"/>
          <w:b/>
          <w:i w:val="false"/>
          <w:caps w:val="false"/>
          <w:smallCaps w:val="false"/>
          <w:sz w:val="20"/>
        </w:rPr>
        <w:t>PubCo</w:t>
      </w:r>
      <w:r>
        <w:rPr>
          <w:rFonts w:ascii="Times New Roman;Times;Serif" w:hAnsi="Times New Roman;Times;Serif"/>
          <w:b w:val="false"/>
          <w:i w:val="false"/>
          <w:caps w:val="false"/>
          <w:smallCaps w:val="false"/>
          <w:sz w:val="20"/>
        </w:rPr>
        <w:t>”); (ii) Ayar Third Investment Company, a single shareholder limited liability company organized under the laws of the Kingdom of Saudi Arabia (“</w:t>
      </w:r>
      <w:r>
        <w:rPr>
          <w:rFonts w:ascii="Times New Roman;Times;Serif" w:hAnsi="Times New Roman;Times;Serif"/>
          <w:b/>
          <w:i w:val="false"/>
          <w:caps w:val="false"/>
          <w:smallCaps w:val="false"/>
          <w:sz w:val="20"/>
        </w:rPr>
        <w:t>Ayar</w:t>
      </w:r>
      <w:r>
        <w:rPr>
          <w:rFonts w:ascii="Times New Roman;Times;Serif" w:hAnsi="Times New Roman;Times;Serif"/>
          <w:b w:val="false"/>
          <w:i w:val="false"/>
          <w:caps w:val="false"/>
          <w:smallCaps w:val="false"/>
          <w:sz w:val="20"/>
        </w:rPr>
        <w:t>”); (iii) each of the Persons identified on the signature pages to the Agreement or on the signature pages to a joinder to the Agreement; and (iv) Churchill Sponsor IV LLC, a Delaware limited liability company. Unless otherwise defined herein, capitalized terms used herein shall have the meanings given to such terms in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connection with the Business Combination, PubCo changed its name to “Lucid Group,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as of the date hereof, PubCo entered into that certain Subscription Agreement (the “</w:t>
      </w:r>
      <w:r>
        <w:rPr>
          <w:rFonts w:ascii="Times New Roman;Times;Serif" w:hAnsi="Times New Roman;Times;Serif"/>
          <w:b/>
          <w:i w:val="false"/>
          <w:caps w:val="false"/>
          <w:smallCaps w:val="false"/>
          <w:sz w:val="20"/>
        </w:rPr>
        <w:t>Subscription Agreement</w:t>
      </w:r>
      <w:r>
        <w:rPr>
          <w:rFonts w:ascii="Times New Roman;Times;Serif" w:hAnsi="Times New Roman;Times;Serif"/>
          <w:b w:val="false"/>
          <w:i w:val="false"/>
          <w:caps w:val="false"/>
          <w:smallCaps w:val="false"/>
          <w:sz w:val="20"/>
        </w:rPr>
        <w:t>”) with Ayar, and it is a condition to the issuance and sale of the shares of Class A Common Stock, par value $0.0001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by PubCo to Ayar pursuant to the Subscription Agreement (such shares, together with the shares of Common Stock issuable upon conversion, repurchase or redemption thereof, the “</w:t>
      </w:r>
      <w:r>
        <w:rPr>
          <w:rFonts w:ascii="Times New Roman;Times;Serif" w:hAnsi="Times New Roman;Times;Serif"/>
          <w:b/>
          <w:i w:val="false"/>
          <w:caps w:val="false"/>
          <w:smallCaps w:val="false"/>
          <w:sz w:val="20"/>
        </w:rPr>
        <w:t>Fifth Placement Shares</w:t>
      </w:r>
      <w:r>
        <w:rPr>
          <w:rFonts w:ascii="Times New Roman;Times;Serif" w:hAnsi="Times New Roman;Times;Serif"/>
          <w:b w:val="false"/>
          <w:i w:val="false"/>
          <w:caps w:val="false"/>
          <w:smallCaps w:val="false"/>
          <w:sz w:val="20"/>
        </w:rPr>
        <w:t>”) that the Agreement be amended as set forth in this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Section 5.4(b) of the Agreement, the Agreement may be amended in whole or in part at any time with the express written consent of PubCo and the Holders holding in the aggregate more than fifty percent (50%) of the Registrable Securities Beneficially Owned by the Holders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Ayar holds more than fifty percent (50%) of the Registrable Securities Beneficially Owned by the Holders as of the date 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Ayar and PubCo amend the Agreement as set forth in this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for other good and valuable consideration, the receipt and sufficiency of which are hereby acknowledged, all of the parties hereto mutually agree, with effect as of the date hereof, to the following: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223"/>
        <w:gridCol w:w="9940"/>
      </w:tblGrid>
      <w:tr>
        <w:trPr/>
        <w:tc>
          <w:tcPr>
            <w:tcW w:w="4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1.</w:t>
            </w:r>
          </w:p>
        </w:tc>
        <w:tc>
          <w:tcPr>
            <w:tcW w:w="9940" w:type="dxa"/>
            <w:tcBorders/>
            <w:vAlign w:val="center"/>
          </w:tcPr>
          <w:p>
            <w:pPr>
              <w:pStyle w:val="TableContents"/>
              <w:bidi w:val="0"/>
              <w:spacing w:before="0" w:after="283"/>
              <w:jc w:val="left"/>
              <w:rPr/>
            </w:pPr>
            <w:r>
              <w:rPr/>
              <w:t>The definition of “Registrable Securities” in Section 1.1 of the Agreement is amended to read: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Registrable Securities</w:t>
      </w:r>
      <w:r>
        <w:rPr>
          <w:rFonts w:ascii="Times New Roman;Times;Serif" w:hAnsi="Times New Roman;Times;Serif"/>
          <w:b w:val="false"/>
          <w:i w:val="false"/>
          <w:caps w:val="false"/>
          <w:smallCaps w:val="false"/>
          <w:sz w:val="20"/>
        </w:rPr>
        <w:t xml:space="preserve">” means (a) any shares of Common Stock, (b) any Warrants or any shares of Common Stock issued or issuable upon the exercise thereof, (c) any Equity Securities of PubCo that may be issued or distributed or be issuable with respect to the securities referred to in clauses (a) or (b) by way of conversion, dividend, stock split or other distribution, merger, consolidation, exchange, recapitalization or reclassification or similar transaction, in each case Beneficially Owned by a Holder as of immediately following the Closing, and (d) with respect to Ayar only, the Placement Shares, the Second Placement Shares, the Third Placement Shares, the Fourth Placement Shares and the Fifth Placement Shares;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any such Registrable Securities shall cease to be Registrable Securities to the extent (A) a Registration Statement with respect to the sale of such Registrable Securities has become effective under the Securities Act and such Registrable Securities have been sold, transferred, disposed of or exchanged in accordance with the plan of distribution set forth in such Registration Statement, (B) such Registrable Securities shall have ceased to be outstanding, (C) such Registrable Securities have been sold to, or through, a broker, dealer or Underwriter in a public distribution or other public securities transaction or (D)(i) the Holder thereof, together with its, his or her Permitted Transferees, Beneficially Owns less than one percent (1%) of the shares of Common Stock that are outstanding at such time and (ii) such shares of Common Stock are eligible for resale without volume or manner-of-sale restrictions and without current public information pursuant to Rule 144 under the Securities Act as set forth in a written opinion letter to such effect, addressed, delivered and acceptable to PubCo’s transfer agent and the affected Holder (which opinion may assume that such Holder (and any predecessor holder of such shares of Common Stock) is not, and has not been at any time during the 90 days immediately before the date of such opinion, an Affiliate of PubCo except with respect to any control determined to be established under this Investor Rights Agreement), as reasonably determined by PubCo, upon the advice of counsel to PubCo. It is understood and agreed that, for purposes of this Investor Rights Agreement, where reference is made to Registrable Securities being listed with any securities exchange or automated quotation system, such reference shall not include the Warrants, the Series A Convertible Preferred Stock, or the Series B Convertible Preferred Stock (although it shall include the shares of Common Stock issued or issuable upon the exercise or conversion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314"/>
        <w:gridCol w:w="9832"/>
      </w:tblGrid>
      <w:tr>
        <w:trPr/>
        <w:tc>
          <w:tcPr>
            <w:tcW w:w="5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pPr>
            <w:r>
              <w:rPr/>
              <w:t>2.</w:t>
            </w:r>
          </w:p>
        </w:tc>
        <w:tc>
          <w:tcPr>
            <w:tcW w:w="9832" w:type="dxa"/>
            <w:tcBorders/>
            <w:vAlign w:val="center"/>
          </w:tcPr>
          <w:p>
            <w:pPr>
              <w:pStyle w:val="TableContents"/>
              <w:bidi w:val="0"/>
              <w:spacing w:before="0" w:after="283"/>
              <w:jc w:val="left"/>
              <w:rPr/>
            </w:pPr>
            <w:r>
              <w:rPr/>
              <w:t>A new section 3.19 is added at the end of Article III, which reads: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Section 3.19. Shelf Registration of Fifth Placement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Section 3.1 Not Applicable</w:t>
      </w:r>
      <w:r>
        <w:rPr>
          <w:rFonts w:ascii="Times New Roman;Times;Serif" w:hAnsi="Times New Roman;Times;Serif"/>
          <w:b w:val="false"/>
          <w:i w:val="false"/>
          <w:caps w:val="false"/>
          <w:smallCaps w:val="false"/>
          <w:sz w:val="20"/>
        </w:rPr>
        <w:t>. Section 3.1(a) of the Investor Rights Agreement shall not apply to the Fifth Placement Shares. Prior to the Fifth Shelf Registration Deadline (as defined below), Sections 3.1(b) through 3.1(d) and 3.2 through 3.17 of the Investor Rights Agreement shall not apply to the Fifth Placement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Filing</w:t>
      </w:r>
      <w:r>
        <w:rPr>
          <w:rFonts w:ascii="Times New Roman;Times;Serif" w:hAnsi="Times New Roman;Times;Serif"/>
          <w:b w:val="false"/>
          <w:i w:val="false"/>
          <w:caps w:val="false"/>
          <w:smallCaps w:val="false"/>
          <w:sz w:val="20"/>
        </w:rPr>
        <w:t>. PubCo shall use its commercially reasonable efforts to file and cause to become effective under the Securities Act no later than the end of the business day immediately after the date of filing of the Company’s Annual Report on Form 10-K for the fiscal year ended December 31, 2024 (and in no event later than February 28, 2025 even if the Annual Report has not yet been filed as of such date) (the “</w:t>
      </w:r>
      <w:r>
        <w:rPr>
          <w:rFonts w:ascii="Times New Roman;Times;Serif" w:hAnsi="Times New Roman;Times;Serif"/>
          <w:b/>
          <w:i w:val="false"/>
          <w:caps w:val="false"/>
          <w:smallCaps w:val="false"/>
          <w:sz w:val="20"/>
        </w:rPr>
        <w:t>Fifth Shelf Registration Deadline</w:t>
      </w:r>
      <w:r>
        <w:rPr>
          <w:rFonts w:ascii="Times New Roman;Times;Serif" w:hAnsi="Times New Roman;Times;Serif"/>
          <w:b w:val="false"/>
          <w:i w:val="false"/>
          <w:caps w:val="false"/>
          <w:smallCaps w:val="false"/>
          <w:sz w:val="20"/>
        </w:rPr>
        <w:t>”) a Shelf Registration Statement (it being agreed that the Shelf Registration shall be an Automatic Shelf Registration Statement if PubCo is a Well-Known Seasoned Issuer at the time of filing), or, if permitted, an amendment or a prospectus supplement to a Shelf Registration Statement then already filed, covering the resale on a delayed or continuous basis of all Fourth Placement Shares then issued to and Beneficially Owned by Ayar but not yet covered by a Shelf Registration Statement. PubCo shall maintain such Shelf Registration Statement in accordance with the terms of this Investor Rights Agreement, and shall prepare and file with the SEC such amendments, including post-effective amendments, and supplements as may be necessary to keep such Shelf Registration Statement continuously effective, available for use and in compliance with the provisions of the Securities Act until such time as of which all Registrable Securities registered by such Shelf Registration Statement have been sold or cease to be Registrable Securities. PubCo shall also use its commercially reasonable efforts to file any replacement or additional Shelf Registration Statement and use commercially reasonable efforts to cause such replacement or additional Shelf Registration Statement to become effective prior to the expiration of the initial Shelf Registration Statement filed pursuant to this Section 3.19.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if the SEC prevents the Company from including any or all of the Registrable Securities on the Shelf Registration Statement due to limitations on the use of Rule 415 of the Securities Act for the resale of the Registrable Securities by Ayar, the Shelf Registration Statement shall register the resale of a number of shares of the Registrable Securities which is equal to the maximum number of shares as is permitted by the SEC, and, subject to the provisions of this Section 3.19(b), the Company shall continue to its use commercially reasonable efforts to register all remaining Registrable Securities as set forth in this Section 3.19(b). Notwithstanding anything herein to the contrary, if the SEC limits the Company’s ability to file, or prohibits or delays the filing of, a Shelf Registration Statement or a Subsequent Shelf Registration with respect to any or all the Registrable Securities, the Company’s compliance with such limitation, prohibition or delay solely to the extent of such limitation, prohibition or delay shall not be a breach or default by the Company under this Agreement and shall not be deemed a failure by the Company to use “commercially reasonable efforts” or “reasonable efforts” as set forth above or elsewhere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Sections 5.1, 5.3, 5.4, 5.5, 5.6, 5.7, 5.13 and 5.14 of the Agreement are hereby incorporated into this Amendment, </w:t>
      </w:r>
      <w:r>
        <w:rPr>
          <w:rFonts w:ascii="Times New Roman;Times;Serif" w:hAnsi="Times New Roman;Times;Serif"/>
          <w:b w:val="false"/>
          <w:i/>
          <w:caps w:val="false"/>
          <w:smallCaps w:val="false"/>
          <w:sz w:val="20"/>
        </w:rPr>
        <w:t xml:space="preserve">mutatis mutandis. </w:t>
      </w:r>
      <w:r>
        <w:rPr>
          <w:rFonts w:ascii="Times New Roman;Times;Serif" w:hAnsi="Times New Roman;Times;Serif"/>
          <w:b w:val="false"/>
          <w:i w:val="false"/>
          <w:caps w:val="false"/>
          <w:smallCaps w:val="false"/>
          <w:sz w:val="20"/>
        </w:rPr>
        <w:t>Except as modified and amended herein, all other terms and provisions of the Agreement will not be amended and will remain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Amendment to be duly executed and delivered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4050" w:type="dxa"/>
        <w:jc w:val="left"/>
        <w:tblInd w:w="0" w:type="dxa"/>
        <w:tblLayout w:type="fixed"/>
        <w:tblCellMar>
          <w:top w:w="0" w:type="dxa"/>
          <w:left w:w="0" w:type="dxa"/>
          <w:bottom w:w="0" w:type="dxa"/>
          <w:right w:w="0" w:type="dxa"/>
        </w:tblCellMar>
      </w:tblPr>
      <w:tblGrid>
        <w:gridCol w:w="75"/>
        <w:gridCol w:w="365"/>
        <w:gridCol w:w="650"/>
        <w:gridCol w:w="2960"/>
      </w:tblGrid>
      <w:tr>
        <w:trPr/>
        <w:tc>
          <w:tcPr>
            <w:tcW w:w="75" w:type="dxa"/>
            <w:tcBorders/>
            <w:vAlign w:val="center"/>
          </w:tcPr>
          <w:p>
            <w:pPr>
              <w:pStyle w:val="TableContents"/>
              <w:bidi w:val="0"/>
              <w:spacing w:before="0" w:after="283"/>
              <w:jc w:val="left"/>
              <w:rPr/>
            </w:pPr>
            <w:r>
              <w:rPr/>
              <w:t> </w:t>
            </w:r>
          </w:p>
        </w:tc>
        <w:tc>
          <w:tcPr>
            <w:tcW w:w="3975" w:type="dxa"/>
            <w:gridSpan w:val="3"/>
            <w:tcBorders/>
            <w:vAlign w:val="center"/>
          </w:tcPr>
          <w:p>
            <w:pPr>
              <w:pStyle w:val="TableContents"/>
              <w:bidi w:val="0"/>
              <w:spacing w:before="0" w:after="283"/>
              <w:jc w:val="left"/>
              <w:rPr>
                <w:b/>
              </w:rPr>
            </w:pPr>
            <w:r>
              <w:rPr>
                <w:b/>
              </w:rPr>
              <w:t>LUCID GROUP, INC.</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1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pPr>
            <w:r>
              <w:rPr/>
              <w:t>By:</w:t>
            </w:r>
          </w:p>
        </w:tc>
        <w:tc>
          <w:tcPr>
            <w:tcW w:w="3610" w:type="dxa"/>
            <w:gridSpan w:val="2"/>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960" w:type="dxa"/>
            <w:tcBorders/>
            <w:vAlign w:val="center"/>
          </w:tcPr>
          <w:p>
            <w:pPr>
              <w:pStyle w:val="TableContents"/>
              <w:bidi w:val="0"/>
              <w:spacing w:before="0" w:after="283"/>
              <w:jc w:val="both"/>
              <w:rPr/>
            </w:pPr>
            <w:r>
              <w:rPr/>
              <w:t>Gagan Dhingra</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960" w:type="dxa"/>
            <w:tcBorders/>
            <w:vAlign w:val="center"/>
          </w:tcPr>
          <w:p>
            <w:pPr>
              <w:pStyle w:val="TableContents"/>
              <w:bidi w:val="0"/>
              <w:spacing w:before="0" w:after="283"/>
              <w:jc w:val="both"/>
              <w:rPr/>
            </w:pPr>
            <w:r>
              <w:rPr/>
              <w:t>Interim Chief Financial Officer</w:t>
            </w:r>
          </w:p>
        </w:tc>
      </w:tr>
    </w:tbl>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Amendment to be duly executed and delivered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4728" w:type="dxa"/>
        <w:jc w:val="left"/>
        <w:tblInd w:w="0" w:type="dxa"/>
        <w:tblLayout w:type="fixed"/>
        <w:tblCellMar>
          <w:top w:w="0" w:type="dxa"/>
          <w:left w:w="0" w:type="dxa"/>
          <w:bottom w:w="0" w:type="dxa"/>
          <w:right w:w="0" w:type="dxa"/>
        </w:tblCellMar>
      </w:tblPr>
      <w:tblGrid>
        <w:gridCol w:w="75"/>
        <w:gridCol w:w="560"/>
        <w:gridCol w:w="998"/>
        <w:gridCol w:w="3095"/>
      </w:tblGrid>
      <w:tr>
        <w:trPr/>
        <w:tc>
          <w:tcPr>
            <w:tcW w:w="75" w:type="dxa"/>
            <w:tcBorders/>
            <w:vAlign w:val="center"/>
          </w:tcPr>
          <w:p>
            <w:pPr>
              <w:pStyle w:val="TableContents"/>
              <w:bidi w:val="0"/>
              <w:spacing w:before="0" w:after="283"/>
              <w:jc w:val="left"/>
              <w:rPr/>
            </w:pPr>
            <w:r>
              <w:rPr/>
              <w:t> </w:t>
            </w:r>
          </w:p>
        </w:tc>
        <w:tc>
          <w:tcPr>
            <w:tcW w:w="4653" w:type="dxa"/>
            <w:gridSpan w:val="3"/>
            <w:tcBorders/>
            <w:vAlign w:val="center"/>
          </w:tcPr>
          <w:p>
            <w:pPr>
              <w:pStyle w:val="TableContents"/>
              <w:bidi w:val="0"/>
              <w:spacing w:before="0" w:after="283"/>
              <w:jc w:val="left"/>
              <w:rPr>
                <w:b/>
              </w:rPr>
            </w:pPr>
            <w:r>
              <w:rPr>
                <w:b/>
              </w:rPr>
              <w:t>AYAR THIRD INVESTMENT COMPANY</w:t>
            </w:r>
          </w:p>
        </w:tc>
      </w:tr>
      <w:tr>
        <w:trPr/>
        <w:tc>
          <w:tcPr>
            <w:tcW w:w="7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4093"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By:</w:t>
            </w:r>
          </w:p>
        </w:tc>
        <w:tc>
          <w:tcPr>
            <w:tcW w:w="4093" w:type="dxa"/>
            <w:gridSpan w:val="2"/>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left"/>
              <w:rPr/>
            </w:pPr>
            <w:r>
              <w:rPr/>
              <w:t>Name:</w:t>
            </w:r>
          </w:p>
        </w:tc>
        <w:tc>
          <w:tcPr>
            <w:tcW w:w="3095" w:type="dxa"/>
            <w:tcBorders/>
            <w:vAlign w:val="center"/>
          </w:tcPr>
          <w:p>
            <w:pPr>
              <w:pStyle w:val="TableContents"/>
              <w:bidi w:val="0"/>
              <w:spacing w:before="0" w:after="283"/>
              <w:jc w:val="both"/>
              <w:rPr/>
            </w:pPr>
            <w:r>
              <w:rPr/>
              <w:t>Turqi A. Alnowaiser</w:t>
            </w:r>
          </w:p>
        </w:tc>
      </w:tr>
      <w:tr>
        <w:trPr/>
        <w:tc>
          <w:tcPr>
            <w:tcW w:w="7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left"/>
              <w:rPr/>
            </w:pPr>
            <w:r>
              <w:rPr/>
              <w:t>Title:</w:t>
            </w:r>
          </w:p>
        </w:tc>
        <w:tc>
          <w:tcPr>
            <w:tcW w:w="3095" w:type="dxa"/>
            <w:tcBorders/>
            <w:vAlign w:val="center"/>
          </w:tcPr>
          <w:p>
            <w:pPr>
              <w:pStyle w:val="TableContents"/>
              <w:bidi w:val="0"/>
              <w:spacing w:before="0" w:after="283"/>
              <w:jc w:val="both"/>
              <w:rPr/>
            </w:pPr>
            <w:r>
              <w:rPr/>
              <w:t>Authorized Manager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32530</Words>
  <Characters>171907</Characters>
  <CharactersWithSpaces>206517</CharactersWithSpaces>
  <Paragraphs>1518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