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6.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2.jpeg" ContentType="image/jpeg"/>
  <Override PartName="/word/media/image11.jpeg" ContentType="image/jpeg"/>
  <Override PartName="/word/media/image9.jpeg" ContentType="image/jpeg"/>
  <Override PartName="/word/media/image29.jpeg" ContentType="image/jpeg"/>
  <Override PartName="/word/media/image8.jpeg" ContentType="image/jpeg"/>
  <Override PartName="/word/media/image10.jpeg" ContentType="image/jpeg"/>
  <Override PartName="/word/media/image13.jpeg" ContentType="image/jpeg"/>
  <Override PartName="/word/media/image28.jpeg" ContentType="image/jpeg"/>
  <Override PartName="/word/media/image34.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33.jpeg" ContentType="image/jpeg"/>
  <Override PartName="/word/media/image6.jpeg" ContentType="image/jpeg"/>
  <Override PartName="/word/media/image27.jpeg" ContentType="image/jpeg"/>
  <Override PartName="/word/media/image7.jpeg" ContentType="image/jpeg"/>
  <Override PartName="/word/media/image5.gif" ContentType="image/gif"/>
  <Override PartName="/word/media/image1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31387-2_def14a.htm"/>
        <w:bookmarkStart w:id="1" w:name="kstm2431387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UNITED STATES </w:t>
        <w:br/>
        <w:t xml:space="preserve">SECURITIES AND EXCHANGE COMMISSION </w:t>
        <w:br/>
        <w:t>Washington, D.C. 20549</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340" w:before="16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 INFORMATION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Proxy Statement Pursuant to Section 14(a) of </w:t>
        <w:br/>
        <w:t>the Securities Exchange Act of 1934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Filed by the Registrant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Filed by a Party other than the Registrant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Preliminary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Confidential, for Use of the Commission Only (as permitted by Rule 14a-6(e)(2))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Definitive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Definitive Additional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Soliciting Material under § 240.14a-12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3933825" cy="2571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8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Lucid Group, Inc.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(Name of Registrant as Specified In Its Charter)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center"/>
        <w:rPr>
          <w:caps w:val="false"/>
          <w:smallCaps w:val="false"/>
          <w:color w:val="000000"/>
        </w:rPr>
      </w:pPr>
      <w:r>
        <w:rPr>
          <w:caps w:val="false"/>
          <w:smallCaps w:val="false"/>
          <w:color w:val="000000"/>
        </w:rPr>
        <w:t>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(Name of Person(s) Filing Proxy Statement if Other Than the Registrant)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Payment of Filing Fee (Check all boxes that apply):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 fee required.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Fee previously paid with preliminary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Fee computed on table in exhibit required by Item 25(b) per Exchange Act Rules 14a-6(i)(1) and 0-11</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27" w:after="283"/>
        <w:ind w:left="0" w:right="0" w:hanging="0"/>
        <w:jc w:val="center"/>
        <w:rPr>
          <w:caps w:val="false"/>
          <w:smallCaps w:val="false"/>
          <w:color w:val="FFFFFF"/>
        </w:rPr>
      </w:pPr>
      <w:r>
        <w:rPr>
          <w:caps w:val="false"/>
          <w:smallCaps w:val="false"/>
          <w:color w:val="FFFFFF"/>
        </w:rPr>
        <w:drawing>
          <wp:inline distT="0" distB="0" distL="0" distR="0">
            <wp:extent cx="7781925" cy="100679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781925" cy="10067925"/>
                    </a:xfrm>
                    <a:prstGeom prst="rect">
                      <a:avLst/>
                    </a:prstGeom>
                  </pic:spPr>
                </pic:pic>
              </a:graphicData>
            </a:graphic>
          </wp:inline>
        </w:drawing>
      </w:r>
      <w:r>
        <w:rPr>
          <w:caps w:val="false"/>
          <w:smallCaps w:val="false"/>
          <w:color w:val="FFFFFF"/>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014"/>
        <w:jc w:val="left"/>
        <w:rPr>
          <w:caps w:val="false"/>
          <w:smallCaps w:val="false"/>
          <w:color w:val="000000"/>
        </w:rPr>
      </w:pPr>
      <w:r>
        <w:rPr>
          <w:caps w:val="false"/>
          <w:smallCaps w:val="false"/>
          <w:color w:val="000000"/>
        </w:rPr>
        <w: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908300" cy="5986780"/>
                <wp:effectExtent l="0" t="0" r="0" b="0"/>
                <wp:wrapSquare wrapText="right"/>
                <wp:docPr id="11" name="Frame9"/>
                <a:graphic xmlns:a="http://schemas.openxmlformats.org/drawingml/2006/main">
                  <a:graphicData uri="http://schemas.microsoft.com/office/word/2010/wordprocessingShape">
                    <wps:wsp>
                      <wps:cNvSpPr txBox="1"/>
                      <wps:spPr>
                        <a:xfrm>
                          <a:off x="0" y="0"/>
                          <a:ext cx="2908300" cy="5986780"/>
                        </a:xfrm>
                        <a:prstGeom prst="rect"/>
                        <a:solidFill>
                          <a:srgbClr val="FFFFFF"/>
                        </a:solidFill>
                        <a:ln w="12700">
                          <a:solidFill>
                            <a:srgbClr val="000000"/>
                          </a:solidFill>
                        </a:ln>
                      </wps:spPr>
                      <wps:txbx>
                        <w:txbxContent>
                          <w:p>
                            <w:pPr>
                              <w:pStyle w:val="TextBody"/>
                              <w:bidi w:val="0"/>
                              <w:spacing w:lineRule="atLeast" w:line="440" w:before="1910" w:after="283"/>
                              <w:ind w:left="700" w:right="0" w:hanging="0"/>
                              <w:jc w:val="left"/>
                              <w:rPr>
                                <w:rFonts w:ascii="Times New Roman;Times;serif" w:hAnsi="Times New Roman;Times;serif"/>
                                <w:color w:val="FEFEFE"/>
                                <w:sz w:val="40"/>
                              </w:rPr>
                            </w:pPr>
                            <w:r>
                              <w:rPr>
                                <w:rFonts w:ascii="Times New Roman;Times;serif" w:hAnsi="Times New Roman;Times;serif"/>
                                <w:color w:val="FEFEFE"/>
                                <w:sz w:val="40"/>
                              </w:rPr>
                              <w:t xml:space="preserve">Letter to </w:t>
                              <w:br/>
                              <w:t>Stockholders</w:t>
                            </w:r>
                            <w:r>
                              <w:rPr>
                                <w:rFonts w:ascii="Times New Roman;Times;serif" w:hAnsi="Times New Roman;Times;serif"/>
                                <w:color w:val="000000"/>
                                <w:sz w:val="40"/>
                              </w:rPr>
                              <w:t>​</w:t>
                            </w:r>
                            <w:r>
                              <w:rPr>
                                <w:rFonts w:ascii="Times New Roman;Times;serif" w:hAnsi="Times New Roman;Times;serif"/>
                                <w:color w:val="000000"/>
                                <w:spacing w:val="4"/>
                                <w:sz w:val="40"/>
                              </w:rPr>
                              <w:t xml:space="preserve"> </w:t>
                            </w:r>
                          </w:p>
                          <w:p>
                            <w:pPr>
                              <w:pStyle w:val="TextBody"/>
                              <w:bidi w:val="0"/>
                              <w:spacing w:lineRule="atLeast" w:line="240" w:before="120" w:after="283"/>
                              <w:jc w:val="left"/>
                              <w:rPr>
                                <w:color w:val="FEFEFE"/>
                              </w:rPr>
                            </w:pPr>
                            <w:r>
                              <w:rPr>
                                <w:color w:val="FEFEFE"/>
                              </w:rPr>
                              <w:t>Turqi Alnowaiser</w:t>
                            </w:r>
                          </w:p>
                          <w:p>
                            <w:pPr>
                              <w:pStyle w:val="TextBody"/>
                              <w:bidi w:val="0"/>
                              <w:spacing w:lineRule="atLeast" w:line="142" w:before="60" w:after="283"/>
                              <w:jc w:val="left"/>
                              <w:rPr>
                                <w:b/>
                                <w:color w:val="C4B592"/>
                                <w:sz w:val="14"/>
                              </w:rPr>
                            </w:pPr>
                            <w:r>
                              <w:rPr>
                                <w:b/>
                                <w:caps/>
                                <w:color w:val="C4B592"/>
                                <w:sz w:val="14"/>
                              </w:rPr>
                              <w:t>Board Chairman</w:t>
                            </w:r>
                            <w:r>
                              <w:rPr>
                                <w:b/>
                                <w:color w:val="000000"/>
                                <w:sz w:val="14"/>
                              </w:rPr>
                              <w:t xml:space="preserve">​ </w:t>
                            </w:r>
                          </w:p>
                          <w:p>
                            <w:pPr>
                              <w:pStyle w:val="TextBody"/>
                              <w:bidi w:val="0"/>
                              <w:spacing w:before="480" w:after="283"/>
                              <w:ind w:left="0" w:right="0" w:hanging="0"/>
                              <w:jc w:val="center"/>
                              <w:rPr/>
                            </w:pPr>
                            <w:r>
                              <w:rPr/>
                              <w:drawing>
                                <wp:inline distT="0" distB="0" distL="0" distR="0">
                                  <wp:extent cx="2895600" cy="28956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2895600" cy="28956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rokecolor="#000000" strokeweight="1pt" style="position:absolute;rotation:-0;width:229pt;height:471.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lineRule="atLeast" w:line="440" w:before="1910" w:after="283"/>
                        <w:ind w:left="700" w:right="0" w:hanging="0"/>
                        <w:jc w:val="left"/>
                        <w:rPr>
                          <w:rFonts w:ascii="Times New Roman;Times;serif" w:hAnsi="Times New Roman;Times;serif"/>
                          <w:color w:val="FEFEFE"/>
                          <w:sz w:val="40"/>
                        </w:rPr>
                      </w:pPr>
                      <w:r>
                        <w:rPr>
                          <w:rFonts w:ascii="Times New Roman;Times;serif" w:hAnsi="Times New Roman;Times;serif"/>
                          <w:color w:val="FEFEFE"/>
                          <w:sz w:val="40"/>
                        </w:rPr>
                        <w:t xml:space="preserve">Letter to </w:t>
                        <w:br/>
                        <w:t>Stockholders</w:t>
                      </w:r>
                      <w:r>
                        <w:rPr>
                          <w:rFonts w:ascii="Times New Roman;Times;serif" w:hAnsi="Times New Roman;Times;serif"/>
                          <w:color w:val="000000"/>
                          <w:sz w:val="40"/>
                        </w:rPr>
                        <w:t>​</w:t>
                      </w:r>
                      <w:r>
                        <w:rPr>
                          <w:rFonts w:ascii="Times New Roman;Times;serif" w:hAnsi="Times New Roman;Times;serif"/>
                          <w:color w:val="000000"/>
                          <w:spacing w:val="4"/>
                          <w:sz w:val="40"/>
                        </w:rPr>
                        <w:t xml:space="preserve"> </w:t>
                      </w:r>
                    </w:p>
                    <w:p>
                      <w:pPr>
                        <w:pStyle w:val="TextBody"/>
                        <w:bidi w:val="0"/>
                        <w:spacing w:lineRule="atLeast" w:line="240" w:before="120" w:after="283"/>
                        <w:jc w:val="left"/>
                        <w:rPr>
                          <w:color w:val="FEFEFE"/>
                        </w:rPr>
                      </w:pPr>
                      <w:r>
                        <w:rPr>
                          <w:color w:val="FEFEFE"/>
                        </w:rPr>
                        <w:t>Turqi Alnowaiser</w:t>
                      </w:r>
                    </w:p>
                    <w:p>
                      <w:pPr>
                        <w:pStyle w:val="TextBody"/>
                        <w:bidi w:val="0"/>
                        <w:spacing w:lineRule="atLeast" w:line="142" w:before="60" w:after="283"/>
                        <w:jc w:val="left"/>
                        <w:rPr>
                          <w:b/>
                          <w:color w:val="C4B592"/>
                          <w:sz w:val="14"/>
                        </w:rPr>
                      </w:pPr>
                      <w:r>
                        <w:rPr>
                          <w:b/>
                          <w:caps/>
                          <w:color w:val="C4B592"/>
                          <w:sz w:val="14"/>
                        </w:rPr>
                        <w:t>Board Chairman</w:t>
                      </w:r>
                      <w:r>
                        <w:rPr>
                          <w:b/>
                          <w:color w:val="000000"/>
                          <w:sz w:val="14"/>
                        </w:rPr>
                        <w:t xml:space="preserve">​ </w:t>
                      </w:r>
                    </w:p>
                    <w:p>
                      <w:pPr>
                        <w:pStyle w:val="TextBody"/>
                        <w:bidi w:val="0"/>
                        <w:spacing w:before="480" w:after="283"/>
                        <w:ind w:left="0" w:right="0" w:hanging="0"/>
                        <w:jc w:val="center"/>
                        <w:rPr/>
                      </w:pPr>
                      <w:r>
                        <w:rPr/>
                        <w:drawing>
                          <wp:inline distT="0" distB="0" distL="0" distR="0">
                            <wp:extent cx="2895600" cy="28956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5"/>
                                    <a:stretch>
                                      <a:fillRect/>
                                    </a:stretch>
                                  </pic:blipFill>
                                  <pic:spPr bwMode="auto">
                                    <a:xfrm>
                                      <a:off x="0" y="0"/>
                                      <a:ext cx="2895600" cy="28956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711200" distB="0" distL="381000" distR="0" simplePos="0" locked="0" layoutInCell="1" allowOverlap="1" relativeHeight="53">
                <wp:simplePos x="0" y="0"/>
                <wp:positionH relativeFrom="column">
                  <wp:align>left</wp:align>
                </wp:positionH>
                <wp:positionV relativeFrom="line">
                  <wp:align>top</wp:align>
                </wp:positionV>
                <wp:extent cx="3911600" cy="9972040"/>
                <wp:effectExtent l="0" t="0" r="0" b="0"/>
                <wp:wrapSquare wrapText="right"/>
                <wp:docPr id="14" name="Frame10"/>
                <a:graphic xmlns:a="http://schemas.openxmlformats.org/drawingml/2006/main">
                  <a:graphicData uri="http://schemas.microsoft.com/office/word/2010/wordprocessingShape">
                    <wps:wsp>
                      <wps:cNvSpPr txBox="1"/>
                      <wps:spPr>
                        <a:xfrm>
                          <a:off x="0" y="0"/>
                          <a:ext cx="3911600" cy="9972040"/>
                        </a:xfrm>
                        <a:prstGeom prst="rect"/>
                        <a:solidFill>
                          <a:srgbClr val="FFFFFF"/>
                        </a:solidFill>
                      </wps:spPr>
                      <wps:txbx>
                        <w:txbxContent>
                          <w:p>
                            <w:pPr>
                              <w:pStyle w:val="TextBody"/>
                              <w:bidi w:val="0"/>
                              <w:spacing w:before="0" w:after="0"/>
                              <w:jc w:val="left"/>
                              <w:rPr/>
                            </w:pPr>
                            <w:r>
                              <w:rPr/>
                              <w:drawing>
                                <wp:inline distT="0" distB="0" distL="0" distR="0">
                                  <wp:extent cx="1571625" cy="10477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6"/>
                                          <a:stretch>
                                            <a:fillRect/>
                                          </a:stretch>
                                        </pic:blipFill>
                                        <pic:spPr bwMode="auto">
                                          <a:xfrm>
                                            <a:off x="0" y="0"/>
                                            <a:ext cx="1571625" cy="104775"/>
                                          </a:xfrm>
                                          <a:prstGeom prst="rect">
                                            <a:avLst/>
                                          </a:prstGeom>
                                        </pic:spPr>
                                      </pic:pic>
                                    </a:graphicData>
                                  </a:graphic>
                                </wp:inline>
                              </w:drawing>
                            </w:r>
                            <w:r>
                              <w:rPr/>
                              <w:t xml:space="preserve"> </w:t>
                            </w:r>
                          </w:p>
                          <w:p>
                            <w:pPr>
                              <w:pStyle w:val="TextBody"/>
                              <w:bidi w:val="0"/>
                              <w:spacing w:lineRule="atLeast" w:line="240" w:before="420" w:after="283"/>
                              <w:ind w:left="0" w:right="0" w:hanging="0"/>
                              <w:jc w:val="left"/>
                              <w:rPr/>
                            </w:pPr>
                            <w:r>
                              <w:rPr/>
                              <w:t>Dear Stockholders,</w:t>
                            </w:r>
                            <w:r>
                              <w:rPr>
                                <w:spacing w:val="4"/>
                              </w:rPr>
                              <w:t xml:space="preserve"> </w:t>
                            </w:r>
                          </w:p>
                          <w:p>
                            <w:pPr>
                              <w:pStyle w:val="TextBody"/>
                              <w:bidi w:val="0"/>
                              <w:spacing w:lineRule="atLeast" w:line="240" w:before="240" w:after="283"/>
                              <w:jc w:val="left"/>
                              <w:rPr/>
                            </w:pPr>
                            <w:r>
                              <w:rPr/>
                              <w:t>As we gather for our annual meeting, I want to take a moment to reflect on the progress we’ve made together and provide you with an update on the Company’s vision, strategic direction, and the important steps we are taking to build a sustainable and thriving future.</w:t>
                            </w:r>
                            <w:r>
                              <w:rPr>
                                <w:spacing w:val="4"/>
                              </w:rPr>
                              <w:t xml:space="preserve"> </w:t>
                            </w:r>
                          </w:p>
                          <w:p>
                            <w:pPr>
                              <w:pStyle w:val="TextBody"/>
                              <w:bidi w:val="0"/>
                              <w:spacing w:lineRule="atLeast" w:line="240" w:before="240" w:after="283"/>
                              <w:jc w:val="left"/>
                              <w:rPr/>
                            </w:pPr>
                            <w:r>
                              <w:rPr/>
                              <w:t>A Vision That Is Unchanged</w:t>
                            </w:r>
                            <w:r>
                              <w:rPr>
                                <w:spacing w:val="4"/>
                              </w:rPr>
                              <w:t xml:space="preserve"> </w:t>
                            </w:r>
                          </w:p>
                          <w:p>
                            <w:pPr>
                              <w:pStyle w:val="TextBody"/>
                              <w:bidi w:val="0"/>
                              <w:spacing w:lineRule="atLeast" w:line="240" w:before="240" w:after="283"/>
                              <w:jc w:val="left"/>
                              <w:rPr/>
                            </w:pPr>
                            <w:r>
                              <w:rPr/>
                              <w:t>First and foremost, the core vision of the Company is unchanged. Lucid’s mission remains clear — to advance the state-of-the-art of EV technology for the benefit of all. While leadership transitions are a natural part of a company’s evolution as it matures, we continue to be guided by the same fundamental principles that have shaped our success — a relentless focus on innovation, cutting-edge technology, and a dedication to sustainability.</w:t>
                            </w:r>
                            <w:r>
                              <w:rPr>
                                <w:spacing w:val="4"/>
                              </w:rPr>
                              <w:t xml:space="preserve"> </w:t>
                            </w:r>
                          </w:p>
                          <w:p>
                            <w:pPr>
                              <w:pStyle w:val="TextBody"/>
                              <w:bidi w:val="0"/>
                              <w:spacing w:lineRule="atLeast" w:line="240" w:before="240" w:after="283"/>
                              <w:jc w:val="left"/>
                              <w:rPr/>
                            </w:pPr>
                            <w:r>
                              <w:rPr/>
                              <w:t>Our technological vision for the future is firmly in place and we are deeply committed to creating a world where electric vehicles are not just a viable alternative but the superior choice.</w:t>
                            </w:r>
                            <w:r>
                              <w:rPr>
                                <w:spacing w:val="4"/>
                              </w:rPr>
                              <w:t xml:space="preserve"> </w:t>
                            </w:r>
                          </w:p>
                          <w:p>
                            <w:pPr>
                              <w:pStyle w:val="TextBody"/>
                              <w:bidi w:val="0"/>
                              <w:spacing w:lineRule="atLeast" w:line="240" w:before="240" w:after="283"/>
                              <w:jc w:val="left"/>
                              <w:rPr/>
                            </w:pPr>
                            <w:r>
                              <w:rPr/>
                              <w:t>Commitment to Stability and Value Creation</w:t>
                            </w:r>
                            <w:r>
                              <w:rPr>
                                <w:spacing w:val="4"/>
                              </w:rPr>
                              <w:t xml:space="preserve"> </w:t>
                            </w:r>
                          </w:p>
                          <w:p>
                            <w:pPr>
                              <w:pStyle w:val="TextBody"/>
                              <w:bidi w:val="0"/>
                              <w:spacing w:lineRule="atLeast" w:line="240" w:before="240" w:after="283"/>
                              <w:jc w:val="left"/>
                              <w:rPr/>
                            </w:pPr>
                            <w:r>
                              <w:rPr/>
                              <w:t>As Chairman of the Board, I want to emphasize the Board’s unwavering commitment to ensuring organizational stability and stockholder value creation. Our focus has been, and will continue to be, on maintaining a solid foundation that supports long-term growth and a path to profitability.</w:t>
                            </w:r>
                            <w:r>
                              <w:rPr>
                                <w:spacing w:val="4"/>
                              </w:rPr>
                              <w:t xml:space="preserve"> </w:t>
                            </w:r>
                          </w:p>
                          <w:p>
                            <w:pPr>
                              <w:pStyle w:val="TextBody"/>
                              <w:bidi w:val="0"/>
                              <w:spacing w:lineRule="atLeast" w:line="240" w:before="240" w:after="283"/>
                              <w:jc w:val="left"/>
                              <w:rPr/>
                            </w:pPr>
                            <w:r>
                              <w:rPr/>
                              <w:t>Our commitment to you, our valued stockholders, is clear: we will maintain a focus on delivering both stability near-term and sustainable growth over the long-term.</w:t>
                            </w:r>
                            <w:r>
                              <w:rPr>
                                <w:spacing w:val="4"/>
                              </w:rPr>
                              <w:t xml:space="preserve"> </w:t>
                            </w:r>
                          </w:p>
                          <w:p>
                            <w:pPr>
                              <w:pStyle w:val="TextBody"/>
                              <w:bidi w:val="0"/>
                              <w:spacing w:lineRule="atLeast" w:line="240" w:before="240" w:after="283"/>
                              <w:jc w:val="left"/>
                              <w:rPr/>
                            </w:pPr>
                            <w:r>
                              <w:rPr/>
                              <w:t>Looking Forward</w:t>
                            </w:r>
                            <w:r>
                              <w:rPr>
                                <w:spacing w:val="4"/>
                              </w:rPr>
                              <w:t xml:space="preserve"> </w:t>
                            </w:r>
                          </w:p>
                          <w:p>
                            <w:pPr>
                              <w:pStyle w:val="TextBody"/>
                              <w:bidi w:val="0"/>
                              <w:spacing w:lineRule="atLeast" w:line="240" w:before="240" w:after="283"/>
                              <w:jc w:val="left"/>
                              <w:rPr/>
                            </w:pPr>
                            <w:r>
                              <w:rPr/>
                              <w:t xml:space="preserve">As Chairman of the Board, I am deeply optimistic about the future of our company. I believe we are in the early stages of a transformational growth journey, backed by a strong vision, unmatched technology, a committed leadership team, and the continued trust of our stakeholders. </w:t>
                            </w:r>
                          </w:p>
                          <w:p>
                            <w:pPr>
                              <w:pStyle w:val="TextBody"/>
                              <w:bidi w:val="0"/>
                              <w:spacing w:lineRule="atLeast" w:line="240" w:before="240" w:after="283"/>
                              <w:jc w:val="left"/>
                              <w:rPr/>
                            </w:pPr>
                            <w:r>
                              <w:rPr/>
                              <w:t>The Board and I are excited about the future, and we thank you for your continued trust and support.</w:t>
                            </w:r>
                            <w:r>
                              <w:rPr>
                                <w:spacing w:val="4"/>
                              </w:rPr>
                              <w:t xml:space="preserve"> </w:t>
                            </w:r>
                          </w:p>
                          <w:p>
                            <w:pPr>
                              <w:pStyle w:val="TextBody"/>
                              <w:bidi w:val="0"/>
                              <w:spacing w:lineRule="atLeast" w:line="240" w:before="240" w:after="283"/>
                              <w:jc w:val="left"/>
                              <w:rPr/>
                            </w:pPr>
                            <w:r>
                              <w:rPr/>
                              <w:t> </w:t>
                            </w:r>
                            <w:r>
                              <w:rPr>
                                <w:spacing w:val="4"/>
                              </w:rPr>
                              <w:t xml:space="preserve"> </w:t>
                            </w:r>
                          </w:p>
                          <w:p>
                            <w:pPr>
                              <w:pStyle w:val="TextBody"/>
                              <w:bidi w:val="0"/>
                              <w:spacing w:lineRule="atLeast" w:line="240" w:before="240" w:after="283"/>
                              <w:jc w:val="left"/>
                              <w:rPr/>
                            </w:pPr>
                            <w:r>
                              <w:rPr/>
                              <w:t>Sincerely,</w:t>
                            </w:r>
                            <w:r>
                              <w:rPr>
                                <w:spacing w:val="4"/>
                              </w:rPr>
                              <w:t xml:space="preserve"> </w:t>
                            </w:r>
                          </w:p>
                          <w:p>
                            <w:pPr>
                              <w:pStyle w:val="TextBody"/>
                              <w:bidi w:val="0"/>
                              <w:spacing w:lineRule="atLeast" w:line="240" w:before="240" w:after="283"/>
                              <w:jc w:val="left"/>
                              <w:rPr/>
                            </w:pPr>
                            <w:r>
                              <w:rPr>
                                <w:b/>
                              </w:rPr>
                              <w:t>Turqi Alnowaiser</w:t>
                            </w:r>
                            <w:r>
                              <w:rPr/>
                              <w:t xml:space="preserve"> </w:t>
                              <w:br/>
                              <w:t xml:space="preserve">Chairman of the Board </w:t>
                            </w:r>
                          </w:p>
                        </w:txbxContent>
                      </wps:txbx>
                      <wps:bodyPr anchor="t" lIns="0" tIns="0" rIns="0" bIns="0">
                        <a:noAutofit/>
                      </wps:bodyPr>
                    </wps:wsp>
                  </a:graphicData>
                </a:graphic>
              </wp:anchor>
            </w:drawing>
          </mc:Choice>
          <mc:Fallback>
            <w:pict>
              <v:rect style="position:absolute;rotation:-0;width:308pt;height:785.2pt;mso-wrap-distance-left:30pt;mso-wrap-distance-right:0pt;mso-wrap-distance-top:56pt;mso-wrap-distance-bottom:0pt;margin-top:56pt;mso-position-vertical:top;mso-position-vertical-relative:text;margin-left:30pt;mso-position-horizontal:left;mso-position-horizontal-relative:text">
                <v:textbox>
                  <w:txbxContent>
                    <w:p>
                      <w:pPr>
                        <w:pStyle w:val="TextBody"/>
                        <w:bidi w:val="0"/>
                        <w:spacing w:before="0" w:after="0"/>
                        <w:jc w:val="left"/>
                        <w:rPr/>
                      </w:pPr>
                      <w:r>
                        <w:rPr/>
                        <w:drawing>
                          <wp:inline distT="0" distB="0" distL="0" distR="0">
                            <wp:extent cx="1571625" cy="1047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7"/>
                                    <a:stretch>
                                      <a:fillRect/>
                                    </a:stretch>
                                  </pic:blipFill>
                                  <pic:spPr bwMode="auto">
                                    <a:xfrm>
                                      <a:off x="0" y="0"/>
                                      <a:ext cx="1571625" cy="104775"/>
                                    </a:xfrm>
                                    <a:prstGeom prst="rect">
                                      <a:avLst/>
                                    </a:prstGeom>
                                  </pic:spPr>
                                </pic:pic>
                              </a:graphicData>
                            </a:graphic>
                          </wp:inline>
                        </w:drawing>
                      </w:r>
                      <w:r>
                        <w:rPr/>
                        <w:t xml:space="preserve"> </w:t>
                      </w:r>
                    </w:p>
                    <w:p>
                      <w:pPr>
                        <w:pStyle w:val="TextBody"/>
                        <w:bidi w:val="0"/>
                        <w:spacing w:lineRule="atLeast" w:line="240" w:before="420" w:after="283"/>
                        <w:ind w:left="0" w:right="0" w:hanging="0"/>
                        <w:jc w:val="left"/>
                        <w:rPr/>
                      </w:pPr>
                      <w:r>
                        <w:rPr/>
                        <w:t>Dear Stockholders,</w:t>
                      </w:r>
                      <w:r>
                        <w:rPr>
                          <w:spacing w:val="4"/>
                        </w:rPr>
                        <w:t xml:space="preserve"> </w:t>
                      </w:r>
                    </w:p>
                    <w:p>
                      <w:pPr>
                        <w:pStyle w:val="TextBody"/>
                        <w:bidi w:val="0"/>
                        <w:spacing w:lineRule="atLeast" w:line="240" w:before="240" w:after="283"/>
                        <w:jc w:val="left"/>
                        <w:rPr/>
                      </w:pPr>
                      <w:r>
                        <w:rPr/>
                        <w:t>As we gather for our annual meeting, I want to take a moment to reflect on the progress we’ve made together and provide you with an update on the Company’s vision, strategic direction, and the important steps we are taking to build a sustainable and thriving future.</w:t>
                      </w:r>
                      <w:r>
                        <w:rPr>
                          <w:spacing w:val="4"/>
                        </w:rPr>
                        <w:t xml:space="preserve"> </w:t>
                      </w:r>
                    </w:p>
                    <w:p>
                      <w:pPr>
                        <w:pStyle w:val="TextBody"/>
                        <w:bidi w:val="0"/>
                        <w:spacing w:lineRule="atLeast" w:line="240" w:before="240" w:after="283"/>
                        <w:jc w:val="left"/>
                        <w:rPr/>
                      </w:pPr>
                      <w:r>
                        <w:rPr/>
                        <w:t>A Vision That Is Unchanged</w:t>
                      </w:r>
                      <w:r>
                        <w:rPr>
                          <w:spacing w:val="4"/>
                        </w:rPr>
                        <w:t xml:space="preserve"> </w:t>
                      </w:r>
                    </w:p>
                    <w:p>
                      <w:pPr>
                        <w:pStyle w:val="TextBody"/>
                        <w:bidi w:val="0"/>
                        <w:spacing w:lineRule="atLeast" w:line="240" w:before="240" w:after="283"/>
                        <w:jc w:val="left"/>
                        <w:rPr/>
                      </w:pPr>
                      <w:r>
                        <w:rPr/>
                        <w:t>First and foremost, the core vision of the Company is unchanged. Lucid’s mission remains clear — to advance the state-of-the-art of EV technology for the benefit of all. While leadership transitions are a natural part of a company’s evolution as it matures, we continue to be guided by the same fundamental principles that have shaped our success — a relentless focus on innovation, cutting-edge technology, and a dedication to sustainability.</w:t>
                      </w:r>
                      <w:r>
                        <w:rPr>
                          <w:spacing w:val="4"/>
                        </w:rPr>
                        <w:t xml:space="preserve"> </w:t>
                      </w:r>
                    </w:p>
                    <w:p>
                      <w:pPr>
                        <w:pStyle w:val="TextBody"/>
                        <w:bidi w:val="0"/>
                        <w:spacing w:lineRule="atLeast" w:line="240" w:before="240" w:after="283"/>
                        <w:jc w:val="left"/>
                        <w:rPr/>
                      </w:pPr>
                      <w:r>
                        <w:rPr/>
                        <w:t>Our technological vision for the future is firmly in place and we are deeply committed to creating a world where electric vehicles are not just a viable alternative but the superior choice.</w:t>
                      </w:r>
                      <w:r>
                        <w:rPr>
                          <w:spacing w:val="4"/>
                        </w:rPr>
                        <w:t xml:space="preserve"> </w:t>
                      </w:r>
                    </w:p>
                    <w:p>
                      <w:pPr>
                        <w:pStyle w:val="TextBody"/>
                        <w:bidi w:val="0"/>
                        <w:spacing w:lineRule="atLeast" w:line="240" w:before="240" w:after="283"/>
                        <w:jc w:val="left"/>
                        <w:rPr/>
                      </w:pPr>
                      <w:r>
                        <w:rPr/>
                        <w:t>Commitment to Stability and Value Creation</w:t>
                      </w:r>
                      <w:r>
                        <w:rPr>
                          <w:spacing w:val="4"/>
                        </w:rPr>
                        <w:t xml:space="preserve"> </w:t>
                      </w:r>
                    </w:p>
                    <w:p>
                      <w:pPr>
                        <w:pStyle w:val="TextBody"/>
                        <w:bidi w:val="0"/>
                        <w:spacing w:lineRule="atLeast" w:line="240" w:before="240" w:after="283"/>
                        <w:jc w:val="left"/>
                        <w:rPr/>
                      </w:pPr>
                      <w:r>
                        <w:rPr/>
                        <w:t>As Chairman of the Board, I want to emphasize the Board’s unwavering commitment to ensuring organizational stability and stockholder value creation. Our focus has been, and will continue to be, on maintaining a solid foundation that supports long-term growth and a path to profitability.</w:t>
                      </w:r>
                      <w:r>
                        <w:rPr>
                          <w:spacing w:val="4"/>
                        </w:rPr>
                        <w:t xml:space="preserve"> </w:t>
                      </w:r>
                    </w:p>
                    <w:p>
                      <w:pPr>
                        <w:pStyle w:val="TextBody"/>
                        <w:bidi w:val="0"/>
                        <w:spacing w:lineRule="atLeast" w:line="240" w:before="240" w:after="283"/>
                        <w:jc w:val="left"/>
                        <w:rPr/>
                      </w:pPr>
                      <w:r>
                        <w:rPr/>
                        <w:t>Our commitment to you, our valued stockholders, is clear: we will maintain a focus on delivering both stability near-term and sustainable growth over the long-term.</w:t>
                      </w:r>
                      <w:r>
                        <w:rPr>
                          <w:spacing w:val="4"/>
                        </w:rPr>
                        <w:t xml:space="preserve"> </w:t>
                      </w:r>
                    </w:p>
                    <w:p>
                      <w:pPr>
                        <w:pStyle w:val="TextBody"/>
                        <w:bidi w:val="0"/>
                        <w:spacing w:lineRule="atLeast" w:line="240" w:before="240" w:after="283"/>
                        <w:jc w:val="left"/>
                        <w:rPr/>
                      </w:pPr>
                      <w:r>
                        <w:rPr/>
                        <w:t>Looking Forward</w:t>
                      </w:r>
                      <w:r>
                        <w:rPr>
                          <w:spacing w:val="4"/>
                        </w:rPr>
                        <w:t xml:space="preserve"> </w:t>
                      </w:r>
                    </w:p>
                    <w:p>
                      <w:pPr>
                        <w:pStyle w:val="TextBody"/>
                        <w:bidi w:val="0"/>
                        <w:spacing w:lineRule="atLeast" w:line="240" w:before="240" w:after="283"/>
                        <w:jc w:val="left"/>
                        <w:rPr/>
                      </w:pPr>
                      <w:r>
                        <w:rPr/>
                        <w:t xml:space="preserve">As Chairman of the Board, I am deeply optimistic about the future of our company. I believe we are in the early stages of a transformational growth journey, backed by a strong vision, unmatched technology, a committed leadership team, and the continued trust of our stakeholders. </w:t>
                      </w:r>
                    </w:p>
                    <w:p>
                      <w:pPr>
                        <w:pStyle w:val="TextBody"/>
                        <w:bidi w:val="0"/>
                        <w:spacing w:lineRule="atLeast" w:line="240" w:before="240" w:after="283"/>
                        <w:jc w:val="left"/>
                        <w:rPr/>
                      </w:pPr>
                      <w:r>
                        <w:rPr/>
                        <w:t>The Board and I are excited about the future, and we thank you for your continued trust and support.</w:t>
                      </w:r>
                      <w:r>
                        <w:rPr>
                          <w:spacing w:val="4"/>
                        </w:rPr>
                        <w:t xml:space="preserve"> </w:t>
                      </w:r>
                    </w:p>
                    <w:p>
                      <w:pPr>
                        <w:pStyle w:val="TextBody"/>
                        <w:bidi w:val="0"/>
                        <w:spacing w:lineRule="atLeast" w:line="240" w:before="240" w:after="283"/>
                        <w:jc w:val="left"/>
                        <w:rPr/>
                      </w:pPr>
                      <w:r>
                        <w:rPr/>
                        <w:t> </w:t>
                      </w:r>
                      <w:r>
                        <w:rPr>
                          <w:spacing w:val="4"/>
                        </w:rPr>
                        <w:t xml:space="preserve"> </w:t>
                      </w:r>
                    </w:p>
                    <w:p>
                      <w:pPr>
                        <w:pStyle w:val="TextBody"/>
                        <w:bidi w:val="0"/>
                        <w:spacing w:lineRule="atLeast" w:line="240" w:before="240" w:after="283"/>
                        <w:jc w:val="left"/>
                        <w:rPr/>
                      </w:pPr>
                      <w:r>
                        <w:rPr/>
                        <w:t>Sincerely,</w:t>
                      </w:r>
                      <w:r>
                        <w:rPr>
                          <w:spacing w:val="4"/>
                        </w:rPr>
                        <w:t xml:space="preserve"> </w:t>
                      </w:r>
                    </w:p>
                    <w:p>
                      <w:pPr>
                        <w:pStyle w:val="TextBody"/>
                        <w:bidi w:val="0"/>
                        <w:spacing w:lineRule="atLeast" w:line="240" w:before="240" w:after="283"/>
                        <w:jc w:val="left"/>
                        <w:rPr/>
                      </w:pPr>
                      <w:r>
                        <w:rPr>
                          <w:b/>
                        </w:rPr>
                        <w:t>Turqi Alnowaiser</w:t>
                      </w:r>
                      <w:r>
                        <w:rPr/>
                        <w:t xml:space="preserve"> </w:t>
                        <w:br/>
                        <w:t xml:space="preserve">Chairman of the Board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734"/>
        <w:jc w:val="left"/>
        <w:rPr>
          <w:caps w:val="false"/>
          <w:smallCaps w:val="false"/>
          <w:color w:val="000000"/>
        </w:rPr>
      </w:pPr>
      <w:r>
        <w:rPr>
          <w:caps w:val="false"/>
          <w:smallCaps w:val="false"/>
          <w:color w:val="000000"/>
        </w:rPr>
        <w: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908300" cy="7139305"/>
                <wp:effectExtent l="0" t="0" r="0" b="0"/>
                <wp:wrapSquare wrapText="right"/>
                <wp:docPr id="17" name="Frame11"/>
                <a:graphic xmlns:a="http://schemas.openxmlformats.org/drawingml/2006/main">
                  <a:graphicData uri="http://schemas.microsoft.com/office/word/2010/wordprocessingShape">
                    <wps:wsp>
                      <wps:cNvSpPr txBox="1"/>
                      <wps:spPr>
                        <a:xfrm>
                          <a:off x="0" y="0"/>
                          <a:ext cx="2908300" cy="7139305"/>
                        </a:xfrm>
                        <a:prstGeom prst="rect"/>
                        <a:solidFill>
                          <a:srgbClr val="FFFFFF"/>
                        </a:solidFill>
                        <a:ln w="12700">
                          <a:solidFill>
                            <a:srgbClr val="000000"/>
                          </a:solidFill>
                        </a:ln>
                      </wps:spPr>
                      <wps:txbx>
                        <w:txbxContent>
                          <w:p>
                            <w:pPr>
                              <w:pStyle w:val="TextBody"/>
                              <w:bidi w:val="0"/>
                              <w:spacing w:lineRule="atLeast" w:line="440" w:before="1910" w:after="283"/>
                              <w:ind w:left="700" w:right="0" w:hanging="0"/>
                              <w:jc w:val="left"/>
                              <w:rPr>
                                <w:rFonts w:ascii="Times New Roman;Times;serif" w:hAnsi="Times New Roman;Times;serif"/>
                                <w:color w:val="FEFEFE"/>
                                <w:sz w:val="40"/>
                              </w:rPr>
                            </w:pPr>
                            <w:r>
                              <w:rPr>
                                <w:rFonts w:ascii="Times New Roman;Times;serif" w:hAnsi="Times New Roman;Times;serif"/>
                                <w:color w:val="FEFEFE"/>
                                <w:sz w:val="40"/>
                              </w:rPr>
                              <w:t xml:space="preserve">Letter to </w:t>
                              <w:br/>
                              <w:t>Stockholders</w:t>
                            </w:r>
                            <w:r>
                              <w:rPr>
                                <w:rFonts w:ascii="Times New Roman;Times;serif" w:hAnsi="Times New Roman;Times;serif"/>
                                <w:color w:val="000000"/>
                                <w:sz w:val="40"/>
                              </w:rPr>
                              <w:t>​</w:t>
                            </w:r>
                            <w:r>
                              <w:rPr>
                                <w:rFonts w:ascii="Times New Roman;Times;serif" w:hAnsi="Times New Roman;Times;serif"/>
                                <w:color w:val="000000"/>
                                <w:spacing w:val="4"/>
                                <w:sz w:val="40"/>
                              </w:rPr>
                              <w:t xml:space="preserve"> </w:t>
                            </w:r>
                          </w:p>
                          <w:p>
                            <w:pPr>
                              <w:pStyle w:val="TextBody"/>
                              <w:bidi w:val="0"/>
                              <w:spacing w:lineRule="atLeast" w:line="240" w:before="120" w:after="283"/>
                              <w:jc w:val="left"/>
                              <w:rPr>
                                <w:color w:val="FEFEFE"/>
                              </w:rPr>
                            </w:pPr>
                            <w:r>
                              <w:rPr>
                                <w:color w:val="FEFEFE"/>
                              </w:rPr>
                              <w:t>Marc Winterhoff</w:t>
                            </w:r>
                            <w:r>
                              <w:rPr>
                                <w:color w:val="000000"/>
                              </w:rPr>
                              <w:t xml:space="preserve"> </w:t>
                            </w:r>
                          </w:p>
                          <w:p>
                            <w:pPr>
                              <w:pStyle w:val="TextBody"/>
                              <w:bidi w:val="0"/>
                              <w:spacing w:lineRule="atLeast" w:line="142" w:before="60" w:after="283"/>
                              <w:jc w:val="left"/>
                              <w:rPr>
                                <w:b/>
                                <w:color w:val="C4B592"/>
                                <w:sz w:val="14"/>
                              </w:rPr>
                            </w:pPr>
                            <w:r>
                              <w:rPr>
                                <w:b/>
                                <w:caps/>
                                <w:color w:val="C4B592"/>
                                <w:sz w:val="14"/>
                              </w:rPr>
                              <w:t>Interim Chief Executive Officer</w:t>
                            </w:r>
                            <w:r>
                              <w:rPr>
                                <w:b/>
                                <w:color w:val="000000"/>
                                <w:sz w:val="14"/>
                              </w:rPr>
                              <w:t xml:space="preserve">​ </w:t>
                            </w:r>
                          </w:p>
                          <w:p>
                            <w:pPr>
                              <w:pStyle w:val="TextBody"/>
                              <w:bidi w:val="0"/>
                              <w:spacing w:before="480" w:after="283"/>
                              <w:ind w:left="0" w:right="0" w:hanging="0"/>
                              <w:jc w:val="center"/>
                              <w:rPr/>
                            </w:pPr>
                            <w:r>
                              <w:rPr/>
                              <w:drawing>
                                <wp:inline distT="0" distB="0" distL="0" distR="0">
                                  <wp:extent cx="2895600" cy="40481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8"/>
                                          <a:stretch>
                                            <a:fillRect/>
                                          </a:stretch>
                                        </pic:blipFill>
                                        <pic:spPr bwMode="auto">
                                          <a:xfrm>
                                            <a:off x="0" y="0"/>
                                            <a:ext cx="2895600" cy="40481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rokecolor="#000000" strokeweight="1pt" style="position:absolute;rotation:-0;width:229pt;height:562.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lineRule="atLeast" w:line="440" w:before="1910" w:after="283"/>
                        <w:ind w:left="700" w:right="0" w:hanging="0"/>
                        <w:jc w:val="left"/>
                        <w:rPr>
                          <w:rFonts w:ascii="Times New Roman;Times;serif" w:hAnsi="Times New Roman;Times;serif"/>
                          <w:color w:val="FEFEFE"/>
                          <w:sz w:val="40"/>
                        </w:rPr>
                      </w:pPr>
                      <w:r>
                        <w:rPr>
                          <w:rFonts w:ascii="Times New Roman;Times;serif" w:hAnsi="Times New Roman;Times;serif"/>
                          <w:color w:val="FEFEFE"/>
                          <w:sz w:val="40"/>
                        </w:rPr>
                        <w:t xml:space="preserve">Letter to </w:t>
                        <w:br/>
                        <w:t>Stockholders</w:t>
                      </w:r>
                      <w:r>
                        <w:rPr>
                          <w:rFonts w:ascii="Times New Roman;Times;serif" w:hAnsi="Times New Roman;Times;serif"/>
                          <w:color w:val="000000"/>
                          <w:sz w:val="40"/>
                        </w:rPr>
                        <w:t>​</w:t>
                      </w:r>
                      <w:r>
                        <w:rPr>
                          <w:rFonts w:ascii="Times New Roman;Times;serif" w:hAnsi="Times New Roman;Times;serif"/>
                          <w:color w:val="000000"/>
                          <w:spacing w:val="4"/>
                          <w:sz w:val="40"/>
                        </w:rPr>
                        <w:t xml:space="preserve"> </w:t>
                      </w:r>
                    </w:p>
                    <w:p>
                      <w:pPr>
                        <w:pStyle w:val="TextBody"/>
                        <w:bidi w:val="0"/>
                        <w:spacing w:lineRule="atLeast" w:line="240" w:before="120" w:after="283"/>
                        <w:jc w:val="left"/>
                        <w:rPr>
                          <w:color w:val="FEFEFE"/>
                        </w:rPr>
                      </w:pPr>
                      <w:r>
                        <w:rPr>
                          <w:color w:val="FEFEFE"/>
                        </w:rPr>
                        <w:t>Marc Winterhoff</w:t>
                      </w:r>
                      <w:r>
                        <w:rPr>
                          <w:color w:val="000000"/>
                        </w:rPr>
                        <w:t xml:space="preserve"> </w:t>
                      </w:r>
                    </w:p>
                    <w:p>
                      <w:pPr>
                        <w:pStyle w:val="TextBody"/>
                        <w:bidi w:val="0"/>
                        <w:spacing w:lineRule="atLeast" w:line="142" w:before="60" w:after="283"/>
                        <w:jc w:val="left"/>
                        <w:rPr>
                          <w:b/>
                          <w:color w:val="C4B592"/>
                          <w:sz w:val="14"/>
                        </w:rPr>
                      </w:pPr>
                      <w:r>
                        <w:rPr>
                          <w:b/>
                          <w:caps/>
                          <w:color w:val="C4B592"/>
                          <w:sz w:val="14"/>
                        </w:rPr>
                        <w:t>Interim Chief Executive Officer</w:t>
                      </w:r>
                      <w:r>
                        <w:rPr>
                          <w:b/>
                          <w:color w:val="000000"/>
                          <w:sz w:val="14"/>
                        </w:rPr>
                        <w:t xml:space="preserve">​ </w:t>
                      </w:r>
                    </w:p>
                    <w:p>
                      <w:pPr>
                        <w:pStyle w:val="TextBody"/>
                        <w:bidi w:val="0"/>
                        <w:spacing w:before="480" w:after="283"/>
                        <w:ind w:left="0" w:right="0" w:hanging="0"/>
                        <w:jc w:val="center"/>
                        <w:rPr/>
                      </w:pPr>
                      <w:r>
                        <w:rPr/>
                        <w:drawing>
                          <wp:inline distT="0" distB="0" distL="0" distR="0">
                            <wp:extent cx="2895600" cy="404812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9"/>
                                    <a:stretch>
                                      <a:fillRect/>
                                    </a:stretch>
                                  </pic:blipFill>
                                  <pic:spPr bwMode="auto">
                                    <a:xfrm>
                                      <a:off x="0" y="0"/>
                                      <a:ext cx="2895600" cy="40481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711200" distB="0" distL="381000" distR="0" simplePos="0" locked="0" layoutInCell="1" allowOverlap="1" relativeHeight="58">
                <wp:simplePos x="0" y="0"/>
                <wp:positionH relativeFrom="column">
                  <wp:align>left</wp:align>
                </wp:positionH>
                <wp:positionV relativeFrom="line">
                  <wp:align>top</wp:align>
                </wp:positionV>
                <wp:extent cx="3911600" cy="9972040"/>
                <wp:effectExtent l="0" t="0" r="0" b="0"/>
                <wp:wrapSquare wrapText="right"/>
                <wp:docPr id="20" name="Frame12"/>
                <a:graphic xmlns:a="http://schemas.openxmlformats.org/drawingml/2006/main">
                  <a:graphicData uri="http://schemas.microsoft.com/office/word/2010/wordprocessingShape">
                    <wps:wsp>
                      <wps:cNvSpPr txBox="1"/>
                      <wps:spPr>
                        <a:xfrm>
                          <a:off x="0" y="0"/>
                          <a:ext cx="3911600" cy="9972040"/>
                        </a:xfrm>
                        <a:prstGeom prst="rect"/>
                        <a:solidFill>
                          <a:srgbClr val="FFFFFF"/>
                        </a:solidFill>
                      </wps:spPr>
                      <wps:txbx>
                        <w:txbxContent>
                          <w:p>
                            <w:pPr>
                              <w:pStyle w:val="TextBody"/>
                              <w:bidi w:val="0"/>
                              <w:spacing w:before="0" w:after="0"/>
                              <w:jc w:val="left"/>
                              <w:rPr/>
                            </w:pPr>
                            <w:r>
                              <w:rPr/>
                              <w:drawing>
                                <wp:inline distT="0" distB="0" distL="0" distR="0">
                                  <wp:extent cx="1571625" cy="10477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10"/>
                                          <a:stretch>
                                            <a:fillRect/>
                                          </a:stretch>
                                        </pic:blipFill>
                                        <pic:spPr bwMode="auto">
                                          <a:xfrm>
                                            <a:off x="0" y="0"/>
                                            <a:ext cx="1571625" cy="104775"/>
                                          </a:xfrm>
                                          <a:prstGeom prst="rect">
                                            <a:avLst/>
                                          </a:prstGeom>
                                        </pic:spPr>
                                      </pic:pic>
                                    </a:graphicData>
                                  </a:graphic>
                                </wp:inline>
                              </w:drawing>
                            </w:r>
                            <w:r>
                              <w:rPr/>
                              <w:t xml:space="preserve"> </w:t>
                            </w:r>
                          </w:p>
                          <w:p>
                            <w:pPr>
                              <w:pStyle w:val="TextBody"/>
                              <w:bidi w:val="0"/>
                              <w:spacing w:lineRule="atLeast" w:line="240" w:before="420" w:after="283"/>
                              <w:ind w:left="0" w:right="0" w:hanging="0"/>
                              <w:jc w:val="left"/>
                              <w:rPr/>
                            </w:pPr>
                            <w:r>
                              <w:rPr/>
                              <w:t>Dear Stockholders,</w:t>
                            </w:r>
                            <w:r>
                              <w:rPr>
                                <w:spacing w:val="4"/>
                              </w:rPr>
                              <w:t xml:space="preserve"> </w:t>
                            </w:r>
                          </w:p>
                          <w:p>
                            <w:pPr>
                              <w:pStyle w:val="TextBody"/>
                              <w:bidi w:val="0"/>
                              <w:spacing w:lineRule="atLeast" w:line="240" w:before="240" w:after="283"/>
                              <w:jc w:val="left"/>
                              <w:rPr/>
                            </w:pPr>
                            <w:r>
                              <w:rPr/>
                              <w:t>This is an exciting time at Lucid Group — our journey to advance the state of the art of EV technology for the benefit of all continues. In 2024, we achieved noteworthy milestones and gained significant momentum. We expanded our production capabilities, introduced groundbreaking advancements in EV technology, launched the Lucid Gravity, achieved four consecutive record quarters of deliveries, and saw significant improvements in several financial metrics. The Lucid Air continues to set new standards in range, performance, and efficiency and we are highly enthusiastic about the early reception of the Lucid Gravity.</w:t>
                            </w:r>
                            <w:r>
                              <w:rPr>
                                <w:spacing w:val="4"/>
                              </w:rPr>
                              <w:t xml:space="preserve"> </w:t>
                            </w:r>
                          </w:p>
                          <w:p>
                            <w:pPr>
                              <w:pStyle w:val="TextBody"/>
                              <w:bidi w:val="0"/>
                              <w:spacing w:lineRule="atLeast" w:line="240" w:before="240" w:after="283"/>
                              <w:jc w:val="left"/>
                              <w:rPr/>
                            </w:pPr>
                            <w:r>
                              <w:rPr/>
                              <w:t>These significant achievements would not have been possible without breakthroughs in our Lucid powertrain, engineering, design, and software technologies, which enabled us to further grow our lead against competitors. Our journey to redefine electric mobility has been marked by relentless progress and I am proud of the technology and business advancements we continue to make.</w:t>
                            </w:r>
                            <w:r>
                              <w:rPr>
                                <w:spacing w:val="4"/>
                              </w:rPr>
                              <w:t xml:space="preserve"> </w:t>
                            </w:r>
                          </w:p>
                          <w:p>
                            <w:pPr>
                              <w:pStyle w:val="TextBody"/>
                              <w:bidi w:val="0"/>
                              <w:spacing w:lineRule="atLeast" w:line="240" w:before="240" w:after="283"/>
                              <w:jc w:val="left"/>
                              <w:rPr/>
                            </w:pPr>
                            <w:r>
                              <w:rPr/>
                              <w:t>Looking ahead, our focus remains on scaling production, optimizing efficiencies, expanding our partnerships, and continuing to innovate at the highest level. Our midsize vehicles represent the next phase of our mission and our teams are hard at work to bring these vehicles and their supporting technologies to the market.</w:t>
                            </w:r>
                            <w:r>
                              <w:rPr>
                                <w:spacing w:val="4"/>
                              </w:rPr>
                              <w:t xml:space="preserve"> </w:t>
                            </w:r>
                          </w:p>
                          <w:p>
                            <w:pPr>
                              <w:pStyle w:val="TextBody"/>
                              <w:bidi w:val="0"/>
                              <w:spacing w:lineRule="atLeast" w:line="240" w:before="240" w:after="283"/>
                              <w:jc w:val="left"/>
                              <w:rPr/>
                            </w:pPr>
                            <w:r>
                              <w:rPr/>
                              <w:t>We also remain fully focused on the long-term goal of creating superior technology to provide solutions that not only meet the needs of today’s consumers but also exceed their expectations. We are committed to bringing to market vehicles that are not just environmentally friendly but also technologically advanced, offering unmatched performance and user experience.</w:t>
                            </w:r>
                            <w:r>
                              <w:rPr>
                                <w:spacing w:val="4"/>
                              </w:rPr>
                              <w:t xml:space="preserve"> </w:t>
                            </w:r>
                          </w:p>
                          <w:p>
                            <w:pPr>
                              <w:pStyle w:val="TextBody"/>
                              <w:bidi w:val="0"/>
                              <w:spacing w:lineRule="atLeast" w:line="240" w:before="240" w:after="283"/>
                              <w:jc w:val="left"/>
                              <w:rPr/>
                            </w:pPr>
                            <w:r>
                              <w:rPr/>
                              <w:t>I want to extend my deepest gratitude to our employees for their dedication, our customers for their trust, our stockholders for your confidence in our mission, and the Public Investment Fund for their continued long-term support and partnership. Together, we are shaping the future of electric mobility.</w:t>
                            </w:r>
                            <w:r>
                              <w:rPr>
                                <w:spacing w:val="4"/>
                              </w:rPr>
                              <w:t xml:space="preserve"> </w:t>
                            </w:r>
                          </w:p>
                          <w:p>
                            <w:pPr>
                              <w:pStyle w:val="TextBody"/>
                              <w:bidi w:val="0"/>
                              <w:spacing w:lineRule="atLeast" w:line="240" w:before="240" w:after="283"/>
                              <w:jc w:val="left"/>
                              <w:rPr/>
                            </w:pPr>
                            <w:r>
                              <w:rPr/>
                              <w:t>Thank you for being a part of this journey.</w:t>
                            </w:r>
                            <w:r>
                              <w:rPr>
                                <w:spacing w:val="4"/>
                              </w:rPr>
                              <w:t xml:space="preserve"> </w:t>
                            </w:r>
                          </w:p>
                          <w:p>
                            <w:pPr>
                              <w:pStyle w:val="TextBody"/>
                              <w:bidi w:val="0"/>
                              <w:spacing w:lineRule="atLeast" w:line="240" w:before="240" w:after="283"/>
                              <w:jc w:val="left"/>
                              <w:rPr/>
                            </w:pPr>
                            <w:r>
                              <w:rPr/>
                              <w:t> </w:t>
                            </w:r>
                            <w:r>
                              <w:rPr>
                                <w:spacing w:val="4"/>
                              </w:rPr>
                              <w:t xml:space="preserve"> </w:t>
                            </w:r>
                          </w:p>
                          <w:p>
                            <w:pPr>
                              <w:pStyle w:val="TextBody"/>
                              <w:bidi w:val="0"/>
                              <w:spacing w:lineRule="atLeast" w:line="240" w:before="240" w:after="283"/>
                              <w:jc w:val="left"/>
                              <w:rPr/>
                            </w:pPr>
                            <w:r>
                              <w:rPr/>
                              <w:t>Sincerely,</w:t>
                            </w:r>
                            <w:r>
                              <w:rPr>
                                <w:spacing w:val="4"/>
                              </w:rPr>
                              <w:t xml:space="preserve"> </w:t>
                            </w:r>
                          </w:p>
                          <w:p>
                            <w:pPr>
                              <w:pStyle w:val="TextBody"/>
                              <w:bidi w:val="0"/>
                              <w:spacing w:lineRule="atLeast" w:line="240" w:before="240" w:after="283"/>
                              <w:jc w:val="left"/>
                              <w:rPr/>
                            </w:pPr>
                            <w:r>
                              <w:rPr>
                                <w:b/>
                              </w:rPr>
                              <w:t>Marc Winterhoff</w:t>
                            </w:r>
                            <w:r>
                              <w:rPr/>
                              <w:t xml:space="preserve"> </w:t>
                              <w:br/>
                              <w:t>Interim Chief Executive Officer</w:t>
                            </w:r>
                          </w:p>
                        </w:txbxContent>
                      </wps:txbx>
                      <wps:bodyPr anchor="t" lIns="0" tIns="0" rIns="0" bIns="0">
                        <a:noAutofit/>
                      </wps:bodyPr>
                    </wps:wsp>
                  </a:graphicData>
                </a:graphic>
              </wp:anchor>
            </w:drawing>
          </mc:Choice>
          <mc:Fallback>
            <w:pict>
              <v:rect style="position:absolute;rotation:-0;width:308pt;height:785.2pt;mso-wrap-distance-left:30pt;mso-wrap-distance-right:0pt;mso-wrap-distance-top:56pt;mso-wrap-distance-bottom:0pt;margin-top:56pt;mso-position-vertical:top;mso-position-vertical-relative:text;margin-left:30pt;mso-position-horizontal:left;mso-position-horizontal-relative:text">
                <v:textbox>
                  <w:txbxContent>
                    <w:p>
                      <w:pPr>
                        <w:pStyle w:val="TextBody"/>
                        <w:bidi w:val="0"/>
                        <w:spacing w:before="0" w:after="0"/>
                        <w:jc w:val="left"/>
                        <w:rPr/>
                      </w:pPr>
                      <w:r>
                        <w:rPr/>
                        <w:drawing>
                          <wp:inline distT="0" distB="0" distL="0" distR="0">
                            <wp:extent cx="1571625" cy="104775"/>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11"/>
                                    <a:stretch>
                                      <a:fillRect/>
                                    </a:stretch>
                                  </pic:blipFill>
                                  <pic:spPr bwMode="auto">
                                    <a:xfrm>
                                      <a:off x="0" y="0"/>
                                      <a:ext cx="1571625" cy="104775"/>
                                    </a:xfrm>
                                    <a:prstGeom prst="rect">
                                      <a:avLst/>
                                    </a:prstGeom>
                                  </pic:spPr>
                                </pic:pic>
                              </a:graphicData>
                            </a:graphic>
                          </wp:inline>
                        </w:drawing>
                      </w:r>
                      <w:r>
                        <w:rPr/>
                        <w:t xml:space="preserve"> </w:t>
                      </w:r>
                    </w:p>
                    <w:p>
                      <w:pPr>
                        <w:pStyle w:val="TextBody"/>
                        <w:bidi w:val="0"/>
                        <w:spacing w:lineRule="atLeast" w:line="240" w:before="420" w:after="283"/>
                        <w:ind w:left="0" w:right="0" w:hanging="0"/>
                        <w:jc w:val="left"/>
                        <w:rPr/>
                      </w:pPr>
                      <w:r>
                        <w:rPr/>
                        <w:t>Dear Stockholders,</w:t>
                      </w:r>
                      <w:r>
                        <w:rPr>
                          <w:spacing w:val="4"/>
                        </w:rPr>
                        <w:t xml:space="preserve"> </w:t>
                      </w:r>
                    </w:p>
                    <w:p>
                      <w:pPr>
                        <w:pStyle w:val="TextBody"/>
                        <w:bidi w:val="0"/>
                        <w:spacing w:lineRule="atLeast" w:line="240" w:before="240" w:after="283"/>
                        <w:jc w:val="left"/>
                        <w:rPr/>
                      </w:pPr>
                      <w:r>
                        <w:rPr/>
                        <w:t>This is an exciting time at Lucid Group — our journey to advance the state of the art of EV technology for the benefit of all continues. In 2024, we achieved noteworthy milestones and gained significant momentum. We expanded our production capabilities, introduced groundbreaking advancements in EV technology, launched the Lucid Gravity, achieved four consecutive record quarters of deliveries, and saw significant improvements in several financial metrics. The Lucid Air continues to set new standards in range, performance, and efficiency and we are highly enthusiastic about the early reception of the Lucid Gravity.</w:t>
                      </w:r>
                      <w:r>
                        <w:rPr>
                          <w:spacing w:val="4"/>
                        </w:rPr>
                        <w:t xml:space="preserve"> </w:t>
                      </w:r>
                    </w:p>
                    <w:p>
                      <w:pPr>
                        <w:pStyle w:val="TextBody"/>
                        <w:bidi w:val="0"/>
                        <w:spacing w:lineRule="atLeast" w:line="240" w:before="240" w:after="283"/>
                        <w:jc w:val="left"/>
                        <w:rPr/>
                      </w:pPr>
                      <w:r>
                        <w:rPr/>
                        <w:t>These significant achievements would not have been possible without breakthroughs in our Lucid powertrain, engineering, design, and software technologies, which enabled us to further grow our lead against competitors. Our journey to redefine electric mobility has been marked by relentless progress and I am proud of the technology and business advancements we continue to make.</w:t>
                      </w:r>
                      <w:r>
                        <w:rPr>
                          <w:spacing w:val="4"/>
                        </w:rPr>
                        <w:t xml:space="preserve"> </w:t>
                      </w:r>
                    </w:p>
                    <w:p>
                      <w:pPr>
                        <w:pStyle w:val="TextBody"/>
                        <w:bidi w:val="0"/>
                        <w:spacing w:lineRule="atLeast" w:line="240" w:before="240" w:after="283"/>
                        <w:jc w:val="left"/>
                        <w:rPr/>
                      </w:pPr>
                      <w:r>
                        <w:rPr/>
                        <w:t>Looking ahead, our focus remains on scaling production, optimizing efficiencies, expanding our partnerships, and continuing to innovate at the highest level. Our midsize vehicles represent the next phase of our mission and our teams are hard at work to bring these vehicles and their supporting technologies to the market.</w:t>
                      </w:r>
                      <w:r>
                        <w:rPr>
                          <w:spacing w:val="4"/>
                        </w:rPr>
                        <w:t xml:space="preserve"> </w:t>
                      </w:r>
                    </w:p>
                    <w:p>
                      <w:pPr>
                        <w:pStyle w:val="TextBody"/>
                        <w:bidi w:val="0"/>
                        <w:spacing w:lineRule="atLeast" w:line="240" w:before="240" w:after="283"/>
                        <w:jc w:val="left"/>
                        <w:rPr/>
                      </w:pPr>
                      <w:r>
                        <w:rPr/>
                        <w:t>We also remain fully focused on the long-term goal of creating superior technology to provide solutions that not only meet the needs of today’s consumers but also exceed their expectations. We are committed to bringing to market vehicles that are not just environmentally friendly but also technologically advanced, offering unmatched performance and user experience.</w:t>
                      </w:r>
                      <w:r>
                        <w:rPr>
                          <w:spacing w:val="4"/>
                        </w:rPr>
                        <w:t xml:space="preserve"> </w:t>
                      </w:r>
                    </w:p>
                    <w:p>
                      <w:pPr>
                        <w:pStyle w:val="TextBody"/>
                        <w:bidi w:val="0"/>
                        <w:spacing w:lineRule="atLeast" w:line="240" w:before="240" w:after="283"/>
                        <w:jc w:val="left"/>
                        <w:rPr/>
                      </w:pPr>
                      <w:r>
                        <w:rPr/>
                        <w:t>I want to extend my deepest gratitude to our employees for their dedication, our customers for their trust, our stockholders for your confidence in our mission, and the Public Investment Fund for their continued long-term support and partnership. Together, we are shaping the future of electric mobility.</w:t>
                      </w:r>
                      <w:r>
                        <w:rPr>
                          <w:spacing w:val="4"/>
                        </w:rPr>
                        <w:t xml:space="preserve"> </w:t>
                      </w:r>
                    </w:p>
                    <w:p>
                      <w:pPr>
                        <w:pStyle w:val="TextBody"/>
                        <w:bidi w:val="0"/>
                        <w:spacing w:lineRule="atLeast" w:line="240" w:before="240" w:after="283"/>
                        <w:jc w:val="left"/>
                        <w:rPr/>
                      </w:pPr>
                      <w:r>
                        <w:rPr/>
                        <w:t>Thank you for being a part of this journey.</w:t>
                      </w:r>
                      <w:r>
                        <w:rPr>
                          <w:spacing w:val="4"/>
                        </w:rPr>
                        <w:t xml:space="preserve"> </w:t>
                      </w:r>
                    </w:p>
                    <w:p>
                      <w:pPr>
                        <w:pStyle w:val="TextBody"/>
                        <w:bidi w:val="0"/>
                        <w:spacing w:lineRule="atLeast" w:line="240" w:before="240" w:after="283"/>
                        <w:jc w:val="left"/>
                        <w:rPr/>
                      </w:pPr>
                      <w:r>
                        <w:rPr/>
                        <w:t> </w:t>
                      </w:r>
                      <w:r>
                        <w:rPr>
                          <w:spacing w:val="4"/>
                        </w:rPr>
                        <w:t xml:space="preserve"> </w:t>
                      </w:r>
                    </w:p>
                    <w:p>
                      <w:pPr>
                        <w:pStyle w:val="TextBody"/>
                        <w:bidi w:val="0"/>
                        <w:spacing w:lineRule="atLeast" w:line="240" w:before="240" w:after="283"/>
                        <w:jc w:val="left"/>
                        <w:rPr/>
                      </w:pPr>
                      <w:r>
                        <w:rPr/>
                        <w:t>Sincerely,</w:t>
                      </w:r>
                      <w:r>
                        <w:rPr>
                          <w:spacing w:val="4"/>
                        </w:rPr>
                        <w:t xml:space="preserve"> </w:t>
                      </w:r>
                    </w:p>
                    <w:p>
                      <w:pPr>
                        <w:pStyle w:val="TextBody"/>
                        <w:bidi w:val="0"/>
                        <w:spacing w:lineRule="atLeast" w:line="240" w:before="240" w:after="283"/>
                        <w:jc w:val="left"/>
                        <w:rPr/>
                      </w:pPr>
                      <w:r>
                        <w:rPr>
                          <w:b/>
                        </w:rPr>
                        <w:t>Marc Winterhoff</w:t>
                      </w:r>
                      <w:r>
                        <w:rPr/>
                        <w:t xml:space="preserve"> </w:t>
                        <w:br/>
                        <w:t>Interim Chief Executive Officer</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914"/>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 xml:space="preserve">Lucid Group, Inc. </w:t>
      </w:r>
    </w:p>
    <w:p>
      <w:pPr>
        <w:pStyle w:val="TextBody"/>
        <w:bidi w:val="0"/>
        <w:spacing w:lineRule="atLeast" w:line="440" w:before="24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 xml:space="preserve">Notice of Annual Meeting of Stockholders </w:t>
        <w:br/>
        <w:t>to Be Held on June 5, 2025</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righ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April 24, 2025​</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Dear Stockholder: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 are cordially invited to attend the 2025 Annual Meeting of Stockholders (the “Annual Meeting”) of Lucid Group, Inc., a Delaware corporation (“we,” “us,” “Lucid Group,” “Lucid” or the “Company”). The Annual Meeting will be held virtually on June 5, 2025 at 9:00 a.m. (Pacific Time) to consider and vote on the following proposals: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elect the eight nominees to serve as directors, to hold office until the 2026 annual meeting of stockholders and until their successors are duly elected and qualified, or until their earlier death, resignation or removal;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1">
                <wp:simplePos x="0" y="0"/>
                <wp:positionH relativeFrom="column">
                  <wp:align>left</wp:align>
                </wp:positionH>
                <wp:positionV relativeFrom="line">
                  <wp:align>top</wp:align>
                </wp:positionV>
                <wp:extent cx="228600" cy="350520"/>
                <wp:effectExtent l="0" t="0" r="0" b="0"/>
                <wp:wrapSquare wrapText="right"/>
                <wp:docPr id="23" name="Frame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1.</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284pt;mso-position-horizontal:left;mso-position-horizontal-relative:text">
                <v:textbox>
                  <w:txbxContent>
                    <w:p>
                      <w:pPr>
                        <w:pStyle w:val="TextBody"/>
                        <w:bidi w:val="0"/>
                        <w:spacing w:lineRule="atLeast" w:line="240" w:before="0" w:after="283"/>
                        <w:jc w:val="left"/>
                        <w:rPr/>
                      </w:pPr>
                      <w:r>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ratify the selection of KPMG LLP as our independent registered public accounting firm for the fiscal year ending December 31,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2">
                <wp:simplePos x="0" y="0"/>
                <wp:positionH relativeFrom="column">
                  <wp:align>left</wp:align>
                </wp:positionH>
                <wp:positionV relativeFrom="line">
                  <wp:align>top</wp:align>
                </wp:positionV>
                <wp:extent cx="228600" cy="350520"/>
                <wp:effectExtent l="0" t="0" r="0" b="0"/>
                <wp:wrapSquare wrapText="right"/>
                <wp:docPr id="24" name="Frame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2.</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284pt;mso-position-horizontal:left;mso-position-horizontal-relative:text">
                <v:textbox>
                  <w:txbxContent>
                    <w:p>
                      <w:pPr>
                        <w:pStyle w:val="TextBody"/>
                        <w:bidi w:val="0"/>
                        <w:spacing w:lineRule="atLeast" w:line="240" w:before="0" w:after="283"/>
                        <w:jc w:val="left"/>
                        <w:rPr/>
                      </w:pPr>
                      <w:r>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approve, on an advisory basis, the compensation for our named executive officers;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3">
                <wp:simplePos x="0" y="0"/>
                <wp:positionH relativeFrom="column">
                  <wp:align>left</wp:align>
                </wp:positionH>
                <wp:positionV relativeFrom="line">
                  <wp:align>top</wp:align>
                </wp:positionV>
                <wp:extent cx="228600" cy="350520"/>
                <wp:effectExtent l="0" t="0" r="0" b="0"/>
                <wp:wrapSquare wrapText="right"/>
                <wp:docPr id="25" name="Frame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3.</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approve the amendment and restatement of the Lucid Group, Inc. Amended and Restated 2021 Stock Incentive Plan;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4">
                <wp:simplePos x="0" y="0"/>
                <wp:positionH relativeFrom="column">
                  <wp:align>left</wp:align>
                </wp:positionH>
                <wp:positionV relativeFrom="line">
                  <wp:align>top</wp:align>
                </wp:positionV>
                <wp:extent cx="228600" cy="350520"/>
                <wp:effectExtent l="0" t="0" r="0" b="0"/>
                <wp:wrapSquare wrapText="right"/>
                <wp:docPr id="26" name="Frame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4.</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conduct such other business as may properly come before the Annual Meeting or any adjournment thereof.</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5">
                <wp:simplePos x="0" y="0"/>
                <wp:positionH relativeFrom="column">
                  <wp:align>left</wp:align>
                </wp:positionH>
                <wp:positionV relativeFrom="line">
                  <wp:align>top</wp:align>
                </wp:positionV>
                <wp:extent cx="228600" cy="350520"/>
                <wp:effectExtent l="0" t="0" r="0" b="0"/>
                <wp:wrapSquare wrapText="right"/>
                <wp:docPr id="27" name="Frame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5.</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These items of business are more fully described in the proxy statement accompanying this Notice of Annual Meeting of Stockholders (the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record date for the Annual Meeting is April 7, 2025 (the “Record Date”). Only stockholders of record of shares of our Class A common stock, par value $0.0001 per share, shares of our Series A convertible preferred stock, par value $0.0001 per share, or shares of our Series B convertible preferred stock, par value $0.0001 per share at the close of business on the Record Date may vote at the Annual Meeting or any postponement or adjournment thereof. You will be able to attend the Annual Meeting remotely by registering at www.proxydocs.com/LCID. Upon completing your registration, you will receive further instructions via email, including a unique link that will allow you access to the Annual Meeting and to vote and submit questions. As part of the registration process, you must enter the control number located on your proxy card, voting instruction form, or Important Notice Regarding the Availability of Proxy Materials.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Important Notice Regarding the Availability of Proxy Materials for the Annual Meeting to be held on</w:t>
      </w:r>
    </w:p>
    <w:p>
      <w:pPr>
        <w:pStyle w:val="TextBody"/>
        <w:bidi w:val="0"/>
        <w:spacing w:lineRule="atLeast" w:line="24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June 5, 2025 at 9:00 a.m. (Pacific Time)</w:t>
      </w:r>
    </w:p>
    <w:p>
      <w:pPr>
        <w:pStyle w:val="TextBody"/>
        <w:bidi w:val="0"/>
        <w:spacing w:lineRule="atLeast" w:line="24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via the internet at www.proxydocs.com/LCID</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The Proxy Statement and the Company’s Annual Report to Stockholders are available at: www.proxydocs.com/LCID.</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We have determined that the Annual Meeting will be held in a virtual meeting format only, via the internet. If you plan to participate in the virtual meeting, please see the Questions and Answers section below. Stockholders will be able to attend, vote and submit questions (both before, and for a portion of, the meeting) via the internet.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the event of an adjournment, postponement or emergency that may change the Annual Meeting’s time or date, we will make an announcement, issue a press release or post information at www.lucidmotors.com to notify stockholders, as appropriate. If you have any questions or need assistance in voting your shares, please write to Lucid Investor Relations at 7373 Gateway Boulevard, Newark, CA 94560 or by email at investor@lucidmotors.com.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Brian K. Tomkiel </w:t>
        <w:br/>
        <w:t xml:space="preserve">General Counsel &amp; Secretary </w:t>
        <w:br/>
        <w:t>Newark, California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ALL STOCKHOLDERS ARE CORDIALLY INVITED TO VIRTUALLY ATTEND THE ANNUAL MEETING. WHETHER OR NOT YOU EXPECT TO ATTEND THE ANNUAL MEETING, PLEASE COMPLETE, DATE, SIGN AND RETURN THE PROXY CARD, OR VOTE OVER THE TELEPHONE OR INTERNET AS INSTRUCTED IN THOSE MATERIALS, AS PROMPTLY AS POSSIBLE IN ORDER TO ENSURE YOUR REPRESENTATION AT THE ANNUAL MEETING. EVEN IF YOU HAVE VOTED BY PROXY, YOU MAY STILL VOTE AT THE ANNUAL MEETING IF YOU ATTEND.</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FEFEFE"/>
          <w:sz w:val="16"/>
        </w:rPr>
        <w:t>​</w:t>
      </w:r>
      <w:bookmarkStart w:id="3" w:name="TOC2"/>
      <w:bookmarkEnd w:id="3"/>
      <w:r>
        <w:rPr>
          <w:rFonts w:ascii="calibri;arial;sans-serif" w:hAnsi="calibri;arial;sans-serif"/>
          <w:b w:val="false"/>
          <w:i w:val="false"/>
          <w:caps w:val="false"/>
          <w:smallCaps w:val="false"/>
          <w:color w:val="FEFEFE"/>
          <w:sz w:val="16"/>
        </w:rPr>
        <w:t xml:space="preserve">​ </w:t>
      </w:r>
    </w:p>
    <w:p>
      <w:pPr>
        <w:pStyle w:val="TextBody"/>
        <w:bidi w:val="0"/>
        <w:spacing w:before="1801" w:after="283"/>
        <w:ind w:left="1081" w:right="0" w:hanging="0"/>
        <w:jc w:val="right"/>
        <w:rPr>
          <w:caps w:val="false"/>
          <w:smallCaps w:val="false"/>
          <w:color w:val="FEFEFE"/>
          <w:bdr w:val="single" w:sz="8" w:space="1" w:color="000000"/>
          <w:shd w:fill="000000" w:val="clear"/>
        </w:rPr>
      </w:pPr>
      <w:r>
        <w:rPr>
          <w:caps w:val="false"/>
          <w:smallCaps w:val="false"/>
          <w:color w:val="FEFEFE"/>
          <w:bdr w:val="single" w:sz="8" w:space="1" w:color="000000"/>
          <w:shd w:fill="000000" w:val="clear"/>
        </w:rPr>
        <w:drawing>
          <wp:inline distT="0" distB="0" distL="0" distR="0">
            <wp:extent cx="1543050" cy="9525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12"/>
                    <a:stretch>
                      <a:fillRect/>
                    </a:stretch>
                  </pic:blipFill>
                  <pic:spPr bwMode="auto">
                    <a:xfrm>
                      <a:off x="0" y="0"/>
                      <a:ext cx="1543050" cy="95250"/>
                    </a:xfrm>
                    <a:prstGeom prst="rect">
                      <a:avLst/>
                    </a:prstGeom>
                  </pic:spPr>
                </pic:pic>
              </a:graphicData>
            </a:graphic>
          </wp:inline>
        </w:drawing>
      </w:r>
      <w:r>
        <w:rPr>
          <w:caps w:val="false"/>
          <w:smallCaps w:val="false"/>
          <w:color w:val="FEFEFE"/>
          <w:bdr w:val="single" w:sz="8" w:space="1" w:color="000000"/>
          <w:shd w:fill="000000" w:val="clear"/>
        </w:rPr>
        <w:t xml:space="preserve"> </w:t>
      </w:r>
    </w:p>
    <w:p>
      <w:pPr>
        <w:pStyle w:val="TextBody"/>
        <w:bidi w:val="0"/>
        <w:spacing w:before="0" w:after="283"/>
        <w:ind w:left="1081" w:right="0" w:hanging="0"/>
        <w:jc w:val="left"/>
        <w:rPr>
          <w:caps w:val="false"/>
          <w:smallCaps w:val="false"/>
          <w:color w:val="FEFEFE"/>
          <w:bdr w:val="single" w:sz="8" w:space="1" w:color="FEFEFE"/>
          <w:shd w:fill="000000" w:val="clear"/>
        </w:rPr>
      </w:pPr>
      <w:r>
        <w:rPr>
          <w:caps w:val="false"/>
          <w:smallCaps w:val="false"/>
          <w:color w:val="FEFEFE"/>
          <w:bdr w:val="single" w:sz="8" w:space="1" w:color="FEFEFE"/>
          <w:shd w:fill="000000" w:val="clear"/>
        </w:rPr>
        <w:t>​</w:t>
      </w:r>
    </w:p>
    <w:p>
      <w:pPr>
        <w:pStyle w:val="TextBody"/>
        <w:bidi w:val="0"/>
        <w:spacing w:lineRule="atLeast" w:line="440" w:before="480" w:after="283"/>
        <w:ind w:left="1081" w:right="0" w:hanging="0"/>
        <w:jc w:val="left"/>
        <w:rPr>
          <w:rFonts w:ascii="Times New Roman;Times;serif" w:hAnsi="Times New Roman;Times;serif"/>
          <w:b w:val="false"/>
          <w:i w:val="false"/>
          <w:caps w:val="false"/>
          <w:smallCaps w:val="false"/>
          <w:color w:val="FEFEFE"/>
          <w:sz w:val="40"/>
          <w:bdr w:val="single" w:sz="8" w:space="1" w:color="000000"/>
          <w:shd w:fill="000000" w:val="clear"/>
        </w:rPr>
      </w:pPr>
      <w:r>
        <w:rPr>
          <w:rFonts w:ascii="Times New Roman;Times;serif" w:hAnsi="Times New Roman;Times;serif"/>
          <w:b w:val="false"/>
          <w:i w:val="false"/>
          <w:caps w:val="false"/>
          <w:smallCaps w:val="false"/>
          <w:color w:val="FEFEFE"/>
          <w:sz w:val="40"/>
          <w:bdr w:val="single" w:sz="8" w:space="1" w:color="000000"/>
          <w:shd w:fill="000000" w:val="clear"/>
        </w:rPr>
        <w:t>Table of Contents</w:t>
      </w:r>
      <w:r>
        <w:rPr>
          <w:rFonts w:ascii="Times New Roman;Times;serif" w:hAnsi="Times New Roman;Times;serif"/>
          <w:b w:val="false"/>
          <w:i w:val="false"/>
          <w:caps w:val="false"/>
          <w:smallCaps w:val="false"/>
          <w:color w:val="000000"/>
          <w:sz w:val="40"/>
          <w:bdr w:val="single" w:sz="8" w:space="1" w:color="000000"/>
          <w:shd w:fill="000000" w:val="clear"/>
        </w:rPr>
        <w:t xml:space="preserve"> </w:t>
      </w:r>
    </w:p>
    <w:p>
      <w:pPr>
        <w:pStyle w:val="TextBody"/>
        <w:bidi w:val="0"/>
        <w:spacing w:before="0" w:after="283"/>
        <w:jc w:val="left"/>
        <w:rPr>
          <w:caps w:val="false"/>
          <w:smallCaps w:val="false"/>
          <w:color w:val="FEFEFE"/>
          <w:bdr w:val="single" w:sz="8" w:space="1" w:color="000000"/>
          <w:shd w:fill="000000" w:val="clear"/>
        </w:rPr>
      </w:pPr>
      <w:r>
        <w:rPr>
          <w:caps w:val="false"/>
          <w:smallCaps w:val="false"/>
          <w:color w:val="FEFEFE"/>
          <w:bdr w:val="single" w:sz="8" w:space="1" w:color="000000"/>
          <w:shd w:fill="000000" w:val="clear"/>
        </w:rPr>
        <w:t>​</w:t>
      </w:r>
      <w:r>
        <mc:AlternateContent>
          <mc:Choice Requires="wps">
            <w:drawing>
              <wp:anchor behindDoc="0" distT="0" distB="0" distL="686435" distR="0" simplePos="0" locked="0" layoutInCell="1" allowOverlap="1" relativeHeight="86">
                <wp:simplePos x="0" y="0"/>
                <wp:positionH relativeFrom="column">
                  <wp:align>left</wp:align>
                </wp:positionH>
                <wp:positionV relativeFrom="line">
                  <wp:posOffset>635</wp:posOffset>
                </wp:positionV>
                <wp:extent cx="3213100" cy="5315585"/>
                <wp:effectExtent l="0" t="0" r="0" b="0"/>
                <wp:wrapSquare wrapText="right"/>
                <wp:docPr id="29" name="Frame18"/>
                <a:graphic xmlns:a="http://schemas.openxmlformats.org/drawingml/2006/main">
                  <a:graphicData uri="http://schemas.microsoft.com/office/word/2010/wordprocessingShape">
                    <wps:wsp>
                      <wps:cNvSpPr txBox="1"/>
                      <wps:spPr>
                        <a:xfrm>
                          <a:off x="0" y="0"/>
                          <a:ext cx="3213100" cy="53155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121"/>
                              <w:gridCol w:w="109"/>
                              <w:gridCol w:w="109"/>
                              <w:gridCol w:w="109"/>
                              <w:gridCol w:w="109"/>
                              <w:gridCol w:w="384"/>
                              <w:gridCol w:w="109"/>
                              <w:gridCol w:w="155"/>
                            </w:tblGrid>
                            <w:tr>
                              <w:trPr/>
                              <w:tc>
                                <w:tcPr>
                                  <w:tcW w:w="9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1"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QAAA">
                                    <w:r>
                                      <w:rPr>
                                        <w:rStyle w:val="InternetLink"/>
                                        <w:color w:val="FEFEFE"/>
                                      </w:rPr>
                                      <w:t xml:space="preserve">Questions and Answers About These Proxy Materials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QAAA">
                                    <w:r>
                                      <w:rPr>
                                        <w:rStyle w:val="InternetLink"/>
                                        <w:color w:val="FEFEFE"/>
                                      </w:rPr>
                                      <w:t xml:space="preserve">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EOD">
                                    <w:r>
                                      <w:rPr>
                                        <w:rStyle w:val="InternetLink"/>
                                        <w:color w:val="FEFEFE"/>
                                      </w:rPr>
                                      <w:t xml:space="preserve">Proposal No.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EOD">
                                    <w:r>
                                      <w:rPr>
                                        <w:rStyle w:val="InternetLink"/>
                                        <w:color w:val="FEFEFE"/>
                                      </w:rPr>
                                      <w:t xml:space="preserve">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IRTB">
                                    <w:r>
                                      <w:rPr>
                                        <w:rStyle w:val="InternetLink"/>
                                        <w:color w:val="FEFEFE"/>
                                      </w:rPr>
                                      <w:t xml:space="preserve">Information Regarding the Board of Directors and 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IRTB">
                                    <w:r>
                                      <w:rPr>
                                        <w:rStyle w:val="InternetLink"/>
                                        <w:color w:val="FEFEFE"/>
                                      </w:rPr>
                                      <w:t xml:space="preserve">16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ROTA">
                                    <w:r>
                                      <w:rPr>
                                        <w:rStyle w:val="InternetLink"/>
                                        <w:color w:val="FEFEFE"/>
                                      </w:rPr>
                                      <w:t xml:space="preserve">Report of the Audit Committee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ROTA">
                                    <w:r>
                                      <w:rPr>
                                        <w:rStyle w:val="InternetLink"/>
                                        <w:color w:val="FEFEFE"/>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PN2R">
                                    <w:r>
                                      <w:rPr>
                                        <w:rStyle w:val="InternetLink"/>
                                        <w:color w:val="FEFEFE"/>
                                      </w:rPr>
                                      <w:t xml:space="preserve">Proposal No. 2: Ratification of the Selection of the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N2R">
                                    <w:r>
                                      <w:rPr>
                                        <w:rStyle w:val="InternetLink"/>
                                        <w:color w:val="FEFEFE"/>
                                      </w:rPr>
                                      <w:t xml:space="preserve">25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PN3">
                                    <w:r>
                                      <w:rPr>
                                        <w:rStyle w:val="InternetLink"/>
                                        <w:color w:val="FEFEFE"/>
                                      </w:rPr>
                                      <w:t xml:space="preserve">Proposal No. 3: Approval, on an Advisory Basis, of the </w:t>
                                      <w:br/>
                                      <w:t xml:space="preserve">Compensation of Our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N3">
                                    <w:r>
                                      <w:rPr>
                                        <w:rStyle w:val="InternetLink"/>
                                        <w:color w:val="FEFEFE"/>
                                      </w:rPr>
                                      <w:t xml:space="preserve">28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PN4">
                                    <w:r>
                                      <w:rPr>
                                        <w:rStyle w:val="InternetLink"/>
                                        <w:color w:val="FEFEFE"/>
                                      </w:rPr>
                                      <w:t xml:space="preserve">Proposal No. 4: Approval of the Amendment and Restatement of the Lucid Group, Inc. Amended and Restated 2021 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N4">
                                    <w:r>
                                      <w:rPr>
                                        <w:rStyle w:val="InternetLink"/>
                                        <w:color w:val="FEFEFE"/>
                                      </w:rPr>
                                      <w:t xml:space="preserve">30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ECPI">
                                    <w:r>
                                      <w:rPr>
                                        <w:rStyle w:val="InternetLink"/>
                                        <w:color w:val="FEFEFE"/>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ECPI">
                                    <w:r>
                                      <w:rPr>
                                        <w:rStyle w:val="InternetLink"/>
                                        <w:color w:val="FEFEFE"/>
                                      </w:rPr>
                                      <w:t xml:space="preserve">32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EXOF">
                                    <w:r>
                                      <w:rPr>
                                        <w:rStyle w:val="InternetLink"/>
                                        <w:color w:val="FEFEFE"/>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EXOF">
                                    <w:r>
                                      <w:rPr>
                                        <w:rStyle w:val="InternetLink"/>
                                        <w:color w:val="FEFEFE"/>
                                      </w:rPr>
                                      <w:t xml:space="preserve">41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CDAA">
                                    <w:r>
                                      <w:rPr>
                                        <w:rStyle w:val="InternetLink"/>
                                        <w:color w:val="FEFEFE"/>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DAA">
                                    <w:r>
                                      <w:rPr>
                                        <w:rStyle w:val="InternetLink"/>
                                        <w:color w:val="FEFEFE"/>
                                      </w:rPr>
                                      <w:t xml:space="preserve">44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ind w:left="180" w:right="0" w:hanging="0"/>
                                    <w:jc w:val="left"/>
                                    <w:rPr/>
                                  </w:pPr>
                                  <w:hyperlink w:anchor="tCAHC">
                                    <w:r>
                                      <w:rPr>
                                        <w:rStyle w:val="InternetLink"/>
                                        <w:color w:val="FEFEFE"/>
                                      </w:rPr>
                                      <w:t xml:space="preserve">Compensation and Human Capital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AHC">
                                    <w:r>
                                      <w:rPr>
                                        <w:rStyle w:val="InternetLink"/>
                                        <w:color w:val="FEFEFE"/>
                                      </w:rPr>
                                      <w:t xml:space="preserve">61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ind w:left="180" w:right="0" w:hanging="0"/>
                                    <w:jc w:val="left"/>
                                    <w:rPr/>
                                  </w:pPr>
                                  <w:hyperlink w:anchor="t2SCT">
                                    <w:r>
                                      <w:rPr>
                                        <w:rStyle w:val="InternetLink"/>
                                        <w:color w:val="FEFEFE"/>
                                      </w:rPr>
                                      <w:t xml:space="preserve">2024 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2SCT">
                                    <w:r>
                                      <w:rPr>
                                        <w:rStyle w:val="InternetLink"/>
                                        <w:color w:val="FEFEFE"/>
                                      </w:rPr>
                                      <w:t xml:space="preserve">62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3pt;height:418.55pt;mso-wrap-distance-left:54.05pt;mso-wrap-distance-right:0pt;mso-wrap-distance-top:0pt;mso-wrap-distance-bottom:0pt;margin-top:0pt;mso-position-vertical:top;mso-position-vertical-relative:text;margin-left:54.0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121"/>
                        <w:gridCol w:w="109"/>
                        <w:gridCol w:w="109"/>
                        <w:gridCol w:w="109"/>
                        <w:gridCol w:w="109"/>
                        <w:gridCol w:w="384"/>
                        <w:gridCol w:w="109"/>
                        <w:gridCol w:w="155"/>
                      </w:tblGrid>
                      <w:tr>
                        <w:trPr/>
                        <w:tc>
                          <w:tcPr>
                            <w:tcW w:w="9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1"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QAAA">
                              <w:r>
                                <w:rPr>
                                  <w:rStyle w:val="InternetLink"/>
                                  <w:color w:val="FEFEFE"/>
                                </w:rPr>
                                <w:t xml:space="preserve">Questions and Answers About These Proxy Materials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QAAA">
                              <w:r>
                                <w:rPr>
                                  <w:rStyle w:val="InternetLink"/>
                                  <w:color w:val="FEFEFE"/>
                                </w:rPr>
                                <w:t xml:space="preserve">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EOD">
                              <w:r>
                                <w:rPr>
                                  <w:rStyle w:val="InternetLink"/>
                                  <w:color w:val="FEFEFE"/>
                                </w:rPr>
                                <w:t xml:space="preserve">Proposal No.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EOD">
                              <w:r>
                                <w:rPr>
                                  <w:rStyle w:val="InternetLink"/>
                                  <w:color w:val="FEFEFE"/>
                                </w:rPr>
                                <w:t xml:space="preserve">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IRTB">
                              <w:r>
                                <w:rPr>
                                  <w:rStyle w:val="InternetLink"/>
                                  <w:color w:val="FEFEFE"/>
                                </w:rPr>
                                <w:t xml:space="preserve">Information Regarding the Board of Directors and 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IRTB">
                              <w:r>
                                <w:rPr>
                                  <w:rStyle w:val="InternetLink"/>
                                  <w:color w:val="FEFEFE"/>
                                </w:rPr>
                                <w:t xml:space="preserve">16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ROTA">
                              <w:r>
                                <w:rPr>
                                  <w:rStyle w:val="InternetLink"/>
                                  <w:color w:val="FEFEFE"/>
                                </w:rPr>
                                <w:t xml:space="preserve">Report of the Audit Committee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ROTA">
                              <w:r>
                                <w:rPr>
                                  <w:rStyle w:val="InternetLink"/>
                                  <w:color w:val="FEFEFE"/>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PN2R">
                              <w:r>
                                <w:rPr>
                                  <w:rStyle w:val="InternetLink"/>
                                  <w:color w:val="FEFEFE"/>
                                </w:rPr>
                                <w:t xml:space="preserve">Proposal No. 2: Ratification of the Selection of the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N2R">
                              <w:r>
                                <w:rPr>
                                  <w:rStyle w:val="InternetLink"/>
                                  <w:color w:val="FEFEFE"/>
                                </w:rPr>
                                <w:t xml:space="preserve">25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PN3">
                              <w:r>
                                <w:rPr>
                                  <w:rStyle w:val="InternetLink"/>
                                  <w:color w:val="FEFEFE"/>
                                </w:rPr>
                                <w:t xml:space="preserve">Proposal No. 3: Approval, on an Advisory Basis, of the </w:t>
                                <w:br/>
                                <w:t xml:space="preserve">Compensation of Our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N3">
                              <w:r>
                                <w:rPr>
                                  <w:rStyle w:val="InternetLink"/>
                                  <w:color w:val="FEFEFE"/>
                                </w:rPr>
                                <w:t xml:space="preserve">28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283"/>
                              <w:jc w:val="left"/>
                              <w:rPr/>
                            </w:pPr>
                            <w:hyperlink w:anchor="tPN4">
                              <w:r>
                                <w:rPr>
                                  <w:rStyle w:val="InternetLink"/>
                                  <w:color w:val="FEFEFE"/>
                                </w:rPr>
                                <w:t xml:space="preserve">Proposal No. 4: Approval of the Amendment and Restatement of the Lucid Group, Inc. Amended and Restated 2021 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PN4">
                              <w:r>
                                <w:rPr>
                                  <w:rStyle w:val="InternetLink"/>
                                  <w:color w:val="FEFEFE"/>
                                </w:rPr>
                                <w:t xml:space="preserve">30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ECPI">
                              <w:r>
                                <w:rPr>
                                  <w:rStyle w:val="InternetLink"/>
                                  <w:color w:val="FEFEFE"/>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ECPI">
                              <w:r>
                                <w:rPr>
                                  <w:rStyle w:val="InternetLink"/>
                                  <w:color w:val="FEFEFE"/>
                                </w:rPr>
                                <w:t xml:space="preserve">32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EXOF">
                              <w:r>
                                <w:rPr>
                                  <w:rStyle w:val="InternetLink"/>
                                  <w:color w:val="FEFEFE"/>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EXOF">
                              <w:r>
                                <w:rPr>
                                  <w:rStyle w:val="InternetLink"/>
                                  <w:color w:val="FEFEFE"/>
                                </w:rPr>
                                <w:t xml:space="preserve">41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jc w:val="left"/>
                              <w:rPr/>
                            </w:pPr>
                            <w:hyperlink w:anchor="tCDAA">
                              <w:r>
                                <w:rPr>
                                  <w:rStyle w:val="InternetLink"/>
                                  <w:color w:val="FEFEFE"/>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DAA">
                              <w:r>
                                <w:rPr>
                                  <w:rStyle w:val="InternetLink"/>
                                  <w:color w:val="FEFEFE"/>
                                </w:rPr>
                                <w:t xml:space="preserve">44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ind w:left="180" w:right="0" w:hanging="0"/>
                              <w:jc w:val="left"/>
                              <w:rPr/>
                            </w:pPr>
                            <w:hyperlink w:anchor="tCAHC">
                              <w:r>
                                <w:rPr>
                                  <w:rStyle w:val="InternetLink"/>
                                  <w:color w:val="FEFEFE"/>
                                </w:rPr>
                                <w:t xml:space="preserve">Compensation and Human Capital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CAHC">
                              <w:r>
                                <w:rPr>
                                  <w:rStyle w:val="InternetLink"/>
                                  <w:color w:val="FEFEFE"/>
                                </w:rPr>
                                <w:t xml:space="preserve">61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1" w:type="dxa"/>
                            <w:tcBorders/>
                            <w:vAlign w:val="center"/>
                          </w:tcPr>
                          <w:p>
                            <w:pPr>
                              <w:pStyle w:val="TableContents"/>
                              <w:bidi w:val="0"/>
                              <w:spacing w:before="0" w:after="0"/>
                              <w:ind w:left="180" w:right="0" w:hanging="0"/>
                              <w:jc w:val="left"/>
                              <w:rPr/>
                            </w:pPr>
                            <w:hyperlink w:anchor="t2SCT">
                              <w:r>
                                <w:rPr>
                                  <w:rStyle w:val="InternetLink"/>
                                  <w:color w:val="FEFEFE"/>
                                </w:rPr>
                                <w:t xml:space="preserve">2024 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4" w:type="dxa"/>
                            <w:tcBorders/>
                            <w:vAlign w:val="center"/>
                          </w:tcPr>
                          <w:p>
                            <w:pPr>
                              <w:pStyle w:val="TableContents"/>
                              <w:bidi w:val="0"/>
                              <w:spacing w:before="0" w:after="283"/>
                              <w:jc w:val="right"/>
                              <w:rPr/>
                            </w:pPr>
                            <w:hyperlink w:anchor="t2SCT">
                              <w:r>
                                <w:rPr>
                                  <w:rStyle w:val="InternetLink"/>
                                  <w:color w:val="FEFEFE"/>
                                </w:rPr>
                                <w:t xml:space="preserve">62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87">
                <wp:simplePos x="0" y="0"/>
                <wp:positionH relativeFrom="column">
                  <wp:align>left</wp:align>
                </wp:positionH>
                <wp:positionV relativeFrom="line">
                  <wp:posOffset>635</wp:posOffset>
                </wp:positionV>
                <wp:extent cx="3213100" cy="5320030"/>
                <wp:effectExtent l="0" t="0" r="0" b="0"/>
                <wp:wrapSquare wrapText="right"/>
                <wp:docPr id="30" name="Frame19"/>
                <a:graphic xmlns:a="http://schemas.openxmlformats.org/drawingml/2006/main">
                  <a:graphicData uri="http://schemas.microsoft.com/office/word/2010/wordprocessingShape">
                    <wps:wsp>
                      <wps:cNvSpPr txBox="1"/>
                      <wps:spPr>
                        <a:xfrm>
                          <a:off x="0" y="0"/>
                          <a:ext cx="3213100" cy="5320030"/>
                        </a:xfrm>
                        <a:prstGeom prst="rect"/>
                        <a:solidFill>
                          <a:srgbClr val="FFFFFF"/>
                        </a:solidFill>
                      </wps:spPr>
                      <wps:txbx>
                        <w:txbxContent>
                          <w:tbl>
                            <w:tblPr>
                              <w:tblW w:w="9161" w:type="dxa"/>
                              <w:jc w:val="left"/>
                              <w:tblInd w:w="0" w:type="dxa"/>
                              <w:tblLayout w:type="fixed"/>
                              <w:tblCellMar>
                                <w:top w:w="0" w:type="dxa"/>
                                <w:left w:w="0" w:type="dxa"/>
                                <w:bottom w:w="0" w:type="dxa"/>
                                <w:right w:w="0" w:type="dxa"/>
                              </w:tblCellMar>
                            </w:tblPr>
                            <w:tblGrid>
                              <w:gridCol w:w="7921"/>
                              <w:gridCol w:w="109"/>
                              <w:gridCol w:w="109"/>
                              <w:gridCol w:w="109"/>
                              <w:gridCol w:w="109"/>
                              <w:gridCol w:w="541"/>
                              <w:gridCol w:w="109"/>
                              <w:gridCol w:w="154"/>
                            </w:tblGrid>
                            <w:tr>
                              <w:trPr/>
                              <w:tc>
                                <w:tcPr>
                                  <w:tcW w:w="79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8"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GOPA">
                                    <w:r>
                                      <w:rPr>
                                        <w:rStyle w:val="InternetLink"/>
                                        <w:color w:val="FEFEFE"/>
                                      </w:rPr>
                                      <w:t xml:space="preserve">Grants of Plan-Based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GOPA">
                                    <w:r>
                                      <w:rPr>
                                        <w:rStyle w:val="InternetLink"/>
                                        <w:color w:val="FEFEFE"/>
                                      </w:rPr>
                                      <w:t xml:space="preserve">64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OEAA">
                                    <w:r>
                                      <w:rPr>
                                        <w:rStyle w:val="InternetLink"/>
                                        <w:color w:val="FEFEFE"/>
                                      </w:rPr>
                                      <w:t xml:space="preserve">Outstanding Equity Awards at Fiscal Year-End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A">
                                    <w:r>
                                      <w:rPr>
                                        <w:rStyle w:val="InternetLink"/>
                                        <w:color w:val="FEFEFE"/>
                                      </w:rPr>
                                      <w:t xml:space="preserve">65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OEAS">
                                    <w:r>
                                      <w:rPr>
                                        <w:rStyle w:val="InternetLink"/>
                                        <w:color w:val="FEFEFE"/>
                                      </w:rPr>
                                      <w:t xml:space="preserve">Option Exercises and Stock Vested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S">
                                    <w:r>
                                      <w:rPr>
                                        <w:rStyle w:val="InternetLink"/>
                                        <w:color w:val="FEFEFE"/>
                                      </w:rPr>
                                      <w:t xml:space="preserve">67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PPUT">
                                    <w:r>
                                      <w:rPr>
                                        <w:rStyle w:val="InternetLink"/>
                                        <w:color w:val="FEFEFE"/>
                                      </w:rPr>
                                      <w:t xml:space="preserve">Potential Payments Upon Termination or Change in Control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PUT">
                                    <w:r>
                                      <w:rPr>
                                        <w:rStyle w:val="InternetLink"/>
                                        <w:color w:val="FEFEFE"/>
                                      </w:rPr>
                                      <w:t xml:space="preserve">68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DICO">
                                    <w:r>
                                      <w:rPr>
                                        <w:rStyle w:val="InternetLink"/>
                                        <w:color w:val="FEFEFE"/>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DICO">
                                    <w:r>
                                      <w:rPr>
                                        <w:rStyle w:val="InternetLink"/>
                                        <w:color w:val="FEFEFE"/>
                                      </w:rPr>
                                      <w:t xml:space="preserve">70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CPR">
                                    <w:r>
                                      <w:rPr>
                                        <w:rStyle w:val="InternetLink"/>
                                        <w:color w:val="FEFEFE"/>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PR">
                                    <w:r>
                                      <w:rPr>
                                        <w:rStyle w:val="InternetLink"/>
                                        <w:color w:val="FEFEFE"/>
                                      </w:rPr>
                                      <w:t xml:space="preserve">72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PVP">
                                    <w:r>
                                      <w:rPr>
                                        <w:rStyle w:val="InternetLink"/>
                                        <w:color w:val="FEFEFE"/>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VP">
                                    <w:r>
                                      <w:rPr>
                                        <w:rStyle w:val="InternetLink"/>
                                        <w:color w:val="FEFEFE"/>
                                      </w:rPr>
                                      <w:t xml:space="preserve">73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283"/>
                                    <w:jc w:val="left"/>
                                    <w:rPr/>
                                  </w:pPr>
                                  <w:hyperlink w:anchor="tSOOC">
                                    <w:r>
                                      <w:rPr>
                                        <w:rStyle w:val="InternetLink"/>
                                        <w:color w:val="FEFEFE"/>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SOOC">
                                    <w:r>
                                      <w:rPr>
                                        <w:rStyle w:val="InternetLink"/>
                                        <w:color w:val="FEFEFE"/>
                                      </w:rPr>
                                      <w:t xml:space="preserve">76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CRAR">
                                    <w:r>
                                      <w:rPr>
                                        <w:rStyle w:val="InternetLink"/>
                                        <w:color w:val="FEFEFE"/>
                                      </w:rPr>
                                      <w:t xml:space="preserve">Certain Relationships and Related Party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RAR">
                                    <w:r>
                                      <w:rPr>
                                        <w:rStyle w:val="InternetLink"/>
                                        <w:color w:val="FEFEFE"/>
                                      </w:rPr>
                                      <w:t xml:space="preserve">78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283"/>
                                    <w:jc w:val="left"/>
                                    <w:rPr/>
                                  </w:pPr>
                                  <w:hyperlink w:anchor="tHOPM">
                                    <w:r>
                                      <w:rPr>
                                        <w:rStyle w:val="InternetLink"/>
                                        <w:color w:val="FEFEFE"/>
                                      </w:rPr>
                                      <w:t xml:space="preserve">Householding of Proxy Materials; Availability of Annual </w:t>
                                      <w:br/>
                                      <w:t xml:space="preserve">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HOPM">
                                    <w:r>
                                      <w:rPr>
                                        <w:rStyle w:val="InternetLink"/>
                                        <w:color w:val="FEFEFE"/>
                                      </w:rPr>
                                      <w:t xml:space="preserve">82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OTMA">
                                    <w:r>
                                      <w:rPr>
                                        <w:rStyle w:val="InternetLink"/>
                                        <w:color w:val="FEFEFE"/>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TMA">
                                    <w:r>
                                      <w:rPr>
                                        <w:rStyle w:val="InternetLink"/>
                                        <w:color w:val="FEFEFE"/>
                                      </w:rPr>
                                      <w:t xml:space="preserve">82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283"/>
                                    <w:jc w:val="left"/>
                                    <w:rPr/>
                                  </w:pPr>
                                  <w:hyperlink w:anchor="tANA">
                                    <w:r>
                                      <w:rPr>
                                        <w:rStyle w:val="InternetLink"/>
                                        <w:color w:val="FEFEFE"/>
                                      </w:rPr>
                                      <w:t xml:space="preserve">Annex A — Lucid Group, Inc. Amended and Restated 2021 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ANA">
                                    <w:r>
                                      <w:rPr>
                                        <w:rStyle w:val="InternetLink"/>
                                        <w:color w:val="FEFEFE"/>
                                      </w:rPr>
                                      <w:t xml:space="preserve">A-1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ANB">
                                    <w:r>
                                      <w:rPr>
                                        <w:rStyle w:val="InternetLink"/>
                                        <w:color w:val="FEFEFE"/>
                                      </w:rPr>
                                      <w:t xml:space="preserve">Annex B — GAAP Reconciliation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ANB">
                                    <w:r>
                                      <w:rPr>
                                        <w:rStyle w:val="InternetLink"/>
                                        <w:color w:val="FEFEFE"/>
                                      </w:rPr>
                                      <w:t>B-1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3pt;height:418.9pt;mso-wrap-distance-left:16pt;mso-wrap-distance-right:0pt;mso-wrap-distance-top:0pt;mso-wrap-distance-bottom:0pt;margin-top:0pt;mso-position-vertical:top;mso-position-vertical-relative:text;margin-left:16pt;mso-position-horizontal:left;mso-position-horizontal-relative:text">
                <v:textbox>
                  <w:txbxContent>
                    <w:tbl>
                      <w:tblPr>
                        <w:tblW w:w="9161" w:type="dxa"/>
                        <w:jc w:val="left"/>
                        <w:tblInd w:w="0" w:type="dxa"/>
                        <w:tblLayout w:type="fixed"/>
                        <w:tblCellMar>
                          <w:top w:w="0" w:type="dxa"/>
                          <w:left w:w="0" w:type="dxa"/>
                          <w:bottom w:w="0" w:type="dxa"/>
                          <w:right w:w="0" w:type="dxa"/>
                        </w:tblCellMar>
                      </w:tblPr>
                      <w:tblGrid>
                        <w:gridCol w:w="7921"/>
                        <w:gridCol w:w="109"/>
                        <w:gridCol w:w="109"/>
                        <w:gridCol w:w="109"/>
                        <w:gridCol w:w="109"/>
                        <w:gridCol w:w="541"/>
                        <w:gridCol w:w="109"/>
                        <w:gridCol w:w="154"/>
                      </w:tblGrid>
                      <w:tr>
                        <w:trPr/>
                        <w:tc>
                          <w:tcPr>
                            <w:tcW w:w="79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8"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GOPA">
                              <w:r>
                                <w:rPr>
                                  <w:rStyle w:val="InternetLink"/>
                                  <w:color w:val="FEFEFE"/>
                                </w:rPr>
                                <w:t xml:space="preserve">Grants of Plan-Based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GOPA">
                              <w:r>
                                <w:rPr>
                                  <w:rStyle w:val="InternetLink"/>
                                  <w:color w:val="FEFEFE"/>
                                </w:rPr>
                                <w:t xml:space="preserve">64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OEAA">
                              <w:r>
                                <w:rPr>
                                  <w:rStyle w:val="InternetLink"/>
                                  <w:color w:val="FEFEFE"/>
                                </w:rPr>
                                <w:t xml:space="preserve">Outstanding Equity Awards at Fiscal Year-End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A">
                              <w:r>
                                <w:rPr>
                                  <w:rStyle w:val="InternetLink"/>
                                  <w:color w:val="FEFEFE"/>
                                </w:rPr>
                                <w:t xml:space="preserve">65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OEAS">
                              <w:r>
                                <w:rPr>
                                  <w:rStyle w:val="InternetLink"/>
                                  <w:color w:val="FEFEFE"/>
                                </w:rPr>
                                <w:t xml:space="preserve">Option Exercises and Stock Vested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S">
                              <w:r>
                                <w:rPr>
                                  <w:rStyle w:val="InternetLink"/>
                                  <w:color w:val="FEFEFE"/>
                                </w:rPr>
                                <w:t xml:space="preserve">67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ind w:left="180" w:right="0" w:hanging="0"/>
                              <w:jc w:val="left"/>
                              <w:rPr/>
                            </w:pPr>
                            <w:hyperlink w:anchor="tPPUT">
                              <w:r>
                                <w:rPr>
                                  <w:rStyle w:val="InternetLink"/>
                                  <w:color w:val="FEFEFE"/>
                                </w:rPr>
                                <w:t xml:space="preserve">Potential Payments Upon Termination or Change in Control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PUT">
                              <w:r>
                                <w:rPr>
                                  <w:rStyle w:val="InternetLink"/>
                                  <w:color w:val="FEFEFE"/>
                                </w:rPr>
                                <w:t xml:space="preserve">68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DICO">
                              <w:r>
                                <w:rPr>
                                  <w:rStyle w:val="InternetLink"/>
                                  <w:color w:val="FEFEFE"/>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DICO">
                              <w:r>
                                <w:rPr>
                                  <w:rStyle w:val="InternetLink"/>
                                  <w:color w:val="FEFEFE"/>
                                </w:rPr>
                                <w:t xml:space="preserve">70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CPR">
                              <w:r>
                                <w:rPr>
                                  <w:rStyle w:val="InternetLink"/>
                                  <w:color w:val="FEFEFE"/>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PR">
                              <w:r>
                                <w:rPr>
                                  <w:rStyle w:val="InternetLink"/>
                                  <w:color w:val="FEFEFE"/>
                                </w:rPr>
                                <w:t xml:space="preserve">72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PVP">
                              <w:r>
                                <w:rPr>
                                  <w:rStyle w:val="InternetLink"/>
                                  <w:color w:val="FEFEFE"/>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VP">
                              <w:r>
                                <w:rPr>
                                  <w:rStyle w:val="InternetLink"/>
                                  <w:color w:val="FEFEFE"/>
                                </w:rPr>
                                <w:t xml:space="preserve">73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283"/>
                              <w:jc w:val="left"/>
                              <w:rPr/>
                            </w:pPr>
                            <w:hyperlink w:anchor="tSOOC">
                              <w:r>
                                <w:rPr>
                                  <w:rStyle w:val="InternetLink"/>
                                  <w:color w:val="FEFEFE"/>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SOOC">
                              <w:r>
                                <w:rPr>
                                  <w:rStyle w:val="InternetLink"/>
                                  <w:color w:val="FEFEFE"/>
                                </w:rPr>
                                <w:t xml:space="preserve">76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CRAR">
                              <w:r>
                                <w:rPr>
                                  <w:rStyle w:val="InternetLink"/>
                                  <w:color w:val="FEFEFE"/>
                                </w:rPr>
                                <w:t xml:space="preserve">Certain Relationships and Related Party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RAR">
                              <w:r>
                                <w:rPr>
                                  <w:rStyle w:val="InternetLink"/>
                                  <w:color w:val="FEFEFE"/>
                                </w:rPr>
                                <w:t xml:space="preserve">78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283"/>
                              <w:jc w:val="left"/>
                              <w:rPr/>
                            </w:pPr>
                            <w:hyperlink w:anchor="tHOPM">
                              <w:r>
                                <w:rPr>
                                  <w:rStyle w:val="InternetLink"/>
                                  <w:color w:val="FEFEFE"/>
                                </w:rPr>
                                <w:t xml:space="preserve">Householding of Proxy Materials; Availability of Annual </w:t>
                                <w:br/>
                                <w:t xml:space="preserve">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HOPM">
                              <w:r>
                                <w:rPr>
                                  <w:rStyle w:val="InternetLink"/>
                                  <w:color w:val="FEFEFE"/>
                                </w:rPr>
                                <w:t xml:space="preserve">82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OTMA">
                              <w:r>
                                <w:rPr>
                                  <w:rStyle w:val="InternetLink"/>
                                  <w:color w:val="FEFEFE"/>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TMA">
                              <w:r>
                                <w:rPr>
                                  <w:rStyle w:val="InternetLink"/>
                                  <w:color w:val="FEFEFE"/>
                                </w:rPr>
                                <w:t xml:space="preserve">82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283"/>
                              <w:jc w:val="left"/>
                              <w:rPr/>
                            </w:pPr>
                            <w:hyperlink w:anchor="tANA">
                              <w:r>
                                <w:rPr>
                                  <w:rStyle w:val="InternetLink"/>
                                  <w:color w:val="FEFEFE"/>
                                </w:rPr>
                                <w:t xml:space="preserve">Annex A — Lucid Group, Inc. Amended and Restated 2021 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ANA">
                              <w:r>
                                <w:rPr>
                                  <w:rStyle w:val="InternetLink"/>
                                  <w:color w:val="FEFEFE"/>
                                </w:rPr>
                                <w:t xml:space="preserve">A-1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7921" w:type="dxa"/>
                            <w:tcBorders/>
                            <w:vAlign w:val="center"/>
                          </w:tcPr>
                          <w:p>
                            <w:pPr>
                              <w:pStyle w:val="TableContents"/>
                              <w:bidi w:val="0"/>
                              <w:spacing w:before="0" w:after="0"/>
                              <w:jc w:val="left"/>
                              <w:rPr/>
                            </w:pPr>
                            <w:hyperlink w:anchor="tANB">
                              <w:r>
                                <w:rPr>
                                  <w:rStyle w:val="InternetLink"/>
                                  <w:color w:val="FEFEFE"/>
                                </w:rPr>
                                <w:t xml:space="preserve">Annex B — GAAP Reconciliation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ANB">
                              <w:r>
                                <w:rPr>
                                  <w:rStyle w:val="InternetLink"/>
                                  <w:color w:val="FEFEFE"/>
                                </w:rPr>
                                <w:t>B-1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Questions and Answers About These Proxy Materials and Voting</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190" w:before="40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Why did I receive a one-page notice in the mail regarding the internet availability of proxy materials instead of a full set of proxy materials?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Pursuant to the “Notice and Access” rules adopted by the Securities and Exchange Commission (the “SEC”), we have elected to provide access to our proxy materials over the internet. Accordingly, we are sending an Important Notice Regarding the Availability of Proxy Materials (the “Proxy Availability Notice”) to our stockholders of record as of April 7, 2025. All stockholders will have the ability to access the proxy materials on the website referred to in the Proxy Availability Notice free of charge or request to receive a printed set of the proxy materials for the Annual Meeting. Instructions on how to access the proxy materials over the internet or to request a printed copy may be found in the Proxy Availability Notice. We encourage stockholders to take advantage of the availability of the proxy materials online to help reduce the environmental impact of our annual meetings and reduce our printing and mailing costs.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expect that this Proxy Statement and the other proxy materials will be available to stockholders on or about April 24,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Why are you having a virtual Annual Meeting?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believe that a virtual Annual Meeting allows for participation by a broader group of stockholders and reduces the costs to stockholders associated with holding an in-person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58"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How can I attend the virtual Annual Meeting?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Annual Meeting will be held on June 5, 2025 at 9:00 a.m. (Pacific Time) via live webcast.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Only stockholders of record and beneficial owners of shares of our Class A common stock, par value $0.0001 per share (the “Common Stock”), together with stockholders of record and beneficial owners of shares of our Series A convertible preferred stock, par value $0.0001 per share (the “Series A Convertible Preferred Stock”), and stockholders of record and beneficial owners of shares of our Series B convertible preferred stock, par value $0.0001 per share (the “Series B Convertible Preferred Stock,” and together with the Series A Convertible Preferred Stock, the “Convertible Preferred Stock”) (who vote on an as converted to Common Stock basis), as of the close of business on April 7, 2025, the Record Date, may participate in the Annual Meeting, including voting and asking questions.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order to attend the Annual Meeting, you must register at www.proxydocs.com/LCID. Upon completing your registration, you will receive further instructions via email, including a unique link that will allow you access to the Annual Meeting and to vote and submit questions.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As part of the registration process, you must enter the control number located on your proxy card, voting instruction form, or Proxy Availability Notice. If you are a beneficial owner of shares registered in the name of a broker, bank or other nominee, you will also need to provide the registered name on your account and the name of your broker, bank or other nominee as part of the registration process. If you are having trouble registering online, please use the link “Having trouble registering” at the bottom of the registration page to access the FAQ or email DSMSupport@mediantonline.com. </w:t>
      </w:r>
    </w:p>
    <w:p>
      <w:pPr>
        <w:pStyle w:val="TextBody"/>
        <w:bidi w:val="0"/>
        <w:spacing w:lineRule="atLeast" w:line="22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Whether or not you plan to attend the Annual Meeting, we urge you to vote and submit your proxy in advance of the meeting by one of the methods described in these proxy materials.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58"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Can I ask questions at the virtual Annual Meeting?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Stockholders of record and beneficial owners of our Common Stock or Convertible Preferred Stock as of our Record Date who attend and participate in our virtual Annual Meeting will have an opportunity to submit questions live via the internet during a designated portion of the meeting. These stockholders may also submit a question in advance of the Annual Meeting by registering at www.proxydocs.com/LCID. In both cases, stockholders must have available their control number provided on their proxy card, voting instruction form, or Proxy Availability Notice.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58"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does it mean if I receive more than one Proxy Availability Notice?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 receive more than one Proxy Availability Notice, your shares may be registered at the same address but in more than one name or in different accounts. Please follow the voting instructions on each Proxy Availability Notice to ensure that all of your shares are voted.</w:t>
      </w:r>
      <w:r>
        <w:rPr>
          <w:rFonts w:ascii="Arial;Helvetica;sans-serif" w:hAnsi="Arial;Helvetica;sans-serif"/>
          <w:b w:val="false"/>
          <w:i w:val="false"/>
          <w:caps w:val="false"/>
          <w:smallCaps w:val="false"/>
          <w:color w:val="000000"/>
          <w:spacing w:val="4"/>
          <w:sz w:val="18"/>
        </w:rPr>
        <w:t xml:space="preserve">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Will I receive any other proxy materials by mail?</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may send you a proxy card, along with a Proxy Availability Notice, by mail on or after April 24,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Who can vote at the Annual Meeting?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Only stockholders of record of our Common Stock or Convertible Preferred Stock at the close of business on the Record Date of April 7, 2025 will be entitled to vote at the Annual Meeting. On the Record Date, there were 3,048,846,066 shares of Common Stock outstanding and entitled to vote, and 100,000 shares of Series A Convertible Preferred Stock and 75,000 shares of Series B Convertible Preferred Stock outstanding and entitled to vote, which are convertible, in the aggregate, into 486,199,982 shares of Common Stock. Accordingly, on the Record Date, the stockholders of our Common Stock and Convertible Preferred Stock are entitled to an aggregate of 3,535,046,048 votes in respect of such shares of Common Stock and Convertible Preferred Stock (on an as converted to Common Stock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Stockholder of Record: Shares Registered in Your Name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on April 7, 2025, your shares were registered directly in your name with our transfer agent, Equiniti Trust Company or on the Company’s stock ledger, then you are a stockholder of record. As a stockholder of record of Common Stock or Convertible Preferred Stock, you may vote at the Annual Meeting or vote by proxy.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Whether or not you plan to attend the Annual Meeting, we urge you to vote by proxy over the telephone or on the internet as instructed below (see “How do I vote?”) or complete, date, sign and return the proxy card mailed to you to ensure your vote is counted.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Beneficial Owner: Shares Registered in the Name of a Broker, Bank or Other Nominee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on April 7, 2025, your shares were held in an account at a brokerage firm, bank, dealer or other similar organization, but not directly in your name, then you are the beneficial owner of shares held in “street name” and the Proxy Availability Notice is being forwarded to you by the organization that holds your account.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You may attend and vote at the Annual Meeting by registering as instructed above (see “How can I attend the virtual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am I voting 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There are four matters scheduled for a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Election of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88">
                <wp:simplePos x="0" y="0"/>
                <wp:positionH relativeFrom="column">
                  <wp:align>left</wp:align>
                </wp:positionH>
                <wp:positionV relativeFrom="line">
                  <wp:align>top</wp:align>
                </wp:positionV>
                <wp:extent cx="114300" cy="525780"/>
                <wp:effectExtent l="0" t="0" r="0" b="0"/>
                <wp:wrapSquare wrapText="right"/>
                <wp:docPr id="31" name="Frame2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Ratification of the selection of KPMG LLP as our independent registered public accounting firm for the fiscal year ending December 31,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89">
                <wp:simplePos x="0" y="0"/>
                <wp:positionH relativeFrom="column">
                  <wp:align>left</wp:align>
                </wp:positionH>
                <wp:positionV relativeFrom="line">
                  <wp:align>top</wp:align>
                </wp:positionV>
                <wp:extent cx="114300" cy="525780"/>
                <wp:effectExtent l="0" t="0" r="0" b="0"/>
                <wp:wrapSquare wrapText="right"/>
                <wp:docPr id="32" name="Frame2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Approval, on an advisory basis, of the compensation of our named executive officers;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90">
                <wp:simplePos x="0" y="0"/>
                <wp:positionH relativeFrom="column">
                  <wp:align>left</wp:align>
                </wp:positionH>
                <wp:positionV relativeFrom="line">
                  <wp:align>top</wp:align>
                </wp:positionV>
                <wp:extent cx="114300" cy="525780"/>
                <wp:effectExtent l="0" t="0" r="0" b="0"/>
                <wp:wrapSquare wrapText="right"/>
                <wp:docPr id="33" name="Frame2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Approval of the amendment and restatement of the Lucid Group, Inc. Amended and Restated 2021 Stock Incentive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91">
                <wp:simplePos x="0" y="0"/>
                <wp:positionH relativeFrom="column">
                  <wp:align>left</wp:align>
                </wp:positionH>
                <wp:positionV relativeFrom="line">
                  <wp:align>top</wp:align>
                </wp:positionV>
                <wp:extent cx="114300" cy="525780"/>
                <wp:effectExtent l="0" t="0" r="0" b="0"/>
                <wp:wrapSquare wrapText="right"/>
                <wp:docPr id="34" name="Frame2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if another matter is properly brought before the Annual Meeting?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Our Board of Directors (the “Board” or the “Board of Directors”)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 </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is the Board’s voting recommendation?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recommends that you vote your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98" w:after="0"/>
        <w:ind w:left="90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18"/>
        </w:rPr>
        <w:t>For”</w:t>
      </w:r>
      <w:r>
        <w:rPr>
          <w:rFonts w:ascii="Arial;Helvetica;sans-serif" w:hAnsi="Arial;Helvetica;sans-serif"/>
          <w:b w:val="false"/>
          <w:i w:val="false"/>
          <w:caps w:val="false"/>
          <w:smallCaps w:val="false"/>
          <w:color w:val="000000"/>
          <w:sz w:val="18"/>
        </w:rPr>
        <w:t xml:space="preserve"> the election of each of the nominees for director;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92">
                <wp:simplePos x="0" y="0"/>
                <wp:positionH relativeFrom="column">
                  <wp:align>left</wp:align>
                </wp:positionH>
                <wp:positionV relativeFrom="line">
                  <wp:align>top</wp:align>
                </wp:positionV>
                <wp:extent cx="114300" cy="525780"/>
                <wp:effectExtent l="0" t="0" r="0" b="0"/>
                <wp:wrapSquare wrapText="right"/>
                <wp:docPr id="35" name="Frame2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90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18"/>
        </w:rPr>
        <w:t>For”</w:t>
      </w:r>
      <w:r>
        <w:rPr>
          <w:rFonts w:ascii="Arial;Helvetica;sans-serif" w:hAnsi="Arial;Helvetica;sans-serif"/>
          <w:b w:val="false"/>
          <w:i w:val="false"/>
          <w:caps w:val="false"/>
          <w:smallCaps w:val="false"/>
          <w:color w:val="000000"/>
          <w:sz w:val="18"/>
        </w:rPr>
        <w:t xml:space="preserve"> the ratification of KPMG LLP as our independent registered public accounting firm for the fiscal year ending December 31,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93">
                <wp:simplePos x="0" y="0"/>
                <wp:positionH relativeFrom="column">
                  <wp:align>left</wp:align>
                </wp:positionH>
                <wp:positionV relativeFrom="line">
                  <wp:align>top</wp:align>
                </wp:positionV>
                <wp:extent cx="114300" cy="525780"/>
                <wp:effectExtent l="0" t="0" r="0" b="0"/>
                <wp:wrapSquare wrapText="right"/>
                <wp:docPr id="36" name="Frame2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4.8pt;mso-wrap-distance-bottom:0pt;margin-top:4.8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90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18"/>
        </w:rPr>
        <w:t>For”</w:t>
      </w:r>
      <w:r>
        <w:rPr>
          <w:rFonts w:ascii="Arial;Helvetica;sans-serif" w:hAnsi="Arial;Helvetica;sans-serif"/>
          <w:b w:val="false"/>
          <w:i w:val="false"/>
          <w:caps w:val="false"/>
          <w:smallCaps w:val="false"/>
          <w:color w:val="000000"/>
          <w:sz w:val="18"/>
        </w:rPr>
        <w:t xml:space="preserve"> the approval, on an advisory basis, of the compensation of our named executive officers;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94">
                <wp:simplePos x="0" y="0"/>
                <wp:positionH relativeFrom="column">
                  <wp:align>left</wp:align>
                </wp:positionH>
                <wp:positionV relativeFrom="line">
                  <wp:align>top</wp:align>
                </wp:positionV>
                <wp:extent cx="114300" cy="525780"/>
                <wp:effectExtent l="0" t="0" r="0" b="0"/>
                <wp:wrapSquare wrapText="right"/>
                <wp:docPr id="37" name="Frame2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900" w:right="0" w:hanging="0"/>
        <w:jc w:val="left"/>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18"/>
        </w:rPr>
        <w:t>For”</w:t>
      </w:r>
      <w:r>
        <w:rPr>
          <w:rFonts w:ascii="Arial;Helvetica;sans-serif" w:hAnsi="Arial;Helvetica;sans-serif"/>
          <w:b w:val="false"/>
          <w:i w:val="false"/>
          <w:caps w:val="false"/>
          <w:smallCaps w:val="false"/>
          <w:color w:val="000000"/>
          <w:sz w:val="18"/>
        </w:rPr>
        <w:t xml:space="preserve"> the approval of the amendment and restatement of the Lucid Group, Inc. Amended and Restated 2021 Stock Incentive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95">
                <wp:simplePos x="0" y="0"/>
                <wp:positionH relativeFrom="column">
                  <wp:align>left</wp:align>
                </wp:positionH>
                <wp:positionV relativeFrom="line">
                  <wp:align>top</wp:align>
                </wp:positionV>
                <wp:extent cx="114300" cy="525780"/>
                <wp:effectExtent l="0" t="0" r="0" b="0"/>
                <wp:wrapSquare wrapText="right"/>
                <wp:docPr id="38" name="Frame2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4.8pt;mso-wrap-distance-bottom:0pt;margin-top:4.8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24"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How do I vote?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Regarding the election of directors, you may either vote “For” the nominees to the Board or you may “Withhold” your vote for any nominee you specify. For any other matters to be voted on, you may vote “For” or “Against,” or abstain from voting. The procedures for voting depend on whether your shares are registered in your name or are held by a bank, broker or other nominee.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37"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Stockholder of Record: Shares Registered in Your Name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 are a stockholder of record, you may vote at the Annual Meeting, or vote in advance of the Annual Meeting by proxy over the telephone, by proxy through the internet, or by proxy using a proxy card that you may request or that we may elect to deliver at a later time. Whether or not you plan to attend the Annual Meeting, we urge you to vote in advance by proxy to ensure your vote is counted. You may still attend the Annual Meeting and vote even if you have already voted by proxy. Voting at the Annual Meeting will have the effect of revoking your previously submitted proxy (see “Can I change my vote after submitting my proxy?” below).</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285"/>
        <w:gridCol w:w="109"/>
        <w:gridCol w:w="109"/>
        <w:gridCol w:w="7703"/>
        <w:gridCol w:w="155"/>
      </w:tblGrid>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By Internet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 xml:space="preserve">Go to www.proxypush.com/LCID, which is available 24 hours a day, 7 days a week until 11:59 p.m. (Eastern Time) on June 4, 2025, and follow the instructions on the proxy card or in the Proxy Availability Notice. If you vote via the internet, you do not need to return a proxy card by mail.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By Telephone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 xml:space="preserve">On a touch-tone telephone, dial toll-free 1-866-883-3382, which is available 24 hours a day, 7 days a week until 11:59 p.m. (Eastern Time) on June 4, 2025, and follow the instructions on the proxy card or in the Proxy Availability Notice. If you vote by telephone, you do not need to return a proxy card by mail.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By Mail</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 xml:space="preserve">Complete, sign, date, and mail your proxy card in the enclosed, postage-prepaid envelope. If mailed, your completed and signed proxy card must be received by June 4, 2025.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At the Virtual Meeting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You may also vote by attending the meeting virtually through www.proxydocs.com/LCID. To attend the Annual Meeting and vote your shares, you must register for the Annual Meeting and provide the control number located on your proxy card, voting instruction form, or Proxy Availability Notice. Even if you plan to attend and participate in our virtual Annual Meeting, we encourage you to vote over the internet or by telephone as described above, or by returning a proxy card following your request of paper copies. This will ensure that your vote will be counted if you are unable to, or later decide not to, participate in the virtual Annual Meeting.</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336"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Beneficial Owner: Shares Registered in the Name of Broker, Bank or Other Nominee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 are a beneficial owner of shares registered in the name of your broker, bank or other nominee, you should have received a Proxy Availability Notice containing voting instructions from that organization rather than from us. Simply follow the voting instructions in the Proxy Availability Notice to ensure that your vote is counted.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34"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How many votes do I have?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each matter to be voted upon, stockholders of Common Stock have one vote for each share of Common Stock they own as of April 7, 2025, the Record Date, and stockholders of Convertible Preferred Stock have one vote for each share of Common Stock in which the Convertible Preferred Stock they own as of the Record Date is convertible into.</w:t>
      </w:r>
      <w:r>
        <w:rPr>
          <w:rFonts w:ascii="Arial;Helvetica;sans-serif" w:hAnsi="Arial;Helvetica;sans-serif"/>
          <w:b w:val="false"/>
          <w:i w:val="false"/>
          <w:caps w:val="false"/>
          <w:smallCaps w:val="false"/>
          <w:color w:val="000000"/>
          <w:spacing w:val="4"/>
          <w:sz w:val="18"/>
        </w:rPr>
        <w:t xml:space="preserve">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Stockholders of Convertible Preferred Stock are entitled to notice of any meeting of stockholders and to vote together as a single class with stockholders of Common Stock, except as otherwise required by law. In addition, for each series of the Convertible Preferred Stock, as long as at least 10% of the aggregate number of shares of such series issued on their respective initial issue date remain outstanding, and subject to certain other conditions, stockholders of such series of Convertible Preferred Stock will be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the Common Stock), winding-up and dissolution, and decreases in the number of authorized shares of such series.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if I return a proxy card or otherwise vote but do not make specific choices?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 return a signed and dated proxy card or otherwise vote without marking voting selections, your shares will be voted, as applicable, “For” the election of each of the nominees for director, “For” the ratification of KPMG LLP as our independent registered public accounting firm, “For” the approval, on an advisory basis, of the compensation of our named executive officers, and “For” the amendment and restatement of the Lucid Group, Inc. Amended and Restated 2021 Stock Incentive Plan. If any other matter is properly presented at the Annual Meeting, your proxy holder (one of the individuals named on your proxy card) will vote your shares using his or her best judgment.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Will my vote be kept confidential?</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Proxies, ballots, and voting tabulations are handled on a confidential basis to protect your voting privacy. This information will not be disclosed, except as required by law.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Who is paying for this proxy solicitation?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accompanying proxy is solicited on behalf of the Board for use at the Annual Meeting. Accordingly, 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We may also reimburse brokerage firms, banks and other nominees for the cost of forwarding proxy materials to beneficial owners.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Can I change my vote after submitting my proxy?</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Yes. You can revoke your proxy at any time before the final vote at the Annual Meeting. If you are the record holder of your shares, you may revoke your proxy in any one of the following ways: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48"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 may grant a subsequent proxy via the internet or telephone.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96">
                <wp:simplePos x="0" y="0"/>
                <wp:positionH relativeFrom="column">
                  <wp:align>left</wp:align>
                </wp:positionH>
                <wp:positionV relativeFrom="line">
                  <wp:align>top</wp:align>
                </wp:positionV>
                <wp:extent cx="114300" cy="525780"/>
                <wp:effectExtent l="0" t="0" r="0" b="0"/>
                <wp:wrapSquare wrapText="right"/>
                <wp:docPr id="39" name="Frame2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 may submit another properly completed proxy card with a later date.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97">
                <wp:simplePos x="0" y="0"/>
                <wp:positionH relativeFrom="column">
                  <wp:align>left</wp:align>
                </wp:positionH>
                <wp:positionV relativeFrom="line">
                  <wp:align>top</wp:align>
                </wp:positionV>
                <wp:extent cx="114300" cy="525780"/>
                <wp:effectExtent l="0" t="0" r="0" b="0"/>
                <wp:wrapSquare wrapText="right"/>
                <wp:docPr id="40" name="Frame2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 may send a timely written notice that you are revoking your proxy to our Secretary at Lucid Group, Inc., 7373 Gateway Boulevard, Newark, CA 94560, which must be received by June 4,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98">
                <wp:simplePos x="0" y="0"/>
                <wp:positionH relativeFrom="column">
                  <wp:align>left</wp:align>
                </wp:positionH>
                <wp:positionV relativeFrom="line">
                  <wp:align>top</wp:align>
                </wp:positionV>
                <wp:extent cx="114300" cy="525780"/>
                <wp:effectExtent l="0" t="0" r="0" b="0"/>
                <wp:wrapSquare wrapText="right"/>
                <wp:docPr id="41" name="Frame3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 may attend and vote at the Annual Meeting. Simply attending the Annual Meeting will not, by itself, revoke your proxy.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99">
                <wp:simplePos x="0" y="0"/>
                <wp:positionH relativeFrom="column">
                  <wp:align>left</wp:align>
                </wp:positionH>
                <wp:positionV relativeFrom="line">
                  <wp:align>top</wp:align>
                </wp:positionV>
                <wp:extent cx="114300" cy="525780"/>
                <wp:effectExtent l="0" t="0" r="0" b="0"/>
                <wp:wrapSquare wrapText="right"/>
                <wp:docPr id="42" name="Frame3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Your most current proxy card or telephone or internet proxy is the one that is counted, so long as it is provided by the applicable deadline. If your shares are held by your broker, banker or other nominee, you should follow the instructions provided by your broker, bank or other nominee to change your vote or revoke your proxy or you may attend and vote at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19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When are stockholder proposals for inclusion in our Proxy Statement for next year’s annual meeting due?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Stockholders wishing to present proposals for inclusion in our Proxy Statement for the 2026 annual meeting of stockholders (the “2026 Annual Meeting”) pursuant to Rule 14a-8 of the Securities Exchange Act of 1934, as amended (the “Exchange Act”), must submit their proposals so that they are received by us at our principal executive offices no later than December 25, 2025. Proposals should be sent to our Secretary at Lucid Group, Inc., 7373 Gateway Boulevard, Newark, CA 94560.</w:t>
      </w:r>
      <w:r>
        <w:rPr>
          <w:rFonts w:ascii="Arial;Helvetica;sans-serif" w:hAnsi="Arial;Helvetica;sans-serif"/>
          <w:b w:val="false"/>
          <w:i w:val="false"/>
          <w:caps w:val="false"/>
          <w:smallCaps w:val="false"/>
          <w:color w:val="000000"/>
          <w:spacing w:val="4"/>
          <w:sz w:val="18"/>
        </w:rPr>
        <w:t xml:space="preserve"> </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When are other proposals and stockholder nominations for the 2025 Annual Meeting due?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With respect to proposals and nominations not to be included in our Proxy Statement pursuant to Rule 14a-8 of the Exchange Act, our second amended and restated bylaws (our “Bylaws”) provide that stockholders who wish to nominate a director or propose other business to be brought before the stockholders at an annual meeting of stockholders must notify our Secretary by a written notice, which notice must be received at our principal executive offices not less than 90 days nor more than 120 days prior to the first anniversary date of the immediately preceding year’s annual meeting of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Stockholders wishing to present nominations for director or proposals for consideration at the 2026 Annual Meeting under these provisions of our Bylaws (including nominations pursuant to Rule 14a-19 under the Exchange Act) must submit their nominations or proposals so that they are received at our principal executive offices not later than March 7, 2026 and not earlier than February 5, 2026 in order to be considered. In the event that the date of the 2026 Annual Meeting is advanced more than 30 days prior to such anniversary date or delayed more than 70 days after such anniversary date then to be timely such notice must be received by the Company no earlier than 120 days prior to the 2026 Annual Meeting and no later than the later of 70 days prior to the date of the 2026 Annual Meeting or the 10th day following the day on which public announcement of the date of the 2026 Annual Meeting was first made by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Nominations or proposals should be sent in writing to our Secretary at Lucid Group, Inc., 7373 Gateway Boulevard, Newark, CA 94560. A stockholder’s notice to nominate a director or bring any other business before the Annual Meeting or the 2026 Annual Meeting must set forth certain information, which is specified in our Bylaws. A complete copy of our Bylaws is included as Exhibit 3.2 to our Current Report on Form 8-K filed with the SEC on March 3,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How are votes counted?</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Votes will be counted by the inspector of election appointed for the Annual Meeting, who will separately count votes “For,” votes to “Withhold” and broker non-votes for the proposal to elect directors. With respect to other proposals, the inspector of election will separately count votes “For,” votes “Against,” votes to “Abstain” and broker non-votes (if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are “broker non-votes”?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Brokers, banks or other nominees have discretionary authority to vote shares for which their customers do not provide voting instructions on matters that are considered “routine.” On non-routine proposals, such “uninstructed shares” may not be voted by such brokers, banks or nominees. Only the proposal to ratify the selection of our independent registered public accounting firm is considered a “routine” matter for this purpose and brokers, banks or other nominees generally have discretionary voting power with respect to such proposal. Broker non-votes will be counted for the purpose of determining whether a quorum is present at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is the effect of abstentions, votes to withhold and broker non-votes?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caps w:val="false"/>
          <w:smallCaps w:val="false"/>
          <w:color w:val="000000"/>
          <w:sz w:val="18"/>
        </w:rPr>
        <w:t>Abstentions</w:t>
      </w:r>
      <w:r>
        <w:rPr>
          <w:rFonts w:ascii="Arial;Helvetica;sans-serif" w:hAnsi="Arial;Helvetica;sans-serif"/>
          <w:b w:val="false"/>
          <w:i w:val="false"/>
          <w:caps w:val="false"/>
          <w:smallCaps w:val="false"/>
          <w:color w:val="000000"/>
          <w:sz w:val="18"/>
        </w:rPr>
        <w:t>: Under Delaware law (under which we are incorporated), abstentions are counted as shares present and entitled to vote at the Annual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2: Ratification of the selection of the independent registered public accounting firm, Proposal No. 3: The approval, on an advisory basis, of the compensation of our named executive officers, or Proposal No. 4: The approval of the amendment and restatement of the Lucid Group, Inc. Amended and Restated 2021 Stock Incentive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caps w:val="false"/>
          <w:smallCaps w:val="false"/>
          <w:color w:val="000000"/>
          <w:sz w:val="18"/>
        </w:rPr>
        <w:t>Votes to Withhold</w:t>
      </w:r>
      <w:r>
        <w:rPr>
          <w:rFonts w:ascii="Arial;Helvetica;sans-serif" w:hAnsi="Arial;Helvetica;sans-serif"/>
          <w:b w:val="false"/>
          <w:i w:val="false"/>
          <w:caps w:val="false"/>
          <w:smallCaps w:val="false"/>
          <w:color w:val="000000"/>
          <w:sz w:val="18"/>
        </w:rPr>
        <w:t xml:space="preserve">: For Proposal No. 1: Election of Directors, you may vote “For” all or some of the nominees or you may “Withhold” your vote with respect to one or more of the nominees. The eight nominees who receive the most “For” votes cast by the holders of shares either present at the Annual Meeting or represented by proxy will be elected to our Board.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Broker non-votes will have no effect on Proposal No. 1: Election of Directors. In an uncontested election, “Withhold” votes will not prevent a candidate from being elected.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caps w:val="false"/>
          <w:smallCaps w:val="false"/>
          <w:color w:val="000000"/>
          <w:sz w:val="18"/>
        </w:rPr>
        <w:t>Broker Non-Votes</w:t>
      </w:r>
      <w:r>
        <w:rPr>
          <w:rFonts w:ascii="Arial;Helvetica;sans-serif" w:hAnsi="Arial;Helvetica;sans-serif"/>
          <w:b w:val="false"/>
          <w:i w:val="false"/>
          <w:caps w:val="false"/>
          <w:smallCaps w:val="false"/>
          <w:color w:val="000000"/>
          <w:sz w:val="18"/>
        </w:rPr>
        <w:t>: A “broker non-vote” occurs when a broker, bank or other nominee holding your shares in street name does not vote on a particular matter because you did not provide the broker, bank or other nominee voting instructions and the broker, bank or other nominee lacks discretionary voting authority to vote the shares because the matter is considered “non-routine.”. The “non-routine” matters on the agenda for the Annual Meeting are Proposal No. 1: Election of Directors, Proposal No. 3: The approval, on an advisory basis, of the compensation of our named executive officers and Proposal No. 4: The approval of the amendment and restatement of the Lucid Group, Inc. Amended and Restated 2021 Stock Incentive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Broker non-votes will be counted for the purpose of determining whether a quorum is present at the Annual Meeting. However, because broker non-votes are not considered under Delaware law to be entitled to vote at the Annual Meeting, they will have no effect on the outcome of the vote on Proposal No. 1: Election of Directors, Proposal No. 3: The approval, on an advisory basis, of the compensation of our named executive officers, and Proposal No. 4: The approval of the amendment and restatement of the Lucid Group, Inc. Amended and Restated 2021 Stock Incentive Plan. As a result, if you hold your shares in street name and you do not instruct your broker, bank or other nominee how to vote your shares on these proposals, no votes will be cast on your behalf on these proposals. Therefore, it is critical that you indicate your vote on this proposal if you want your vote to be counted.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proposal to ratify the selection of KPMG LLP as our independent registered public accounting firm for the fiscal year ending December 31, 2025 is considered a “routine” matter. Therefore, your broker, bank or other nominee will be able to vote on Proposal No. 2: Ratification of the Selection of the Independent Registered Public Accounting Firm even if it does not receive instructions from you, so long as it holds your shares in its name.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How many votes are needed to approve each proposal?</w:t>
      </w:r>
      <w:r>
        <w:rPr>
          <w:rFonts w:ascii="Arial;Helvetica;sans-serif" w:hAnsi="Arial;Helvetica;sans-serif"/>
          <w:b/>
          <w:i w:val="false"/>
          <w:caps w:val="false"/>
          <w:smallCaps w:val="false"/>
          <w:color w:val="000000"/>
          <w:spacing w:val="3"/>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49"/>
        <w:gridCol w:w="109"/>
        <w:gridCol w:w="109"/>
        <w:gridCol w:w="5544"/>
        <w:gridCol w:w="109"/>
        <w:gridCol w:w="109"/>
        <w:gridCol w:w="1206"/>
        <w:gridCol w:w="109"/>
        <w:gridCol w:w="109"/>
        <w:gridCol w:w="1552"/>
        <w:gridCol w:w="156"/>
      </w:tblGrid>
      <w:tr>
        <w:trPr/>
        <w:tc>
          <w:tcPr>
            <w:tcW w:w="124" w:type="dxa"/>
            <w:tcBorders/>
            <w:shd w:fill="000000" w:val="clear"/>
            <w:vAlign w:val="center"/>
          </w:tcPr>
          <w:p>
            <w:pPr>
              <w:pStyle w:val="TableContents"/>
              <w:bidi w:val="0"/>
              <w:spacing w:before="0" w:after="283"/>
              <w:jc w:val="left"/>
              <w:rPr/>
            </w:pPr>
            <w:r>
              <w:rPr/>
              <w:t>​</w:t>
            </w:r>
          </w:p>
        </w:tc>
        <w:tc>
          <w:tcPr>
            <w:tcW w:w="6011" w:type="dxa"/>
            <w:gridSpan w:val="4"/>
            <w:tcBorders/>
            <w:shd w:fill="000000" w:val="clear"/>
            <w:vAlign w:val="center"/>
          </w:tcPr>
          <w:p>
            <w:pPr>
              <w:pStyle w:val="TableContents"/>
              <w:bidi w:val="0"/>
              <w:spacing w:before="0" w:after="0"/>
              <w:jc w:val="left"/>
              <w:rPr/>
            </w:pPr>
            <w:r>
              <w:rPr/>
              <w:t xml:space="preserve">Proposal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06" w:type="dxa"/>
            <w:tcBorders/>
            <w:shd w:fill="000000" w:val="clear"/>
            <w:vAlign w:val="center"/>
          </w:tcPr>
          <w:p>
            <w:pPr>
              <w:pStyle w:val="TableContents"/>
              <w:bidi w:val="0"/>
              <w:spacing w:before="0" w:after="0"/>
              <w:jc w:val="left"/>
              <w:rPr/>
            </w:pPr>
            <w:r>
              <w:rPr/>
              <w:t xml:space="preserve">Vote Required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52" w:type="dxa"/>
            <w:tcBorders/>
            <w:shd w:fill="000000" w:val="clear"/>
            <w:vAlign w:val="center"/>
          </w:tcPr>
          <w:p>
            <w:pPr>
              <w:pStyle w:val="TableContents"/>
              <w:bidi w:val="0"/>
              <w:spacing w:before="0" w:after="283"/>
              <w:jc w:val="left"/>
              <w:rPr/>
            </w:pPr>
            <w:r>
              <w:rPr/>
              <w:t>Discretionary</w:t>
              <w:br/>
              <w:t xml:space="preserve">Voting Allowed?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9" w:type="dxa"/>
            <w:tcBorders>
              <w:bottom w:val="single" w:sz="6" w:space="0" w:color="000000"/>
            </w:tcBorders>
            <w:tcMar>
              <w:bottom w:w="138" w:type="dxa"/>
            </w:tcMar>
            <w:vAlign w:val="center"/>
          </w:tcPr>
          <w:p>
            <w:pPr>
              <w:pStyle w:val="TableContents"/>
              <w:bidi w:val="0"/>
              <w:spacing w:before="0" w:after="0"/>
              <w:jc w:val="left"/>
              <w:rPr>
                <w:b/>
                <w:sz w:val="22"/>
              </w:rPr>
            </w:pPr>
            <w:r>
              <w:rPr>
                <w:b/>
                <w:sz w:val="22"/>
              </w:rPr>
              <w:t xml:space="preserve">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44" w:type="dxa"/>
            <w:tcBorders>
              <w:bottom w:val="single" w:sz="6" w:space="0" w:color="000000"/>
            </w:tcBorders>
            <w:tcMar>
              <w:bottom w:w="138" w:type="dxa"/>
            </w:tcMar>
            <w:vAlign w:val="center"/>
          </w:tcPr>
          <w:p>
            <w:pPr>
              <w:pStyle w:val="TableContents"/>
              <w:bidi w:val="0"/>
              <w:spacing w:before="0" w:after="283"/>
              <w:jc w:val="left"/>
              <w:rPr/>
            </w:pPr>
            <w:r>
              <w:rPr/>
              <w:t xml:space="preserve">Election of Directors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6" w:type="dxa"/>
            <w:tcBorders>
              <w:bottom w:val="single" w:sz="6" w:space="0" w:color="000000"/>
            </w:tcBorders>
            <w:tcMar>
              <w:bottom w:w="138" w:type="dxa"/>
            </w:tcMar>
            <w:vAlign w:val="center"/>
          </w:tcPr>
          <w:p>
            <w:pPr>
              <w:pStyle w:val="TableContents"/>
              <w:bidi w:val="0"/>
              <w:spacing w:before="0" w:after="283"/>
              <w:jc w:val="left"/>
              <w:rPr/>
            </w:pPr>
            <w:r>
              <w:rPr/>
              <w:t xml:space="preserve">Plurality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2" w:type="dxa"/>
            <w:tcBorders>
              <w:bottom w:val="single" w:sz="6" w:space="0" w:color="000000"/>
            </w:tcBorders>
            <w:tcMar>
              <w:bottom w:w="138" w:type="dxa"/>
            </w:tcMar>
            <w:vAlign w:val="center"/>
          </w:tcPr>
          <w:p>
            <w:pPr>
              <w:pStyle w:val="TableContents"/>
              <w:bidi w:val="0"/>
              <w:spacing w:before="0" w:after="283"/>
              <w:jc w:val="left"/>
              <w:rPr/>
            </w:pPr>
            <w:r>
              <w:rPr/>
              <w:t xml:space="preserve">No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9" w:type="dxa"/>
            <w:tcBorders>
              <w:bottom w:val="single" w:sz="6" w:space="0" w:color="000000"/>
            </w:tcBorders>
            <w:tcMar>
              <w:bottom w:w="138" w:type="dxa"/>
            </w:tcMar>
            <w:vAlign w:val="center"/>
          </w:tcPr>
          <w:p>
            <w:pPr>
              <w:pStyle w:val="TableContents"/>
              <w:bidi w:val="0"/>
              <w:spacing w:before="0" w:after="0"/>
              <w:jc w:val="left"/>
              <w:rPr>
                <w:b/>
                <w:sz w:val="22"/>
              </w:rPr>
            </w:pPr>
            <w:r>
              <w:rPr>
                <w:b/>
                <w:sz w:val="22"/>
              </w:rPr>
              <w:t xml:space="preserve">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44" w:type="dxa"/>
            <w:tcBorders>
              <w:bottom w:val="single" w:sz="6" w:space="0" w:color="000000"/>
            </w:tcBorders>
            <w:tcMar>
              <w:bottom w:w="138" w:type="dxa"/>
            </w:tcMar>
            <w:vAlign w:val="center"/>
          </w:tcPr>
          <w:p>
            <w:pPr>
              <w:pStyle w:val="TableContents"/>
              <w:bidi w:val="0"/>
              <w:spacing w:before="0" w:after="283"/>
              <w:jc w:val="left"/>
              <w:rPr/>
            </w:pPr>
            <w:r>
              <w:rPr/>
              <w:t xml:space="preserve">Ratification of the Selection of the Independent Registered Public Accounting Firm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6" w:type="dxa"/>
            <w:tcBorders>
              <w:bottom w:val="single" w:sz="6" w:space="0" w:color="000000"/>
            </w:tcBorders>
            <w:tcMar>
              <w:bottom w:w="138" w:type="dxa"/>
            </w:tcMar>
            <w:vAlign w:val="center"/>
          </w:tcPr>
          <w:p>
            <w:pPr>
              <w:pStyle w:val="TableContents"/>
              <w:bidi w:val="0"/>
              <w:spacing w:before="0" w:after="0"/>
              <w:jc w:val="left"/>
              <w:rPr/>
            </w:pPr>
            <w:r>
              <w:rPr/>
              <w:t xml:space="preserve">Majority Cast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2" w:type="dxa"/>
            <w:tcBorders>
              <w:bottom w:val="single" w:sz="6" w:space="0" w:color="000000"/>
            </w:tcBorders>
            <w:tcMar>
              <w:bottom w:w="138" w:type="dxa"/>
            </w:tcMar>
            <w:vAlign w:val="center"/>
          </w:tcPr>
          <w:p>
            <w:pPr>
              <w:pStyle w:val="TableContents"/>
              <w:bidi w:val="0"/>
              <w:spacing w:before="0" w:after="283"/>
              <w:jc w:val="left"/>
              <w:rPr/>
            </w:pPr>
            <w:r>
              <w:rPr/>
              <w:t xml:space="preserve">Yes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9" w:type="dxa"/>
            <w:tcBorders>
              <w:bottom w:val="single" w:sz="6" w:space="0" w:color="000000"/>
            </w:tcBorders>
            <w:tcMar>
              <w:bottom w:w="138" w:type="dxa"/>
            </w:tcMar>
            <w:vAlign w:val="center"/>
          </w:tcPr>
          <w:p>
            <w:pPr>
              <w:pStyle w:val="TableContents"/>
              <w:bidi w:val="0"/>
              <w:spacing w:before="0" w:after="0"/>
              <w:jc w:val="left"/>
              <w:rPr>
                <w:b/>
                <w:sz w:val="22"/>
              </w:rPr>
            </w:pPr>
            <w:r>
              <w:rPr>
                <w:b/>
                <w:sz w:val="22"/>
              </w:rPr>
              <w:t xml:space="preserve">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44" w:type="dxa"/>
            <w:tcBorders>
              <w:bottom w:val="single" w:sz="6" w:space="0" w:color="000000"/>
            </w:tcBorders>
            <w:tcMar>
              <w:bottom w:w="138" w:type="dxa"/>
            </w:tcMar>
            <w:vAlign w:val="center"/>
          </w:tcPr>
          <w:p>
            <w:pPr>
              <w:pStyle w:val="TableContents"/>
              <w:bidi w:val="0"/>
              <w:spacing w:before="0" w:after="283"/>
              <w:jc w:val="left"/>
              <w:rPr/>
            </w:pPr>
            <w:r>
              <w:rPr/>
              <w:t xml:space="preserve">The approval, on an advisory basis, of the compensation of our named executive officers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6" w:type="dxa"/>
            <w:tcBorders>
              <w:bottom w:val="single" w:sz="6" w:space="0" w:color="000000"/>
            </w:tcBorders>
            <w:tcMar>
              <w:bottom w:w="138" w:type="dxa"/>
            </w:tcMar>
            <w:vAlign w:val="center"/>
          </w:tcPr>
          <w:p>
            <w:pPr>
              <w:pStyle w:val="TableContents"/>
              <w:bidi w:val="0"/>
              <w:spacing w:before="0" w:after="0"/>
              <w:jc w:val="left"/>
              <w:rPr/>
            </w:pPr>
            <w:r>
              <w:rPr/>
              <w:t xml:space="preserve">Majority Cast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2" w:type="dxa"/>
            <w:tcBorders>
              <w:bottom w:val="single" w:sz="6" w:space="0" w:color="000000"/>
            </w:tcBorders>
            <w:tcMar>
              <w:bottom w:w="138" w:type="dxa"/>
            </w:tcMar>
            <w:vAlign w:val="center"/>
          </w:tcPr>
          <w:p>
            <w:pPr>
              <w:pStyle w:val="TableContents"/>
              <w:bidi w:val="0"/>
              <w:spacing w:before="0" w:after="283"/>
              <w:jc w:val="left"/>
              <w:rPr/>
            </w:pPr>
            <w:r>
              <w:rPr/>
              <w:t xml:space="preserve">No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9" w:type="dxa"/>
            <w:tcBorders>
              <w:bottom w:val="single" w:sz="6" w:space="0" w:color="000000"/>
            </w:tcBorders>
            <w:tcMar>
              <w:bottom w:w="138" w:type="dxa"/>
            </w:tcMar>
            <w:vAlign w:val="center"/>
          </w:tcPr>
          <w:p>
            <w:pPr>
              <w:pStyle w:val="TableContents"/>
              <w:bidi w:val="0"/>
              <w:spacing w:before="0" w:after="0"/>
              <w:jc w:val="left"/>
              <w:rPr>
                <w:b/>
                <w:sz w:val="22"/>
              </w:rPr>
            </w:pPr>
            <w:r>
              <w:rPr>
                <w:b/>
                <w:sz w:val="22"/>
              </w:rPr>
              <w:t>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44" w:type="dxa"/>
            <w:tcBorders>
              <w:bottom w:val="single" w:sz="6" w:space="0" w:color="000000"/>
            </w:tcBorders>
            <w:tcMar>
              <w:bottom w:w="138" w:type="dxa"/>
            </w:tcMar>
            <w:vAlign w:val="center"/>
          </w:tcPr>
          <w:p>
            <w:pPr>
              <w:pStyle w:val="TableContents"/>
              <w:bidi w:val="0"/>
              <w:spacing w:lineRule="atLeast" w:line="180" w:before="0" w:after="0"/>
              <w:jc w:val="left"/>
              <w:rPr/>
            </w:pPr>
            <w:r>
              <w:rPr/>
              <w:t xml:space="preserve">The approval of the amendment and restatement of the Lucid Group, Inc. Amended and Restated 2021 Stock Incentive Plan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6" w:type="dxa"/>
            <w:tcBorders>
              <w:bottom w:val="single" w:sz="6" w:space="0" w:color="000000"/>
            </w:tcBorders>
            <w:tcMar>
              <w:bottom w:w="138" w:type="dxa"/>
            </w:tcMar>
            <w:vAlign w:val="center"/>
          </w:tcPr>
          <w:p>
            <w:pPr>
              <w:pStyle w:val="TableContents"/>
              <w:bidi w:val="0"/>
              <w:spacing w:before="0" w:after="0"/>
              <w:jc w:val="left"/>
              <w:rPr/>
            </w:pPr>
            <w:r>
              <w:rPr/>
              <w:t xml:space="preserve">Majority Cast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2" w:type="dxa"/>
            <w:tcBorders>
              <w:bottom w:val="single" w:sz="6" w:space="0" w:color="000000"/>
            </w:tcBorders>
            <w:tcMar>
              <w:bottom w:w="138" w:type="dxa"/>
            </w:tcMar>
            <w:vAlign w:val="center"/>
          </w:tcPr>
          <w:p>
            <w:pPr>
              <w:pStyle w:val="TableContents"/>
              <w:bidi w:val="0"/>
              <w:spacing w:before="0" w:after="283"/>
              <w:jc w:val="left"/>
              <w:rPr/>
            </w:pPr>
            <w:r>
              <w:rPr/>
              <w:t>No</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42"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“Plurality,” with regard to the election of directors, means that the eight nominees who receive the most “For” votes cast by the holders of shares either present at the Annual Meeting or represented by proxy will be elected to our Board. A “Majority Cast,” with regard to each of Proposal No.’s 2, 3 and 4 means that, to be approved, a majority of the votes cast on the proposal must be voted “For” the proposal.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Accordingly: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2"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Proposal No. 1:</w:t>
      </w:r>
      <w:r>
        <w:rPr>
          <w:rFonts w:ascii="Arial;Helvetica;sans-serif" w:hAnsi="Arial;Helvetica;sans-serif"/>
          <w:b w:val="false"/>
          <w:i w:val="false"/>
          <w:caps w:val="false"/>
          <w:smallCaps w:val="false"/>
          <w:color w:val="000000"/>
          <w:sz w:val="18"/>
        </w:rPr>
        <w:t xml:space="preserve"> For the election of directors, the eight nominees receiving the most “For” votes from the holders of shares present at the Annual Meeting or represented by proxy and entitled to vote on Proposal No. 1 will be elected as directors to hold office until the 2026 Annual Meeting. Only votes “For” or “Withheld” will affect the outcome. Broker non-votes will have no effect.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2870" distB="0" distL="0" distR="0" simplePos="0" locked="0" layoutInCell="1" allowOverlap="1" relativeHeight="100">
                <wp:simplePos x="0" y="0"/>
                <wp:positionH relativeFrom="column">
                  <wp:align>left</wp:align>
                </wp:positionH>
                <wp:positionV relativeFrom="line">
                  <wp:align>top</wp:align>
                </wp:positionV>
                <wp:extent cx="114300" cy="525780"/>
                <wp:effectExtent l="0" t="0" r="0" b="0"/>
                <wp:wrapSquare wrapText="right"/>
                <wp:docPr id="43" name="Frame3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Proposal No. 2:</w:t>
      </w:r>
      <w:r>
        <w:rPr>
          <w:rFonts w:ascii="Arial;Helvetica;sans-serif" w:hAnsi="Arial;Helvetica;sans-serif"/>
          <w:b w:val="false"/>
          <w:i w:val="false"/>
          <w:caps w:val="false"/>
          <w:smallCaps w:val="false"/>
          <w:color w:val="000000"/>
          <w:sz w:val="18"/>
        </w:rPr>
        <w:t xml:space="preserve"> To be approved, a majority of the total votes cast on Proposal No. 2 must be voted “For” the ratification of the selection of KPMG LLP as our independent registered public accounting firm for the fiscal year ending December 31, 2025. Broker non-votes are not applicable with respect to Proposal No. 2 as brokers generally have discretion to vote uninstructed shares on this proposal. Abstentions will have no effect.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2870" distB="0" distL="0" distR="0" simplePos="0" locked="0" layoutInCell="1" allowOverlap="1" relativeHeight="101">
                <wp:simplePos x="0" y="0"/>
                <wp:positionH relativeFrom="column">
                  <wp:align>left</wp:align>
                </wp:positionH>
                <wp:positionV relativeFrom="line">
                  <wp:align>top</wp:align>
                </wp:positionV>
                <wp:extent cx="114300" cy="525780"/>
                <wp:effectExtent l="0" t="0" r="0" b="0"/>
                <wp:wrapSquare wrapText="right"/>
                <wp:docPr id="44" name="Frame3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Proposal No. 3:</w:t>
      </w:r>
      <w:r>
        <w:rPr>
          <w:rFonts w:ascii="Arial;Helvetica;sans-serif" w:hAnsi="Arial;Helvetica;sans-serif"/>
          <w:b w:val="false"/>
          <w:i w:val="false"/>
          <w:caps w:val="false"/>
          <w:smallCaps w:val="false"/>
          <w:color w:val="000000"/>
          <w:sz w:val="18"/>
        </w:rPr>
        <w:t xml:space="preserve"> To be approved, a majority of the total votes cast on Proposal No. 3 must be voted “For” the approval, on an advisory basis, of the compensation of our named executive officers. Only votes “For” or “Against” will affect the outcome. Broker non-votes and abstentions will have no effect.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114300" cy="525780"/>
                <wp:effectExtent l="0" t="0" r="0" b="0"/>
                <wp:wrapSquare wrapText="right"/>
                <wp:docPr id="45" name="Frame3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Proposal No. 4:</w:t>
      </w:r>
      <w:r>
        <w:rPr>
          <w:rFonts w:ascii="Arial;Helvetica;sans-serif" w:hAnsi="Arial;Helvetica;sans-serif"/>
          <w:b w:val="false"/>
          <w:i w:val="false"/>
          <w:caps w:val="false"/>
          <w:smallCaps w:val="false"/>
          <w:color w:val="000000"/>
          <w:sz w:val="18"/>
        </w:rPr>
        <w:t xml:space="preserve"> To be approved, a majority of the total votes cast on Proposal No. 4 must be voted “For” the approval of the amendment and restatement of the Lucid Group, Inc. Amended and Restated 2021 Stock Incentive Plan. Only votes “For” or “Against” will affect the outcome. Broker non-votes and abstentions will have no effect.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03">
                <wp:simplePos x="0" y="0"/>
                <wp:positionH relativeFrom="column">
                  <wp:align>left</wp:align>
                </wp:positionH>
                <wp:positionV relativeFrom="line">
                  <wp:align>top</wp:align>
                </wp:positionV>
                <wp:extent cx="114300" cy="525780"/>
                <wp:effectExtent l="0" t="0" r="0" b="0"/>
                <wp:wrapSquare wrapText="right"/>
                <wp:docPr id="46" name="Frame3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None of the proposals, if approved, entitles stockholders to appraisal rights under Delaware law or our certificate of incorporation.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What is the quorum requirement?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an aggregate of 3,535,046,048 shares of Common Stock and Convertible Preferred Stock (on an as converted to Common Stock basis) outstanding and entitled to vote. Virtual attendance at our Annual Meeting constitutes “presence” for purposes of a quorum at the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Your shares will be counted toward the quorum only if you submit a valid proxy by mail, over the phone or through the internet (or one is submitted on your behalf by your broker, bank or other nominee) or if you vote at the Annual Meeting. Abstentions, votes to “Withhold” and broker non-votes will be counted toward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 If the adjournment is for more than 30 days, or if after that adjournment a new record date is fixed for the adjourned Annual Meeting, a notice of the adjourned Annual Meeting shall be given to each stockholder of record entitled to vote at the adjourned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How can I find out the results of the voting at the Annual Meeting?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the preliminary results within four business days after the Annual Meeting and file an additional Form 8-K to publish the final results within four business days after the final results are known to 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If you have any questions or need assistance in voting your shares, please write to Lucid Investor Relations at investor@lucidmotors.com.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Interest of Certain Persons in Matters to Be Acted Upon</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Employees and non-employee directors will be eligible to receive awards under the Lucid Group, Inc. Amended and Restated 2021 Stock Incentive Plan, including as amended and restated pursuant to Proposal No. 4. Accordingly, members of our Board (including as director nominees) and our executive officers have a substantial interest in the approval of the amendment and restatement of the Lucid Group, Inc. Amended and Restated 2021 Stock Incentive Plan. The tables below under “Outstanding Equity Awards at Fiscal Year-End” and “Director Compensation” provide information concerning all outstanding awards held by a named executive officer or director as of December 31, 2024, including, but not limited to, awards made under the Lucid Group, Inc. Amended and Restated 2021 Stock Incentive Plan.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Other than disclosed above, none of our directors, director nominees, or executive officers has any special interest in any matter to be voted upon other than election to the Board of Directors.</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EOD"/>
      <w:bookmarkEnd w:id="5"/>
      <w:r>
        <w:rPr>
          <w:rFonts w:ascii="calibri;arial;sans-serif" w:hAnsi="calibri;arial;sans-serif"/>
          <w:b w:val="false"/>
          <w:i w:val="false"/>
          <w:caps w:val="false"/>
          <w:smallCaps w:val="false"/>
          <w:color w:val="000000"/>
          <w:sz w:val="16"/>
        </w:rPr>
        <w:t xml:space="preserve">​ </w:t>
      </w:r>
    </w:p>
    <w:p>
      <w:pPr>
        <w:pStyle w:val="TextBody"/>
        <w:bidi w:val="0"/>
        <w:spacing w:before="40" w:after="283"/>
        <w:ind w:left="0" w:right="0" w:hanging="0"/>
        <w:jc w:val="right"/>
        <w:rPr>
          <w:caps w:val="false"/>
          <w:smallCaps w:val="false"/>
          <w:color w:val="000000"/>
        </w:rPr>
      </w:pPr>
      <w:r>
        <w:rPr>
          <w:caps w:val="false"/>
          <w:smallCaps w:val="false"/>
          <w:color w:val="000000"/>
        </w:rPr>
        <w:drawing>
          <wp:inline distT="0" distB="0" distL="0" distR="0">
            <wp:extent cx="8001000" cy="3152775"/>
            <wp:effectExtent l="0" t="0" r="0" b="0"/>
            <wp:docPr id="4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8" descr=""/>
                    <pic:cNvPicPr>
                      <a:picLocks noChangeAspect="1" noChangeArrowheads="1"/>
                    </pic:cNvPicPr>
                  </pic:nvPicPr>
                  <pic:blipFill>
                    <a:blip r:embed="rId13"/>
                    <a:stretch>
                      <a:fillRect/>
                    </a:stretch>
                  </pic:blipFill>
                  <pic:spPr bwMode="auto">
                    <a:xfrm>
                      <a:off x="0" y="0"/>
                      <a:ext cx="80010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200" w:before="2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Proposal No. 1</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440" w:before="48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Election of Directors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3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Board of Directors is currently composed of eight members. All directors are elected by the stockholders at each annual meeting to serve until the next annual meeting of stockholders. The current Board of Directors is comprised of Turqi Alnowaiser, Lisa M. Lambert, Andrew Liveris, Sherif Marakby, Nichelle Maynard-Elliott, Chabi Nouri, Ori Winitzer and Janet S. Wong. Mr. Marakby will not be standing for reelection at the Annual Meeting. The Board thanks Mr. Marakby for his years of valuable leadership and service to both the Company and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Nominating and Corporate Governance Committee of the Board has recommended, and the Board has approved, the nomination of Turqi Alnowaiser, Douglas Grimm, Lisa M. Lambert, Andrew Liveris, Nichelle Maynard-Elliott, Chabi Nouri, Ori Winitzer and Janet S. Wong, as directors for a one-year term expiring at the 2026 Annual Meeting and until their respective successors are duly elected and qualified, or, if sooner, until the director’s death, resignation or removal. Each of Mr. Alnowaiser, Ms. Lambert, Mr. Liveris, Ms. Maynard-Elliott, Ms. Nouri, Mr. Winitzer and Ms. Wong is currently a director of the Company. Directors are elected by a plurality of the votes of the holders of shares present or represented by proxy and entitled to vote on the election of directors. The eight nominees receiving the highest number of  “For” votes will be elected.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Proxies cannot be voted for a greater number of persons than the number of nominees named in this Proxy Statement. If any nominee should become unavailable to serve for any reason, it is intended that votes will be cast for a substitute nominee designated by the Nominating and Corporate Governance Committee and approved by the Board. We have no reason to believe that any nominee named will be unable to serve if elected.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Certain Stockholder Rights to Nominate Directors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Pursuant to the Investor Rights Agreement, dated as of February 22, 2021 and as amended from time to time, by and among the Company, Ayar Third Investment Company (“Ayar”) and certain other parties (the “Investor Rights Agreement”), Ayar has the right to nominate five directors to our Board of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Ayar’s right to nominate directors to our Board of Directors is subject to its (and its permitted transferees’) continued beneficial ownership of our Common Stock, including shares of Common Stock issuable from outstanding Convertible Preferred Stock, as compared to the Common Stock issued and outstanding as of the record date of each applicable annual or special meeting of stockholders at which directors are to be elected. If Ayar (or its permitted transferees) owns beneficially: (i) 50% or greater of the shares of our Common Stock issued and outstanding as of the record date of such annual or special meeting of stockholders, it has the right to nominate five directors; (ii) less than 50% but greater than or equal to 40% of the shares of our Common Stock issued and outstanding as of the record date of such annual or special meeting of stockholders, it has the right to nominate four directors; (iii) less than 40% but greater than or equal to 30% of the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shares of our Common Stock issued and outstanding as of the record date of such annual or special meeting of stockholders, it has the right to nominate three directors; (iv) less than 30% but greater than or equal to 20% of the shares of our Common Stock issued and outstanding as of the record date of such annual or special meeting of stockholders, it has the right to nominate two directors; (v) less than 20% but greater than or equal to 10% of the shares of our Common Stock issued and outstanding as of the record date of such annual or special meeting of stockholders, it has the right to nominate one director; (vi) less than 10% of the shares of our Common Stock issued and outstanding as of the record date of such annual or special meeting of stockholders, it will not have the right to nominate any directors pursuant to the Investor Rights Agreement. If the size of our Board is increased or decreased, the number of directors Ayar is entitled to nominate will be increased or decreased in proportion to such increase or decrease in the size of our Board, rounded down to the nearest whole number.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Further, for so long as Ayar beneficially owns twenty percent (20%) or greater of the shares of our Common Stock issued and outstanding, it has the right to designate the Chairman of our Board. In addition, for so long as Ayar beneficially owns shares of our Common Stock representing at least one-third (33 1∕3%) of the Common Stock then issued and outstanding, Ayar has the right to have at least one Ayar director appointed to serve on each committee of the Board. For additional information, please see the section entitled “Certain Relationships and Related Party Transactions.” In accordance with the Investor Rights Agreement, Turqi Alnowaiser, Andrew Liveris, Douglas Grimm, Nichelle Maynard-Elliott and Ori Winitzer were designated for nomination by Ayar to the Board of Directors and nominated by the Nominating and Corporate Governance Committee and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Nominees for Director</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names and ages as of the date of this Proxy Statement of the nominees, length of service with the Company, and Board committee memberships are set forth in the table below.</w:t>
      </w:r>
      <w:r>
        <w:rPr>
          <w:rFonts w:ascii="Arial;Helvetica;sans-serif" w:hAnsi="Arial;Helvetica;sans-serif"/>
          <w:b w:val="false"/>
          <w:i w:val="false"/>
          <w:caps w:val="false"/>
          <w:smallCaps w:val="false"/>
          <w:color w:val="000000"/>
          <w:spacing w:val="4"/>
          <w:sz w:val="18"/>
        </w:rPr>
        <w:t xml:space="preserve"> </w:t>
      </w:r>
    </w:p>
    <w:tbl>
      <w:tblPr>
        <w:tblW w:w="13425" w:type="dxa"/>
        <w:jc w:val="left"/>
        <w:tblInd w:w="720" w:type="dxa"/>
        <w:tblLayout w:type="fixed"/>
        <w:tblCellMar>
          <w:top w:w="0" w:type="dxa"/>
          <w:left w:w="0" w:type="dxa"/>
          <w:bottom w:w="0" w:type="dxa"/>
          <w:right w:w="0" w:type="dxa"/>
        </w:tblCellMar>
      </w:tblPr>
      <w:tblGrid>
        <w:gridCol w:w="124"/>
        <w:gridCol w:w="1606"/>
        <w:gridCol w:w="109"/>
        <w:gridCol w:w="109"/>
        <w:gridCol w:w="511"/>
        <w:gridCol w:w="109"/>
        <w:gridCol w:w="109"/>
        <w:gridCol w:w="886"/>
        <w:gridCol w:w="109"/>
        <w:gridCol w:w="109"/>
        <w:gridCol w:w="826"/>
        <w:gridCol w:w="109"/>
        <w:gridCol w:w="109"/>
        <w:gridCol w:w="1276"/>
        <w:gridCol w:w="109"/>
        <w:gridCol w:w="109"/>
        <w:gridCol w:w="1141"/>
        <w:gridCol w:w="109"/>
        <w:gridCol w:w="109"/>
        <w:gridCol w:w="1471"/>
        <w:gridCol w:w="109"/>
        <w:gridCol w:w="109"/>
        <w:gridCol w:w="1261"/>
        <w:gridCol w:w="109"/>
        <w:gridCol w:w="109"/>
        <w:gridCol w:w="1141"/>
        <w:gridCol w:w="109"/>
        <w:gridCol w:w="109"/>
        <w:gridCol w:w="1066"/>
        <w:gridCol w:w="154"/>
      </w:tblGrid>
      <w:tr>
        <w:trPr/>
        <w:tc>
          <w:tcPr>
            <w:tcW w:w="124" w:type="dxa"/>
            <w:tcBorders/>
            <w:shd w:fill="000000" w:val="clear"/>
            <w:vAlign w:val="center"/>
          </w:tcPr>
          <w:p>
            <w:pPr>
              <w:pStyle w:val="TableContents"/>
              <w:bidi w:val="0"/>
              <w:spacing w:before="0" w:after="283"/>
              <w:jc w:val="left"/>
              <w:rPr/>
            </w:pPr>
            <w:r>
              <w:rPr/>
              <w:t>​</w:t>
            </w:r>
          </w:p>
        </w:tc>
        <w:tc>
          <w:tcPr>
            <w:tcW w:w="160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11" w:type="dxa"/>
            <w:tcBorders/>
            <w:shd w:fill="000000" w:val="clear"/>
            <w:vAlign w:val="center"/>
          </w:tcPr>
          <w:p>
            <w:pPr>
              <w:pStyle w:val="TableContents"/>
              <w:bidi w:val="0"/>
              <w:spacing w:before="0" w:after="0"/>
              <w:jc w:val="left"/>
              <w:rPr/>
            </w:pPr>
            <w:r>
              <w:rPr/>
              <w:t xml:space="preserve">Age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before="0" w:after="283"/>
              <w:jc w:val="left"/>
              <w:rPr/>
            </w:pPr>
            <w:r>
              <w:rPr/>
              <w:t>Director</w:t>
              <w:br/>
              <w:t xml:space="preserve">Since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26" w:type="dxa"/>
            <w:tcBorders/>
            <w:shd w:fill="000000" w:val="clear"/>
            <w:vAlign w:val="center"/>
          </w:tcPr>
          <w:p>
            <w:pPr>
              <w:pStyle w:val="TableContents"/>
              <w:bidi w:val="0"/>
              <w:spacing w:before="0" w:after="283"/>
              <w:jc w:val="left"/>
              <w:rPr/>
            </w:pPr>
            <w:r>
              <w:rPr/>
              <w:t>Current</w:t>
              <w:br/>
              <w:t>Term</w:t>
              <w:br/>
              <w:t xml:space="preserve">Expires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6" w:type="dxa"/>
            <w:tcBorders/>
            <w:shd w:fill="000000" w:val="clear"/>
            <w:vAlign w:val="center"/>
          </w:tcPr>
          <w:p>
            <w:pPr>
              <w:pStyle w:val="TableContents"/>
              <w:bidi w:val="0"/>
              <w:spacing w:before="0" w:after="0"/>
              <w:jc w:val="left"/>
              <w:rPr/>
            </w:pPr>
            <w:r>
              <w:rPr/>
              <w:t xml:space="preserve">Independent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41" w:type="dxa"/>
            <w:tcBorders/>
            <w:shd w:fill="000000" w:val="clear"/>
            <w:vAlign w:val="center"/>
          </w:tcPr>
          <w:p>
            <w:pPr>
              <w:pStyle w:val="TableContents"/>
              <w:bidi w:val="0"/>
              <w:spacing w:before="0" w:after="283"/>
              <w:jc w:val="left"/>
              <w:rPr/>
            </w:pPr>
            <w:r>
              <w:rPr/>
              <w:t>Audit</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before="0" w:after="283"/>
              <w:jc w:val="left"/>
              <w:rPr/>
            </w:pPr>
            <w:r>
              <w:rPr/>
              <w:t>Compensation</w:t>
              <w:br/>
              <w:t>and</w:t>
              <w:br/>
              <w:t>Human</w:t>
              <w:br/>
              <w:t>Capital</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tcBorders/>
            <w:shd w:fill="000000" w:val="clear"/>
            <w:vAlign w:val="center"/>
          </w:tcPr>
          <w:p>
            <w:pPr>
              <w:pStyle w:val="TableContents"/>
              <w:bidi w:val="0"/>
              <w:spacing w:before="0" w:after="283"/>
              <w:jc w:val="left"/>
              <w:rPr/>
            </w:pPr>
            <w:r>
              <w:rPr/>
              <w:t>Nominating</w:t>
              <w:br/>
              <w:t>and</w:t>
              <w:br/>
              <w:t>Corporate</w:t>
              <w:br/>
              <w:t>Governance</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41" w:type="dxa"/>
            <w:tcBorders/>
            <w:shd w:fill="000000" w:val="clear"/>
            <w:vAlign w:val="center"/>
          </w:tcPr>
          <w:p>
            <w:pPr>
              <w:pStyle w:val="TableContents"/>
              <w:bidi w:val="0"/>
              <w:spacing w:before="0" w:after="283"/>
              <w:jc w:val="left"/>
              <w:rPr/>
            </w:pPr>
            <w:r>
              <w:rPr/>
              <w:t>Executive</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283"/>
              <w:jc w:val="left"/>
              <w:rPr/>
            </w:pPr>
            <w:r>
              <w:rPr/>
              <w:t xml:space="preserve">Public </w:t>
              <w:br/>
              <w:t xml:space="preserve">Company </w:t>
              <w:br/>
              <w:t xml:space="preserve">Boards </w:t>
              <w:br/>
              <w:t xml:space="preserve">(including </w:t>
              <w:br/>
              <w:t>Lucid)</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Turqi Alnowaiser*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48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2019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4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9" descr=""/>
                          <pic:cNvPicPr>
                            <a:picLocks noChangeAspect="1" noChangeArrowheads="1"/>
                          </pic:cNvPicPr>
                        </pic:nvPicPr>
                        <pic:blipFill>
                          <a:blip r:embed="rId14"/>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lineRule="atLeast" w:line="180" w:before="0" w:after="0"/>
              <w:jc w:val="left"/>
              <w:rPr/>
            </w:pPr>
            <w:r>
              <w:rPr/>
              <w:t>3</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Douglas Grimm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63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4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0" descr=""/>
                          <pic:cNvPicPr>
                            <a:picLocks noChangeAspect="1" noChangeArrowheads="1"/>
                          </pic:cNvPicPr>
                        </pic:nvPicPr>
                        <pic:blipFill>
                          <a:blip r:embed="rId15"/>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5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1" descr=""/>
                          <pic:cNvPicPr>
                            <a:picLocks noChangeAspect="1" noChangeArrowheads="1"/>
                          </pic:cNvPicPr>
                        </pic:nvPicPr>
                        <pic:blipFill>
                          <a:blip r:embed="rId16"/>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lineRule="atLeast" w:line="180" w:before="0" w:after="0"/>
              <w:jc w:val="left"/>
              <w:rPr/>
            </w:pPr>
            <w:r>
              <w:rPr/>
              <w:t>2</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Lisa M. Lambert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57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5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2" descr=""/>
                          <pic:cNvPicPr>
                            <a:picLocks noChangeAspect="1" noChangeArrowheads="1"/>
                          </pic:cNvPicPr>
                        </pic:nvPicPr>
                        <pic:blipFill>
                          <a:blip r:embed="rId17"/>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5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3" descr=""/>
                          <pic:cNvPicPr>
                            <a:picLocks noChangeAspect="1" noChangeArrowheads="1"/>
                          </pic:cNvPicPr>
                        </pic:nvPicPr>
                        <pic:blipFill>
                          <a:blip r:embed="rId18"/>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lineRule="atLeast" w:line="180" w:before="0" w:after="0"/>
              <w:jc w:val="left"/>
              <w:rPr/>
            </w:pPr>
            <w:r>
              <w:rPr/>
              <w:t>3</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Andrew Liveris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70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2019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104775"/>
                  <wp:effectExtent l="0" t="0" r="0" b="0"/>
                  <wp:docPr id="5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4" descr=""/>
                          <pic:cNvPicPr>
                            <a:picLocks noChangeAspect="1" noChangeArrowheads="1"/>
                          </pic:cNvPicPr>
                        </pic:nvPicPr>
                        <pic:blipFill>
                          <a:blip r:embed="rId19"/>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90" w:type="dxa"/>
            </w:tcMar>
            <w:vAlign w:val="center"/>
          </w:tcPr>
          <w:p>
            <w:pPr>
              <w:pStyle w:val="TableContents"/>
              <w:bidi w:val="0"/>
              <w:spacing w:before="0" w:after="0"/>
              <w:jc w:val="left"/>
              <w:rPr/>
            </w:pPr>
            <w:r>
              <w:rPr/>
              <w:drawing>
                <wp:inline distT="0" distB="0" distL="0" distR="0">
                  <wp:extent cx="85725" cy="104775"/>
                  <wp:effectExtent l="0" t="0" r="0" b="0"/>
                  <wp:docPr id="5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5" descr=""/>
                          <pic:cNvPicPr>
                            <a:picLocks noChangeAspect="1" noChangeArrowheads="1"/>
                          </pic:cNvPicPr>
                        </pic:nvPicPr>
                        <pic:blipFill>
                          <a:blip r:embed="rId20"/>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1" w:type="dxa"/>
            </w:tcMar>
            <w:vAlign w:val="center"/>
          </w:tcPr>
          <w:p>
            <w:pPr>
              <w:pStyle w:val="TableContents"/>
              <w:bidi w:val="0"/>
              <w:spacing w:lineRule="atLeast" w:line="180" w:before="0" w:after="0"/>
              <w:jc w:val="left"/>
              <w:rPr/>
            </w:pPr>
            <w:r>
              <w:rPr/>
              <w:t>4</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Nichelle Maynard-Elliott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56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2021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1"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104775"/>
                  <wp:effectExtent l="0" t="0" r="0" b="0"/>
                  <wp:docPr id="5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6" descr=""/>
                          <pic:cNvPicPr>
                            <a:picLocks noChangeAspect="1" noChangeArrowheads="1"/>
                          </pic:cNvPicPr>
                        </pic:nvPicPr>
                        <pic:blipFill>
                          <a:blip r:embed="rId21"/>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104775"/>
                  <wp:effectExtent l="0" t="0" r="0" b="0"/>
                  <wp:docPr id="5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7" descr=""/>
                          <pic:cNvPicPr>
                            <a:picLocks noChangeAspect="1" noChangeArrowheads="1"/>
                          </pic:cNvPicPr>
                        </pic:nvPicPr>
                        <pic:blipFill>
                          <a:blip r:embed="rId22"/>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104775"/>
                  <wp:effectExtent l="0" t="0" r="0" b="0"/>
                  <wp:docPr id="5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8" descr=""/>
                          <pic:cNvPicPr>
                            <a:picLocks noChangeAspect="1" noChangeArrowheads="1"/>
                          </pic:cNvPicPr>
                        </pic:nvPicPr>
                        <pic:blipFill>
                          <a:blip r:embed="rId23"/>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104775"/>
                  <wp:effectExtent l="0" t="0" r="0" b="0"/>
                  <wp:docPr id="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9" descr=""/>
                          <pic:cNvPicPr>
                            <a:picLocks noChangeAspect="1" noChangeArrowheads="1"/>
                          </pic:cNvPicPr>
                        </pic:nvPicPr>
                        <pic:blipFill>
                          <a:blip r:embed="rId24"/>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1" w:type="dxa"/>
            </w:tcMar>
            <w:vAlign w:val="center"/>
          </w:tcPr>
          <w:p>
            <w:pPr>
              <w:pStyle w:val="TableContents"/>
              <w:bidi w:val="0"/>
              <w:spacing w:lineRule="atLeast" w:line="180" w:before="0" w:after="0"/>
              <w:jc w:val="left"/>
              <w:rPr/>
            </w:pPr>
            <w:r>
              <w:rPr/>
              <w:t>2</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Chabi Nouri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51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25"/>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26"/>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lineRule="atLeast" w:line="180" w:before="0" w:after="0"/>
              <w:jc w:val="left"/>
              <w:rPr/>
            </w:pPr>
            <w:r>
              <w:rPr/>
              <w:t>2</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Ori Winitzer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49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27"/>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6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3" descr=""/>
                          <pic:cNvPicPr>
                            <a:picLocks noChangeAspect="1" noChangeArrowheads="1"/>
                          </pic:cNvPicPr>
                        </pic:nvPicPr>
                        <pic:blipFill>
                          <a:blip r:embed="rId28"/>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6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4" descr=""/>
                          <pic:cNvPicPr>
                            <a:picLocks noChangeAspect="1" noChangeArrowheads="1"/>
                          </pic:cNvPicPr>
                        </pic:nvPicPr>
                        <pic:blipFill>
                          <a:blip r:embed="rId29"/>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lineRule="atLeast" w:line="180" w:before="0" w:after="0"/>
              <w:jc w:val="left"/>
              <w:rPr/>
            </w:pPr>
            <w:r>
              <w:rPr/>
              <w:t>1</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Janet S. Wong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66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8" w:type="dxa"/>
            </w:tcMar>
            <w:vAlign w:val="center"/>
          </w:tcPr>
          <w:p>
            <w:pPr>
              <w:pStyle w:val="TableContents"/>
              <w:bidi w:val="0"/>
              <w:spacing w:lineRule="atLeast" w:line="180" w:before="0" w:after="0"/>
              <w:jc w:val="left"/>
              <w:rPr/>
            </w:pPr>
            <w:r>
              <w:rPr/>
              <w:t xml:space="preserve">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left"/>
              <w:rPr/>
            </w:pPr>
            <w:r>
              <w:rPr/>
              <w:drawing>
                <wp:inline distT="0" distB="0" distL="0" distR="0">
                  <wp:extent cx="85725" cy="104775"/>
                  <wp:effectExtent l="0" t="0" r="0" b="0"/>
                  <wp:docPr id="6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5" descr=""/>
                          <pic:cNvPicPr>
                            <a:picLocks noChangeAspect="1" noChangeArrowheads="1"/>
                          </pic:cNvPicPr>
                        </pic:nvPicPr>
                        <pic:blipFill>
                          <a:blip r:embed="rId30"/>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lineRule="atLeast" w:line="180" w:before="0" w:after="0"/>
              <w:jc w:val="left"/>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lineRule="atLeast" w:line="180" w:before="0" w:after="0"/>
              <w:jc w:val="left"/>
              <w:rPr/>
            </w:pPr>
            <w:r>
              <w:rPr/>
              <w:t>2</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00"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Chairman of the Board </w:t>
      </w:r>
      <w:r>
        <mc:AlternateContent>
          <mc:Choice Requires="wps">
            <w:drawing>
              <wp:anchor behindDoc="0" distT="215900" distB="0" distL="0" distR="0" simplePos="0" locked="0" layoutInCell="1" allowOverlap="1" relativeHeight="104">
                <wp:simplePos x="0" y="0"/>
                <wp:positionH relativeFrom="column">
                  <wp:align>left</wp:align>
                </wp:positionH>
                <wp:positionV relativeFrom="line">
                  <wp:align>top</wp:align>
                </wp:positionV>
                <wp:extent cx="50800" cy="180340"/>
                <wp:effectExtent l="0" t="0" r="0" b="0"/>
                <wp:wrapSquare wrapText="right"/>
                <wp:docPr id="65" name="Frame36"/>
                <a:graphic xmlns:a="http://schemas.openxmlformats.org/drawingml/2006/main">
                  <a:graphicData uri="http://schemas.microsoft.com/office/word/2010/wordprocessingShape">
                    <wps:wsp>
                      <wps:cNvSpPr txBox="1"/>
                      <wps:spPr>
                        <a:xfrm>
                          <a:off x="0" y="0"/>
                          <a:ext cx="50800" cy="180340"/>
                        </a:xfrm>
                        <a:prstGeom prst="rect"/>
                        <a:solidFill>
                          <a:srgbClr val="FFFFFF"/>
                        </a:solidFill>
                      </wps:spPr>
                      <wps:txbx>
                        <w:txbxContent>
                          <w:p>
                            <w:pPr>
                              <w:pStyle w:val="TextBody"/>
                              <w:bidi w:val="0"/>
                              <w:spacing w:lineRule="atLeast" w:line="142" w:before="0" w:after="283"/>
                              <w:jc w:val="left"/>
                              <w:rPr>
                                <w:sz w:val="12"/>
                              </w:rPr>
                            </w:pPr>
                            <w:r>
                              <w:rPr>
                                <w:sz w:val="12"/>
                              </w:rPr>
                              <w:t>*</w:t>
                              <w:br/>
                            </w:r>
                          </w:p>
                        </w:txbxContent>
                      </wps:txbx>
                      <wps:bodyPr anchor="t" lIns="0" tIns="0" rIns="0" bIns="0">
                        <a:noAutofit/>
                      </wps:bodyPr>
                    </wps:wsp>
                  </a:graphicData>
                </a:graphic>
              </wp:anchor>
            </w:drawing>
          </mc:Choice>
          <mc:Fallback>
            <w:pict>
              <v:rect style="position:absolute;rotation:-0;width:4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12"/>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brief biography of each nominee is set forth below, which includes information, as of the date of this Proxy Statement, regarding specific and particular experience, qualifications, attributes or skills of each nominee that led the Nominating and Corporate Governance Committee and the Board to believe that the nominee should serve on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0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Director Nominees</w:t>
      </w:r>
      <w:r>
        <w:rPr>
          <w:rFonts w:ascii="Arial;Helvetica;sans-serif" w:hAnsi="Arial;Helvetica;sans-serif"/>
          <w:b/>
          <w:i w:val="false"/>
          <w:caps w:val="false"/>
          <w:smallCaps w:val="false"/>
          <w:color w:val="000000"/>
          <w:spacing w:val="3"/>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42"/>
        <w:gridCol w:w="109"/>
        <w:gridCol w:w="109"/>
        <w:gridCol w:w="6446"/>
        <w:gridCol w:w="155"/>
      </w:tblGrid>
      <w:tr>
        <w:trPr/>
        <w:tc>
          <w:tcPr>
            <w:tcW w:w="124" w:type="dxa"/>
            <w:tcBorders/>
            <w:vAlign w:val="center"/>
          </w:tcPr>
          <w:p>
            <w:pPr>
              <w:pStyle w:val="TableContents"/>
              <w:bidi w:val="0"/>
              <w:spacing w:before="0" w:after="283"/>
              <w:jc w:val="left"/>
              <w:rPr/>
            </w:pPr>
            <w:r>
              <w:rPr/>
              <w:t>​</w:t>
            </w:r>
          </w:p>
        </w:tc>
        <w:tc>
          <w:tcPr>
            <w:tcW w:w="2542" w:type="dxa"/>
            <w:tcBorders/>
            <w:vAlign w:val="center"/>
          </w:tcPr>
          <w:p>
            <w:pPr>
              <w:pStyle w:val="TableContents"/>
              <w:bidi w:val="0"/>
              <w:spacing w:before="0" w:after="0"/>
              <w:jc w:val="left"/>
              <w:rPr/>
            </w:pPr>
            <w:r>
              <w:rPr/>
              <w:drawing>
                <wp:inline distT="0" distB="0" distL="0" distR="0">
                  <wp:extent cx="1514475" cy="151447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31"/>
                          <a:stretch>
                            <a:fillRect/>
                          </a:stretch>
                        </pic:blipFill>
                        <pic:spPr bwMode="auto">
                          <a:xfrm>
                            <a:off x="0" y="0"/>
                            <a:ext cx="1514475" cy="15144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Turqi Alnowaiser</w:t>
            </w:r>
          </w:p>
          <w:p>
            <w:pPr>
              <w:pStyle w:val="TableContents"/>
              <w:bidi w:val="0"/>
              <w:spacing w:lineRule="atLeast" w:line="180" w:before="180" w:after="283"/>
              <w:jc w:val="left"/>
              <w:rPr>
                <w:sz w:val="16"/>
              </w:rPr>
            </w:pPr>
            <w:r>
              <w:rPr>
                <w:sz w:val="16"/>
              </w:rPr>
              <w:t>Chairman of the Lucid Board of Directors</w:t>
            </w:r>
          </w:p>
          <w:p>
            <w:pPr>
              <w:pStyle w:val="TableContents"/>
              <w:bidi w:val="0"/>
              <w:spacing w:lineRule="atLeast" w:line="180" w:before="180" w:after="283"/>
              <w:jc w:val="left"/>
              <w:rPr>
                <w:sz w:val="16"/>
              </w:rPr>
            </w:pPr>
            <w:r>
              <w:rPr>
                <w:sz w:val="16"/>
              </w:rPr>
              <w:t>Age: 48</w:t>
              <w:br/>
              <w:t xml:space="preserve">Director Since: 2019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46" w:type="dxa"/>
            <w:tcBorders/>
            <w:vAlign w:val="center"/>
          </w:tcPr>
          <w:p>
            <w:pPr>
              <w:pStyle w:val="TableContents"/>
              <w:bidi w:val="0"/>
              <w:spacing w:lineRule="atLeast" w:line="190" w:before="0" w:after="0"/>
              <w:jc w:val="left"/>
              <w:rPr/>
            </w:pPr>
            <w:r>
              <w:rPr>
                <w:b/>
              </w:rPr>
              <w:t>Turqi Alnowaiser</w:t>
            </w:r>
            <w:r>
              <w:rPr/>
              <w:t xml:space="preserve"> has served as a member of our Board of Directors since April 2019 and as Chairman of our Board since April 2023. Mr. Alnowaiser has served as Deputy Governor and Head of the International Investments Division at the Public Investment Fund of the Kingdom of Saudi Arabia, one of the largest sovereign wealth funds in the world, since June 2021, and has served as Head of International Investments at the Public Investment Fund since October 2016.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Alnowaiser has served on the board of directors of Uber Technologies, Inc., a technology platform that uses massive network to power movement from point A to point B, since November 2023 and Hapag-Lloyd AG, an international shipping and container transportation company, since February 2018. Mr. Alnowaiser holds a B.A. in International Business from King Saud University and an M.B.A. from the University of San Francisco.</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Mr. Alnowaiser is qualified to serve as a director due to his extensive investing experience, his leading global enterprises, and his experience in overseeing Lucid’s growth as Chairman of our Board of Directors.</w:t>
            </w:r>
          </w:p>
        </w:tc>
        <w:tc>
          <w:tcPr>
            <w:tcW w:w="155" w:type="dxa"/>
            <w:tcBorders/>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54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44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42" w:type="dxa"/>
            <w:tcBorders/>
            <w:vAlign w:val="center"/>
          </w:tcPr>
          <w:p>
            <w:pPr>
              <w:pStyle w:val="TableContents"/>
              <w:bidi w:val="0"/>
              <w:spacing w:before="0" w:after="0"/>
              <w:jc w:val="left"/>
              <w:rPr/>
            </w:pPr>
            <w:r>
              <w:rPr/>
              <w:drawing>
                <wp:inline distT="0" distB="0" distL="0" distR="0">
                  <wp:extent cx="1552575" cy="155257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32"/>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Douglas Grimm</w:t>
            </w:r>
          </w:p>
          <w:p>
            <w:pPr>
              <w:pStyle w:val="TableContents"/>
              <w:bidi w:val="0"/>
              <w:spacing w:lineRule="atLeast" w:line="180" w:before="180" w:after="283"/>
              <w:jc w:val="left"/>
              <w:rPr>
                <w:sz w:val="16"/>
              </w:rPr>
            </w:pPr>
            <w:r>
              <w:rPr>
                <w:sz w:val="16"/>
              </w:rPr>
              <w:t>Director Nominee</w:t>
            </w:r>
          </w:p>
          <w:p>
            <w:pPr>
              <w:pStyle w:val="TableContents"/>
              <w:bidi w:val="0"/>
              <w:spacing w:lineRule="atLeast" w:line="180" w:before="180" w:after="283"/>
              <w:jc w:val="left"/>
              <w:rPr>
                <w:sz w:val="16"/>
              </w:rPr>
            </w:pPr>
            <w:r>
              <w:rPr>
                <w:sz w:val="16"/>
              </w:rPr>
              <w:t xml:space="preserve">Age: 63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46" w:type="dxa"/>
            <w:tcBorders/>
            <w:vAlign w:val="center"/>
          </w:tcPr>
          <w:p>
            <w:pPr>
              <w:pStyle w:val="TableContents"/>
              <w:bidi w:val="0"/>
              <w:spacing w:lineRule="atLeast" w:line="190" w:before="0" w:after="0"/>
              <w:jc w:val="left"/>
              <w:rPr/>
            </w:pPr>
            <w:r>
              <w:rPr>
                <w:b/>
              </w:rPr>
              <w:t>Douglas Grimm</w:t>
            </w:r>
            <w:r>
              <w:rPr/>
              <w:t xml:space="preserve"> has served as the Chief Executive Officer of V-to-X, LLC, which is focused on advising and investing in the mobility sector, since April 2017. From December 2015 to April 2017, Mr. Grimm served as President and Chief Operating Officer of Metaldyne Performance Group, Inc., a global provider of components for use in vehicle engine, transmission, powertrain and safety systems. Previously, from January 2008, Mr. Grimm co-founded and served as Chairman, President, and CEO of Grede Holdings LLC and its predecessor, Citation Corporation, and from August 2014, he held the position of Co-President during the merger of Grede Holdings LLC, HHI Group Holdings, and Metaldyne LLC, all of which were prominent automotive suppliers. Prior to that, from 2006 to 2008, Mr. Grimm served as Vice President — Global Ford, Materials Management, Powertrain Electronics &amp; Fuel Operations at Visteon Corporation, a global automotive electronics supplier. Before Visteon Corporation, from 2001 to 2006, Mr. Grimm served as Vice President at Metaldyne LLC in various executive roles, including Commercial Operations, General Manager of Forging and Casting Operations, overseeing global purchasing and quality. Before Metaldyne, from 1994 to 2001, Mr. Grimm was with Dana Corporation, a supplier of fully integrated drivetrain and electrified propulsion systems for passenger vehicles, serving in several executive positions, including Vice President — Global Strategic Sourcing. Prior to that, he spent 10 years at Chrysler Corporation in progressively responsible management roles. Mr. Grimm serves as Chairman of the Board of Blue Bird Corporation, a manufacturer of school buses, and Electrical Components International, Inc., a supplier of electrical distribution systems, control box assemblies and other electrical components, and director of Lumileds, an automative lighting company, and Pangea Corporation, an automative leather supplier. Mr. Grimm holds a B.A. degree in Economics and Management from Hiram College, and an M.B.A. degree from the University of Detroit. </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Mr. Grimm has been selected to serve on our board of directors based on his extensive executive experience in the automotive industry.</w:t>
            </w:r>
          </w:p>
        </w:tc>
        <w:tc>
          <w:tcPr>
            <w:tcW w:w="155" w:type="dxa"/>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32"/>
        <w:gridCol w:w="109"/>
        <w:gridCol w:w="109"/>
        <w:gridCol w:w="6456"/>
        <w:gridCol w:w="155"/>
      </w:tblGrid>
      <w:tr>
        <w:trPr/>
        <w:tc>
          <w:tcPr>
            <w:tcW w:w="124" w:type="dxa"/>
            <w:tcBorders/>
            <w:vAlign w:val="center"/>
          </w:tcPr>
          <w:p>
            <w:pPr>
              <w:pStyle w:val="TableContents"/>
              <w:bidi w:val="0"/>
              <w:spacing w:before="0" w:after="283"/>
              <w:jc w:val="left"/>
              <w:rPr/>
            </w:pPr>
            <w:r>
              <w:rPr/>
              <w:t>​</w:t>
            </w:r>
          </w:p>
        </w:tc>
        <w:tc>
          <w:tcPr>
            <w:tcW w:w="2532" w:type="dxa"/>
            <w:tcBorders/>
            <w:vAlign w:val="center"/>
          </w:tcPr>
          <w:p>
            <w:pPr>
              <w:pStyle w:val="TableContents"/>
              <w:bidi w:val="0"/>
              <w:spacing w:before="0" w:after="0"/>
              <w:jc w:val="left"/>
              <w:rPr/>
            </w:pPr>
            <w:r>
              <w:rPr/>
              <w:drawing>
                <wp:inline distT="0" distB="0" distL="0" distR="0">
                  <wp:extent cx="1552575" cy="155257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33"/>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Lisa M. Lambert</w:t>
            </w:r>
          </w:p>
          <w:p>
            <w:pPr>
              <w:pStyle w:val="TableContents"/>
              <w:bidi w:val="0"/>
              <w:spacing w:lineRule="atLeast" w:line="180" w:before="180" w:after="283"/>
              <w:jc w:val="left"/>
              <w:rPr>
                <w:sz w:val="16"/>
              </w:rPr>
            </w:pPr>
            <w:r>
              <w:rPr>
                <w:sz w:val="16"/>
              </w:rPr>
              <w:t>Board Member</w:t>
            </w:r>
          </w:p>
          <w:p>
            <w:pPr>
              <w:pStyle w:val="TableContents"/>
              <w:bidi w:val="0"/>
              <w:spacing w:lineRule="atLeast" w:line="180" w:before="180" w:after="283"/>
              <w:jc w:val="left"/>
              <w:rPr>
                <w:sz w:val="16"/>
              </w:rPr>
            </w:pPr>
            <w:r>
              <w:rPr>
                <w:sz w:val="16"/>
              </w:rPr>
              <w:t>Age: 57</w:t>
              <w:br/>
              <w:t xml:space="preserve">Director Since: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6" w:type="dxa"/>
            <w:tcBorders/>
            <w:vAlign w:val="center"/>
          </w:tcPr>
          <w:p>
            <w:pPr>
              <w:pStyle w:val="TableContents"/>
              <w:bidi w:val="0"/>
              <w:spacing w:lineRule="atLeast" w:line="190" w:before="0" w:after="0"/>
              <w:jc w:val="left"/>
              <w:rPr/>
            </w:pPr>
            <w:r>
              <w:rPr>
                <w:b/>
              </w:rPr>
              <w:t>Lisa M. Lambert</w:t>
            </w:r>
            <w:r>
              <w:rPr/>
              <w:t xml:space="preserve"> has served as a member of our Board of Directors since April 2024. Ms. Lambert has served as Chief Investment Officer of Private Markets of George Kaiser Family Foundation, a charitable organization, since December 2023. Between July 2023 and November 2023, Ms. Lambert served as Interim Chief Executive Officer of Vital Energy Technology, an entity commercializing digital technologies invented by Vital Energy, Inc., an independent energy company. Between January 2018 and July 2023, Ms. Lambert served as Chief Technology and Innovation Officer at National Grid Plc, a multinational electricity and gas utility company, and as Founder and President of National Grid Partners, the venture and innovation arm of National Grid plc. Prior to that, she served as the Managing Partner of the Westly Group, a venture capital company, from May 2016 to January 2018. Between June 1997 and May 2016, Ms. Lambert served in various leadership positions at Intel Corporation, a multinational technology corporation, including as Vice President and Managing Director of the Software and Services Fund for Intel Capital, the investment arm of Intel Corporation, and as Founder and Managing Director of the Intel Capital Diversity Fund, which invests in technology startups. She has served on the board of directors of Vital Energy, Inc. since August 2020, and UL Solutions, Inc., a global private safety company, since July 2021. Ms. Lambert has served on the board of directors for several private companies associated with her investment responsibilities, mostly recently on the board of directors for Cyolo, a cybersecurity startup, from June 2022 to June 2023, Pathr.ai, a spacial intelligence startup, from April 2021 to June 2023, and Pixeom, a software-defined edge computing platform, from December 2018 to November 2019. Ms. Lambert is the founder and chair of UPWARD, a non-profit advancing the careers of executive women. Ms. Lambert holds a B.S. in management information systems from Pennsylvania State University and an M.B.A. from Harvard University.</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Ms. Lambert is qualified to serve as a director due to her extensive experience overseeing a wide range of public companies and her deep financial knowledge.</w:t>
            </w:r>
          </w:p>
        </w:tc>
        <w:tc>
          <w:tcPr>
            <w:tcW w:w="155" w:type="dxa"/>
            <w:tcBorders/>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53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45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2" w:type="dxa"/>
            <w:tcBorders/>
            <w:vAlign w:val="center"/>
          </w:tcPr>
          <w:p>
            <w:pPr>
              <w:pStyle w:val="TableContents"/>
              <w:bidi w:val="0"/>
              <w:spacing w:before="0" w:after="0"/>
              <w:jc w:val="center"/>
              <w:rPr/>
            </w:pPr>
            <w:r>
              <w:rPr/>
              <w:drawing>
                <wp:inline distT="0" distB="0" distL="0" distR="0">
                  <wp:extent cx="1552575" cy="155257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4"/>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Andrew Liveris</w:t>
            </w:r>
          </w:p>
          <w:p>
            <w:pPr>
              <w:pStyle w:val="TableContents"/>
              <w:bidi w:val="0"/>
              <w:spacing w:lineRule="atLeast" w:line="180" w:before="180" w:after="283"/>
              <w:jc w:val="left"/>
              <w:rPr>
                <w:sz w:val="16"/>
              </w:rPr>
            </w:pPr>
            <w:r>
              <w:rPr>
                <w:sz w:val="16"/>
              </w:rPr>
              <w:t xml:space="preserve">Board Member </w:t>
            </w:r>
          </w:p>
          <w:p>
            <w:pPr>
              <w:pStyle w:val="TableContents"/>
              <w:bidi w:val="0"/>
              <w:spacing w:lineRule="atLeast" w:line="180" w:before="180" w:after="283"/>
              <w:jc w:val="left"/>
              <w:rPr>
                <w:sz w:val="16"/>
              </w:rPr>
            </w:pPr>
            <w:r>
              <w:rPr>
                <w:sz w:val="16"/>
              </w:rPr>
              <w:t>Age: 70</w:t>
              <w:br/>
              <w:t xml:space="preserve">Director Since: 2019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6" w:type="dxa"/>
            <w:tcBorders/>
            <w:vAlign w:val="center"/>
          </w:tcPr>
          <w:p>
            <w:pPr>
              <w:pStyle w:val="TableContents"/>
              <w:bidi w:val="0"/>
              <w:spacing w:lineRule="atLeast" w:line="190" w:before="0" w:after="0"/>
              <w:jc w:val="left"/>
              <w:rPr/>
            </w:pPr>
            <w:r>
              <w:rPr>
                <w:b/>
              </w:rPr>
              <w:t>Andrew Liveris</w:t>
            </w:r>
            <w:r>
              <w:rPr/>
              <w:t xml:space="preserve"> has served as a member of our Board of Directors since April 2019. Previously, Mr. Liveris served as the Chairman and Chief Executive Officer of The Dow Chemical Company, a chemical corporation, from November 2004 to September 2017, when he transitioned to the Executive Chairman of Dow DuPont Inc., a position he held until his retirement in July 2018. Mr. Liveris has served on the boards of directors of International Business Machines Corp., a technology company, since 2010, Saudi Aramco, an integrated energy and chemicals company, since 2018, and WorleyParsons Limited, an engineering company, since September 2018. He is also on the advisory board of NEOM, an initiative driven by Saudi Vision 2030. Furthermore, Mr. Liveris was appointed as the President of the 2032 Brisbane Olympics and Paralympic Games Organizing Committee. Mr. Liveris holds a B.S. in Chemical Engineering from the University of Queensland and received an honorary Ph.D. in Science from his alma mater in 2005.</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Mr. Liveris is qualified to serve as a director due to his decades of experience leading and overseeing large, complex global industrial enterprises, his knowledge of the technology, energy and chemical sectors, his extensive public policy expertise and his experience overseeing our growth as a member of our Board of Directors since 2019.</w:t>
            </w:r>
          </w:p>
        </w:tc>
        <w:tc>
          <w:tcPr>
            <w:tcW w:w="155" w:type="dxa"/>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36"/>
        <w:gridCol w:w="109"/>
        <w:gridCol w:w="109"/>
        <w:gridCol w:w="6452"/>
        <w:gridCol w:w="155"/>
      </w:tblGrid>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center"/>
              <w:rPr/>
            </w:pPr>
            <w:r>
              <w:rPr/>
              <w:drawing>
                <wp:inline distT="0" distB="0" distL="0" distR="0">
                  <wp:extent cx="1552575" cy="155257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35"/>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80" w:before="372" w:after="283"/>
              <w:jc w:val="left"/>
              <w:rPr>
                <w:b/>
                <w:sz w:val="24"/>
              </w:rPr>
            </w:pPr>
            <w:r>
              <w:rPr>
                <w:b/>
                <w:sz w:val="24"/>
              </w:rPr>
              <w:t>Nichelle Maynard- Elliott</w:t>
            </w:r>
          </w:p>
          <w:p>
            <w:pPr>
              <w:pStyle w:val="TableContents"/>
              <w:bidi w:val="0"/>
              <w:spacing w:lineRule="atLeast" w:line="160" w:before="180" w:after="283"/>
              <w:jc w:val="left"/>
              <w:rPr>
                <w:sz w:val="16"/>
              </w:rPr>
            </w:pPr>
            <w:r>
              <w:rPr>
                <w:sz w:val="16"/>
              </w:rPr>
              <w:t xml:space="preserve">Board Member​ </w:t>
            </w:r>
          </w:p>
          <w:p>
            <w:pPr>
              <w:pStyle w:val="TableContents"/>
              <w:bidi w:val="0"/>
              <w:spacing w:lineRule="atLeast" w:line="220" w:before="180" w:after="283"/>
              <w:jc w:val="left"/>
              <w:rPr>
                <w:sz w:val="16"/>
              </w:rPr>
            </w:pPr>
            <w:r>
              <w:rPr>
                <w:sz w:val="16"/>
              </w:rPr>
              <w:t>Age: 56</w:t>
              <w:br/>
              <w:t xml:space="preserve">Director Since: 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2" w:type="dxa"/>
            <w:tcBorders/>
            <w:vAlign w:val="center"/>
          </w:tcPr>
          <w:p>
            <w:pPr>
              <w:pStyle w:val="TableContents"/>
              <w:bidi w:val="0"/>
              <w:spacing w:lineRule="atLeast" w:line="190" w:before="0" w:after="0"/>
              <w:jc w:val="left"/>
              <w:rPr/>
            </w:pPr>
            <w:r>
              <w:rPr>
                <w:b/>
              </w:rPr>
              <w:t>Nichelle Maynard-Elliott</w:t>
            </w:r>
            <w:r>
              <w:rPr/>
              <w:t xml:space="preserve"> has been a member of our Board of Directors since July 2021. Ms. Maynard-Elliott has served as the Founder and CEO of Dunamis Transaction Advisors LLC, a consultancy firm, since November 2019.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on the board of directors of Xerox Holdings Corporation, a workplace technology company, since May 2021, and served as a director of Element Solutions Inc., a specialty chemicals company, from August 2018 to June 2024. Ms. Maynard-Elliott has served as trustee of The Advisors’ Inner Circle Fund III, including four of its affiliated funds and director of Chiron Capital Allocation Fund Ltd. since June 2021. She holds a B.A. in Economics from Brown University and a J.D. from Columbia University School of Law.</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tc>
        <w:tc>
          <w:tcPr>
            <w:tcW w:w="155" w:type="dxa"/>
            <w:tcBorders/>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53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45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center"/>
              <w:rPr/>
            </w:pPr>
            <w:r>
              <w:rPr/>
              <w:drawing>
                <wp:inline distT="0" distB="0" distL="0" distR="0">
                  <wp:extent cx="1552575" cy="155257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36"/>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80" w:before="400" w:after="283"/>
              <w:jc w:val="left"/>
              <w:rPr>
                <w:b/>
                <w:sz w:val="24"/>
              </w:rPr>
            </w:pPr>
            <w:r>
              <w:rPr>
                <w:b/>
                <w:sz w:val="24"/>
              </w:rPr>
              <w:t>Chabi Nouri</w:t>
            </w:r>
          </w:p>
          <w:p>
            <w:pPr>
              <w:pStyle w:val="TableContents"/>
              <w:bidi w:val="0"/>
              <w:spacing w:lineRule="atLeast" w:line="200" w:before="260" w:after="283"/>
              <w:jc w:val="left"/>
              <w:rPr>
                <w:sz w:val="16"/>
              </w:rPr>
            </w:pPr>
            <w:r>
              <w:rPr>
                <w:sz w:val="16"/>
              </w:rPr>
              <w:t>Board Member</w:t>
            </w:r>
          </w:p>
          <w:p>
            <w:pPr>
              <w:pStyle w:val="TableContents"/>
              <w:bidi w:val="0"/>
              <w:spacing w:lineRule="atLeast" w:line="220" w:before="180" w:after="283"/>
              <w:jc w:val="left"/>
              <w:rPr>
                <w:sz w:val="16"/>
              </w:rPr>
            </w:pPr>
            <w:r>
              <w:rPr>
                <w:sz w:val="16"/>
              </w:rPr>
              <w:t>Age: 51</w:t>
              <w:br/>
              <w:t xml:space="preserve">Director Since: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2" w:type="dxa"/>
            <w:tcBorders/>
            <w:vAlign w:val="center"/>
          </w:tcPr>
          <w:p>
            <w:pPr>
              <w:pStyle w:val="TableContents"/>
              <w:bidi w:val="0"/>
              <w:spacing w:lineRule="atLeast" w:line="190" w:before="0" w:after="0"/>
              <w:jc w:val="left"/>
              <w:rPr/>
            </w:pPr>
            <w:r>
              <w:rPr>
                <w:b/>
              </w:rPr>
              <w:t>Chabi Nouri</w:t>
            </w:r>
            <w:r>
              <w:rPr/>
              <w:t xml:space="preserve"> has been a member of our Board of Directors since April 2023. Ms. Nouri has served as the Chief Executive Officer of Bonhams, an international auction house, since October 2024. Ms. Nouri has previously served as co-manager of a private equity fund focused on the Lifestyle, Impact, Innovation franchise within Mirabaud Asset Management since March 2022. She previously served as the global Chief Executive Officer at Piaget SA, a luxury watch and jewelry brand, a branch of Richemont Group, from April 2017 to June 2021 and as Piaget SA’s Chief Marketing Officer from October 2014 to March 2017. Prior to Piaget SA, Ms. Nouri served in various leadership positions at British American Tobacco Plc, a multinational tobacco company, where she led globally the Vogue Cigarettes brand, and at Cartier International SNC, a luxury-goods conglomerate, in merchandising, retail and product development, where she led globally High Jewellery and Creative Jewellery. Ms. Nouri has served as a non-executive director and a member of the ESG committee of Watches of Switzerland Group PLC, a luxury watch retailer, since May 2022. She holds an M.A. in Marketing and Economics from the University of Fribourg and has earned certificates from the Massachusetts Institute of Technology on the Digital Future and the International Institute for Management Development on ESG.</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Ms. Nouri is qualified to serve as a director because of her extensive experience in the luxury and consumer goods industries through her various roles at leading international luxury brands.</w:t>
            </w:r>
          </w:p>
        </w:tc>
        <w:tc>
          <w:tcPr>
            <w:tcW w:w="155" w:type="dxa"/>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32"/>
        <w:gridCol w:w="109"/>
        <w:gridCol w:w="109"/>
        <w:gridCol w:w="6456"/>
        <w:gridCol w:w="155"/>
      </w:tblGrid>
      <w:tr>
        <w:trPr/>
        <w:tc>
          <w:tcPr>
            <w:tcW w:w="124" w:type="dxa"/>
            <w:tcBorders/>
            <w:vAlign w:val="center"/>
          </w:tcPr>
          <w:p>
            <w:pPr>
              <w:pStyle w:val="TableContents"/>
              <w:bidi w:val="0"/>
              <w:spacing w:before="0" w:after="283"/>
              <w:jc w:val="left"/>
              <w:rPr/>
            </w:pPr>
            <w:r>
              <w:rPr/>
              <w:t>​</w:t>
            </w:r>
          </w:p>
        </w:tc>
        <w:tc>
          <w:tcPr>
            <w:tcW w:w="2532" w:type="dxa"/>
            <w:tcBorders/>
            <w:vAlign w:val="center"/>
          </w:tcPr>
          <w:p>
            <w:pPr>
              <w:pStyle w:val="TableContents"/>
              <w:bidi w:val="0"/>
              <w:spacing w:before="0" w:after="0"/>
              <w:jc w:val="center"/>
              <w:rPr/>
            </w:pPr>
            <w:r>
              <w:rPr/>
              <w:drawing>
                <wp:inline distT="0" distB="0" distL="0" distR="0">
                  <wp:extent cx="1552575" cy="155257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37"/>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Ori Winitzer</w:t>
            </w:r>
          </w:p>
          <w:p>
            <w:pPr>
              <w:pStyle w:val="TableContents"/>
              <w:bidi w:val="0"/>
              <w:spacing w:lineRule="atLeast" w:line="180" w:before="180" w:after="283"/>
              <w:jc w:val="left"/>
              <w:rPr>
                <w:sz w:val="16"/>
              </w:rPr>
            </w:pPr>
            <w:r>
              <w:rPr>
                <w:sz w:val="16"/>
              </w:rPr>
              <w:t xml:space="preserve">Board Member </w:t>
            </w:r>
          </w:p>
          <w:p>
            <w:pPr>
              <w:pStyle w:val="TableContents"/>
              <w:bidi w:val="0"/>
              <w:spacing w:lineRule="atLeast" w:line="180" w:before="180" w:after="283"/>
              <w:jc w:val="left"/>
              <w:rPr>
                <w:sz w:val="16"/>
              </w:rPr>
            </w:pPr>
            <w:r>
              <w:rPr>
                <w:sz w:val="16"/>
              </w:rPr>
              <w:t>Age: 49</w:t>
              <w:br/>
              <w:t xml:space="preserve">Director Since: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6" w:type="dxa"/>
            <w:tcBorders/>
            <w:vAlign w:val="center"/>
          </w:tcPr>
          <w:p>
            <w:pPr>
              <w:pStyle w:val="TableContents"/>
              <w:bidi w:val="0"/>
              <w:spacing w:lineRule="atLeast" w:line="190" w:before="0" w:after="0"/>
              <w:jc w:val="left"/>
              <w:rPr/>
            </w:pPr>
            <w:r>
              <w:rPr>
                <w:b/>
              </w:rPr>
              <w:t>Ori Winitzer</w:t>
            </w:r>
            <w:r>
              <w:rPr/>
              <w:t xml:space="preserve"> has been a member of our Board of Directors since April 2023. Mr. Winitzer is a founding member and has served as Partner of Integrated Media Company, a TPG Inc. platform dedicated to the digital media ecosystem, since October 2018. He previously served as Senior Managing Director at Guggenheim Partners, a global investment and advisory firm, from July 2017 to September 2018, where he led the digital media practice. Prior to Guggenheim Partners, Mr. Winitzer served in various investment banking positions at LionTree LLC, a boutique investment and merchant bank that focus on the technology, media and telecommunications industries, and Rothschild &amp; Co, a multinational private and alternative assets investor. Mr. Winitzer currently serves on the boards of directors of Toon Boom Animation, a company that provides development and production of animation and storyboarding software, and FootballCo, a family of media properties dedicated to football (soccer). Mr. Winitzer holds a B.A. in History and French from the University of Wisconsin — Madison and an M.B.A. from Columbia University.</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Mr. Winitzer is qualified to serve as a director due to his extensive experience in investment and advisory roles as well as his deep financial knowledge.</w:t>
            </w:r>
          </w:p>
        </w:tc>
        <w:tc>
          <w:tcPr>
            <w:tcW w:w="155" w:type="dxa"/>
            <w:tcBorders/>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53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45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2" w:type="dxa"/>
            <w:tcBorders/>
            <w:vAlign w:val="center"/>
          </w:tcPr>
          <w:p>
            <w:pPr>
              <w:pStyle w:val="TableContents"/>
              <w:bidi w:val="0"/>
              <w:spacing w:before="0" w:after="0"/>
              <w:jc w:val="center"/>
              <w:rPr/>
            </w:pPr>
            <w:r>
              <w:rPr/>
              <w:drawing>
                <wp:inline distT="0" distB="0" distL="0" distR="0">
                  <wp:extent cx="1552575" cy="155257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38"/>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Janet S. Wong</w:t>
            </w:r>
          </w:p>
          <w:p>
            <w:pPr>
              <w:pStyle w:val="TableContents"/>
              <w:bidi w:val="0"/>
              <w:spacing w:lineRule="atLeast" w:line="180" w:before="180" w:after="283"/>
              <w:jc w:val="left"/>
              <w:rPr>
                <w:sz w:val="16"/>
              </w:rPr>
            </w:pPr>
            <w:r>
              <w:rPr>
                <w:sz w:val="16"/>
              </w:rPr>
              <w:t xml:space="preserve">Board Member </w:t>
            </w:r>
          </w:p>
          <w:p>
            <w:pPr>
              <w:pStyle w:val="TableContents"/>
              <w:bidi w:val="0"/>
              <w:spacing w:lineRule="atLeast" w:line="180" w:before="180" w:after="283"/>
              <w:jc w:val="left"/>
              <w:rPr>
                <w:sz w:val="16"/>
              </w:rPr>
            </w:pPr>
            <w:r>
              <w:rPr>
                <w:sz w:val="16"/>
              </w:rPr>
              <w:t>Age: 66</w:t>
              <w:br/>
              <w:t xml:space="preserve">Director Since: 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6" w:type="dxa"/>
            <w:tcBorders/>
            <w:vAlign w:val="center"/>
          </w:tcPr>
          <w:p>
            <w:pPr>
              <w:pStyle w:val="TableContents"/>
              <w:bidi w:val="0"/>
              <w:spacing w:lineRule="atLeast" w:line="190" w:before="0" w:after="0"/>
              <w:jc w:val="left"/>
              <w:rPr/>
            </w:pPr>
            <w:r>
              <w:rPr>
                <w:b/>
              </w:rPr>
              <w:t>Janet S. Wong</w:t>
            </w:r>
            <w:r>
              <w:rPr/>
              <w:t xml:space="preserve"> has been a member of our Board of Directors since July 2021. Ms. Wong is a licensed Certified Public Accountant with more than 30 years of public accounting experience. She is a partner (retired) with KPMG LLP, an international professional services firm, where she served as a National Industry Practice Lead Partner. Ms. Wong has served as a director of TWFG Inc., an independent distribution platform for personal and commercial insurance, since July 2024. She previously served as a director of Enviva Inc., a global energy company, from May 2015 to December 2024, Lumentum Holdings Inc., a market-leading designer and manufacturer of innovative optical and photonic products for cloud/AI and networking, from September 2020 to November 2024, Shine Technologies, a private company focusing on nuclear technology and clean energy, from April 2021 to August 2022, and Allegiance Bancshares, Inc., a commercial banking organization, from April 2020 to October 2022. In addition, she served on the advisory board of Big Controls Inc., a business intelligence and analytics company, from May 2016 to May 2020. She also serves on the non-profit board of the Louisiana Tech University Foundation. Ms. Wong is an established thought leader on board governance, risk and regulatory matters (including AI and cyber oversight, M&amp;A, and strategy). She holds a Master of Professional Accountancy from Louisiana Tech University and a Master of Taxation from Golden Gate University. She is an NACD (National Association of Corporate Directors) Certified® Director, a professional credential supporting her qualifications and experience as a corporate board director. Ms. Wong has completed Executive Education Programs at Harvard Business School and Stanford Law School.</w:t>
            </w:r>
          </w:p>
          <w:p>
            <w:pPr>
              <w:pStyle w:val="TableContents"/>
              <w:bidi w:val="0"/>
              <w:spacing w:lineRule="atLeast" w:line="190" w:before="180" w:after="283"/>
              <w:jc w:val="left"/>
              <w:rPr>
                <w:b/>
              </w:rPr>
            </w:pPr>
            <w:r>
              <w:rPr>
                <w:b/>
              </w:rPr>
              <w:t>Skills and Qualifications</w:t>
            </w:r>
          </w:p>
          <w:p>
            <w:pPr>
              <w:pStyle w:val="TableContents"/>
              <w:bidi w:val="0"/>
              <w:spacing w:lineRule="atLeast" w:line="190" w:before="180" w:after="283"/>
              <w:jc w:val="left"/>
              <w:rPr/>
            </w:pPr>
            <w:r>
              <w:rPr/>
              <w:t>We believe Ms. Wong is qualified to serve as a director because of her many years of public accounting experience serving global companies, her deep financial and enterprise risk management expertise, and her experience advising sophisticated enterprises in the consumer markets, energy, manufacturing, and technology sectors as well as her governance experience serving public company and private company boards.</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644"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Vote Required</w:t>
      </w:r>
      <w:r>
        <w:rPr>
          <w:rFonts w:ascii="Arial;Helvetica;sans-serif" w:hAnsi="Arial;Helvetica;sans-serif"/>
          <w:b/>
          <w:i w:val="false"/>
          <w:caps w:val="false"/>
          <w:smallCaps w:val="false"/>
          <w:color w:val="000000"/>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For the election of directors, the eight nominees receiving the most “For” votes from the holders of shares present at the Annual Meeting or represented by proxy and entitled to vote on Proposal No. 1 will be elected as directors to hold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office until the 2026 Annual Meeting and until their respective successors are duly elected and qualified, or, if sooner, until the director’s death, resignation or removal. Only votes “For” or “Withheld” will affect the outcome. Broker non-votes will have no effect.</w:t>
      </w:r>
      <w:r>
        <w:rPr>
          <w:rFonts w:ascii="Arial;Helvetica;sans-serif" w:hAnsi="Arial;Helvetica;sans-serif"/>
          <w:b w:val="false"/>
          <w:i w:val="false"/>
          <w:caps w:val="false"/>
          <w:smallCaps w:val="false"/>
          <w:color w:val="000000"/>
          <w:spacing w:val="4"/>
          <w:sz w:val="18"/>
        </w:rPr>
        <w:t xml:space="preserve"> </w:t>
      </w:r>
    </w:p>
    <w:tbl>
      <w:tblPr>
        <w:tblW w:w="6399" w:type="dxa"/>
        <w:jc w:val="left"/>
        <w:tblInd w:w="720" w:type="dxa"/>
        <w:tblLayout w:type="fixed"/>
        <w:tblCellMar>
          <w:top w:w="0" w:type="dxa"/>
          <w:left w:w="0" w:type="dxa"/>
          <w:bottom w:w="0" w:type="dxa"/>
          <w:right w:w="0" w:type="dxa"/>
        </w:tblCellMar>
      </w:tblPr>
      <w:tblGrid>
        <w:gridCol w:w="124"/>
        <w:gridCol w:w="6121"/>
        <w:gridCol w:w="154"/>
      </w:tblGrid>
      <w:tr>
        <w:trPr/>
        <w:tc>
          <w:tcPr>
            <w:tcW w:w="124" w:type="dxa"/>
            <w:tcBorders/>
            <w:shd w:fill="000000" w:val="clear"/>
            <w:vAlign w:val="center"/>
          </w:tcPr>
          <w:p>
            <w:pPr>
              <w:pStyle w:val="TableContents"/>
              <w:bidi w:val="0"/>
              <w:spacing w:before="0" w:after="283"/>
              <w:jc w:val="left"/>
              <w:rPr/>
            </w:pPr>
            <w:r>
              <w:rPr/>
              <w:t>​</w:t>
            </w:r>
          </w:p>
        </w:tc>
        <w:tc>
          <w:tcPr>
            <w:tcW w:w="6121" w:type="dxa"/>
            <w:tcBorders/>
            <w:shd w:fill="000000" w:val="clear"/>
            <w:vAlign w:val="center"/>
          </w:tcPr>
          <w:p>
            <w:pPr>
              <w:pStyle w:val="TableContents"/>
              <w:bidi w:val="0"/>
              <w:spacing w:before="0" w:after="0"/>
              <w:jc w:val="center"/>
              <w:rPr/>
            </w:pPr>
            <w:r>
              <w:rPr/>
              <w:t xml:space="preserve">THE BOARD OF DIRECTORS RECOMMENDS A VOTE </w:t>
              <w:br/>
              <w:t xml:space="preserve">“FOR” EACH NAMED DIRECTOR NOMINEE </w:t>
              <w:br/>
              <w:t>(PROPOSAL NO. 1)</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RTB"/>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Information Regarding the Board of Directors and Corporate Governance</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3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section describes key corporate governance guidelines and practices that we have adopted. Complete copies of our Corporate Governance Guidelines, the charters of the committees of the Board and our Code of Business Conduct and Ethics, described below, can be found in the Governance section of the Investors section of our website at https:// ir.lucidmotors.com/ governance/documents-and-charters. Alternatively, you can request a copy of any of these documents free of charge by writing to: Secretary at Lucid Group, Inc., 7373 Gateway Boulevard, Newark, CA 94560. Information on or accessible through our website is not incorporated by reference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Controlled Company</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Common Stock is listed on The Nasdaq Stock Market LLC (“Nasdaq”). As Ayar controls more than 50% of our combined voting power, we are a “controlled company” for purposes of Nasdaq’s rules and corporate governance standards and, as a result, qualify for exemptions from certain corporate governance requirements. Although, as of the date of this Proxy Statement, we do not utilize any of these exemptions, we may elect to utilize one or more of these exemptions for so long as we remain a “controlled company.” In the event that we cease to be a “controlled company” and our shares continue to be listed on Nasdaq, we will be required to comply with Nasdaq’s rules and corporate governance standards for non-controlled companies within the applicable transition periods.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Board Composition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Our Board of Directors consists of eight members. Turqi Alnowaiser is the Chairman of our Board. The primary responsibilities of our Board are to provide oversight, strategic guidance, counseling and direction to management. Our Board meets on a regular basis and additionally, as required. In accordance with the Investor Rights Agreement, Turqi Alnowaiser, Andrew Liveris, Douglas Grimm, Nichelle Maynard-Elliott and Ori Winitzer were designated for nomination by Ayar to the Board of Directors and nominated by the Nominating and Corporate Governance Committee and the Board.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directors will be elected at each annual meeting of our stockholders. Each director’s term continues until the election and qualification of their successor, or such director’s earlier death, resignation or removal.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Director Independence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has affirmatively determined that all of the nominees are independent directors within the meaning of the applicable Nasdaq listing standards and that each such nominee is free of any relationship that would impair his or her individual exercise of independent judgment with regard to our Company (the “Independent Directors”). In making these determinations, our Board of Directors considered the current and prior relationships that each Independent Director has with our Company and all other facts and circumstances our Board of Directors deemed relevant in determining their independence, including the beneficial ownership of our capital stock by each Independent Director, and the transactions involving them described in the section entitled “Certain Relationships and Related Party Transactions.” There are no family relationships among any current director, director nominee and/or any of our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Board Leadership Structure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reviews its leadership structure periodically as part of its annual self-assessment process. In addition, the Board continues to monitor developments in corporate governance as well as the approaches our peers undertake.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Board believes that it is important to retain the flexibility to allocate the responsibilities of the offices of Chairman of the Board and Chief Executive Officer in any manner that it determines to be in the best interests of the Company at any point in time. Our Chairman of the Board is currently Turqi Alnowaiser. The Chairman of the Board and our Interim Chief Executive Officer are currently separate. Our Board of Directors does not currently have a policy as to whether the role of Chairman of the Board and the Chief Executive Officer should be separate. Our Board of Directors believes that the Company and its stockholders are best served by maintaining the flexibility to determine whether the Chairman of the Board and Chief Executive Officer positions should be separated or combined at a given point in time in order to provide appropriate leadership for us at that time. At any time the Company is not availing itself of the “controlled company” exemptions under Nasdaq rules, in order to maintain the independent integrity of the Board, if the Chairman of the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Board is not an independent director, the Board shall appoint a lead director who must be independent. Our Corporate Governance Guidelines note that all directors are elected by the stockholders and all have an equal voice. The Chairman of the Board and the Chief Executive Officer are free, as is the Board of Directors as a whole, to call upon any one or more directors to provide leadership in a given situation should a special need arise.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Additionally, pursuant to the Investor Rights Agreement, and subject to Ayar’s continued beneficial ownership of specified amounts of our Common Stock (as described above), Ayar is entitled to select the Chairman of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of Directors,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and Human Capital Committee are Independent Directors, and the committee chairs have authority to hold executive sessions without management and non-Independent Directors present.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Role of the Board in Risk Oversight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One of the Board’s key functions is informed oversight of our risk management process. The Board believes that its current leadership structure facilitates its risk oversight responsibilities. In particular, the Board believes the majority-independent Board and independent Board committees provide a well-functioning and effective balance to an experienced Chief Executive Officer. The Board administers this oversight function directly through the Board as a whole, as well as through various Board standing committees that address risks inherent in their respective areas of oversight. For example, the Board acts as the ultimate decision-making body of the Company and advises and oversees management, who is responsible for the day-to-day operations and management of the Company. The Audit Committee monitors compliance with legal and regulatory requirements, monitors product safety, cybersecurity and privacy risks, and reviews our policies and practices with respect to risk assessment and risk management, including discussing with management our major financial risk exposures and the steps that have been taken to monitor and control such exposures. The Nominating and Corporate Governance Committee monitors the effectiveness of our Corporate Governance Guidelines and policies. The Compensation and Human Capital Committee assesses and monitors whether any of our compensation policies and programs has the potential to encourage excessive risk-taking.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It is the responsibility of the committee chairs to report findings regarding material risk exposures to the Board as quickly as possible. Our Interim Chief Executive Officer, Chief Financial Officer, and General Counsel coordinate between the Board and management with regard to the determination and implementation of responses to any risk management issues.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Meetings of the Board of Directors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oversees our business. It establishes overall policies and standards and reviews the performance of management. During the fiscal year ended December 31, 2024, the Board held seven meetings. Each Board member attended 80% or more of the aggregate meetings of the Board and of the committees on which they served during the period for which they were a director or committee member. Our directors are encouraged to attend our annual meetings of stockholders, but we do not currently have a policy relating to director attendance. Lisa M. Lambert, Sherif Marakby, Chabi Nouri, Peter Rawlinson, Ori Winitzer, and Janet Wong, as representatives of the Board, attended the 2024 Annual Meeting of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Independent Directors meet from time to time in executive session. The Board and each of our standing independent committees typically hold an executive session of non-management directors (all of whom are Independent Directors) as a part of every regularly scheduled quarterly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Information Regarding Committees of the Board of Directors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has a number of committees that perform certain functions for the Board. The current committees of the Board are the Audit Committee, the Compensation and Human Capital Committee, the Nominating and Corporate Governance Committee and the Executive Committee. Below is a description of each committee of the Board. Each of the committees has authority to engage legal counsel or other experts or consultants, as it deems appropriate to carry out its responsibilities. The Board has determined that each member of the Audit Committee, the Compensation and Human Capital Committee and the Nominating and Corporate Governance Committee meets the applicable Nasdaq listing standards and that each member is free of any relationship that would impair his or her individual exercise of independent judgment with regard to our Company.</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Audit Committee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has a separately designated standing Audit Committee established in accordance with Section 3(a)(58) of the Exchange Act. The Audit Committee was established by the Board to assist the Board in its oversight of the integrity of our financial statements and internal controls, and our compliance with legal and regulatory requirements. In addition, the Audit Committee is responsible for the oversight of the qualification, independence and performance of our independent registered public accounting firm as well as the appointment of our independent registered public accounting firm.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the term ending at the Annual Meeting, our Audit Committee consists of Janet S. Wong, Lisa M. Lambert and Nichelle Maynard-Elliott, with Janet S. Wong serving as chairperson. Our Board has determined (i) that each of Janet S. Wong, Lisa M. Lambert and Nichelle Maynard-Elliott satisfied the requirements for independence and financial literacy under the rules and regulations of Nasdaq and the SEC and (ii) that Janet S. Wong qualifies as an “audit committee financial expert” as defined in the SEC rules and regulations and satisfies the financial sophistication requirements of Nasdaq. In making that determination, the Board relied on the past business experience of Janet S. Wong. Please see the description of the business experience for Janet S. Wong under the heading “Nominees for Director.” This designation does not impose any duties, obligations or liabilities that are greater than are generally imposed on members of our Audit Committee and our Board of Directors. Our Audit Committee is directly responsible for, among other things: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selecting and hiring our independent registered public accounting firm;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05">
                <wp:simplePos x="0" y="0"/>
                <wp:positionH relativeFrom="column">
                  <wp:align>left</wp:align>
                </wp:positionH>
                <wp:positionV relativeFrom="line">
                  <wp:align>top</wp:align>
                </wp:positionV>
                <wp:extent cx="114300" cy="525780"/>
                <wp:effectExtent l="0" t="0" r="0" b="0"/>
                <wp:wrapSquare wrapText="right"/>
                <wp:docPr id="74" name="Frame3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evaluating the performance and independence of our independent registered public accounting firm;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06">
                <wp:simplePos x="0" y="0"/>
                <wp:positionH relativeFrom="column">
                  <wp:align>left</wp:align>
                </wp:positionH>
                <wp:positionV relativeFrom="line">
                  <wp:align>top</wp:align>
                </wp:positionV>
                <wp:extent cx="114300" cy="525780"/>
                <wp:effectExtent l="0" t="0" r="0" b="0"/>
                <wp:wrapSquare wrapText="right"/>
                <wp:docPr id="75" name="Frame3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pre-approving the audit and any non-audit services to be performed by our registered public accounting firm;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07">
                <wp:simplePos x="0" y="0"/>
                <wp:positionH relativeFrom="column">
                  <wp:align>left</wp:align>
                </wp:positionH>
                <wp:positionV relativeFrom="line">
                  <wp:align>top</wp:align>
                </wp:positionV>
                <wp:extent cx="114300" cy="525780"/>
                <wp:effectExtent l="0" t="0" r="0" b="0"/>
                <wp:wrapSquare wrapText="right"/>
                <wp:docPr id="76" name="Frame3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the integrity of our financial statements and related disclosures and reviewing our critical accounting policies and practices;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08">
                <wp:simplePos x="0" y="0"/>
                <wp:positionH relativeFrom="column">
                  <wp:align>left</wp:align>
                </wp:positionH>
                <wp:positionV relativeFrom="line">
                  <wp:align>top</wp:align>
                </wp:positionV>
                <wp:extent cx="114300" cy="525780"/>
                <wp:effectExtent l="0" t="0" r="0" b="0"/>
                <wp:wrapSquare wrapText="right"/>
                <wp:docPr id="77" name="Frame4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the adequacy and effectiveness of our internal control policies and procedures and our disclosure controls and procedures;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09">
                <wp:simplePos x="0" y="0"/>
                <wp:positionH relativeFrom="column">
                  <wp:align>left</wp:align>
                </wp:positionH>
                <wp:positionV relativeFrom="line">
                  <wp:align>top</wp:align>
                </wp:positionV>
                <wp:extent cx="114300" cy="525780"/>
                <wp:effectExtent l="0" t="0" r="0" b="0"/>
                <wp:wrapSquare wrapText="right"/>
                <wp:docPr id="78" name="Frame4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overseeing procedures for the treatment of complaints relating to accounting, internal accounting controls or audit matters;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0">
                <wp:simplePos x="0" y="0"/>
                <wp:positionH relativeFrom="column">
                  <wp:align>left</wp:align>
                </wp:positionH>
                <wp:positionV relativeFrom="line">
                  <wp:align>top</wp:align>
                </wp:positionV>
                <wp:extent cx="114300" cy="525780"/>
                <wp:effectExtent l="0" t="0" r="0" b="0"/>
                <wp:wrapSquare wrapText="right"/>
                <wp:docPr id="79" name="Frame4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and discussing with management and the registered public accounting firm the results of the annual audit, our quarterly financial statements and our publicly filed reports;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1">
                <wp:simplePos x="0" y="0"/>
                <wp:positionH relativeFrom="column">
                  <wp:align>left</wp:align>
                </wp:positionH>
                <wp:positionV relativeFrom="line">
                  <wp:align>top</wp:align>
                </wp:positionV>
                <wp:extent cx="114300" cy="525780"/>
                <wp:effectExtent l="0" t="0" r="0" b="0"/>
                <wp:wrapSquare wrapText="right"/>
                <wp:docPr id="80" name="Frame4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establishing procedures for employees to anonymously submit concerns about questionable accounting or audit matters;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2">
                <wp:simplePos x="0" y="0"/>
                <wp:positionH relativeFrom="column">
                  <wp:align>left</wp:align>
                </wp:positionH>
                <wp:positionV relativeFrom="line">
                  <wp:align>top</wp:align>
                </wp:positionV>
                <wp:extent cx="114300" cy="525780"/>
                <wp:effectExtent l="0" t="0" r="0" b="0"/>
                <wp:wrapSquare wrapText="right"/>
                <wp:docPr id="81" name="Frame4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our policies and practices with respect to risk assessment and risk management, including discussing with management our major financial risk exposures and the steps that have been taken to monitor and control such exposures;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3">
                <wp:simplePos x="0" y="0"/>
                <wp:positionH relativeFrom="column">
                  <wp:align>left</wp:align>
                </wp:positionH>
                <wp:positionV relativeFrom="line">
                  <wp:align>top</wp:align>
                </wp:positionV>
                <wp:extent cx="114300" cy="525780"/>
                <wp:effectExtent l="0" t="0" r="0" b="0"/>
                <wp:wrapSquare wrapText="right"/>
                <wp:docPr id="82" name="Frame4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and approving in advance any proposed related-person transactions;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4">
                <wp:simplePos x="0" y="0"/>
                <wp:positionH relativeFrom="column">
                  <wp:align>left</wp:align>
                </wp:positionH>
                <wp:positionV relativeFrom="line">
                  <wp:align>top</wp:align>
                </wp:positionV>
                <wp:extent cx="114300" cy="525780"/>
                <wp:effectExtent l="0" t="0" r="0" b="0"/>
                <wp:wrapSquare wrapText="right"/>
                <wp:docPr id="83" name="Frame4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key cybersecurity, privacy, product safety, and other information technology risks such as artificial intelligence;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5">
                <wp:simplePos x="0" y="0"/>
                <wp:positionH relativeFrom="column">
                  <wp:align>left</wp:align>
                </wp:positionH>
                <wp:positionV relativeFrom="line">
                  <wp:align>top</wp:align>
                </wp:positionV>
                <wp:extent cx="114300" cy="525780"/>
                <wp:effectExtent l="0" t="0" r="0" b="0"/>
                <wp:wrapSquare wrapText="right"/>
                <wp:docPr id="84" name="Frame4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preparing the audit committee report that the SEC requires in our annual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16">
                <wp:simplePos x="0" y="0"/>
                <wp:positionH relativeFrom="column">
                  <wp:align>left</wp:align>
                </wp:positionH>
                <wp:positionV relativeFrom="line">
                  <wp:align>top</wp:align>
                </wp:positionV>
                <wp:extent cx="114300" cy="525780"/>
                <wp:effectExtent l="0" t="0" r="0" b="0"/>
                <wp:wrapSquare wrapText="right"/>
                <wp:docPr id="85" name="Frame4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Audit Committee operates under a written charter that satisfies the applicable rules of the SEC and the listing standards of Nasdaq. In 2024, the Audit Committee met six times. The Audit Committee charter can be found in the Governance section of the Investors section of our website at https://ir.lucidmotors.com/governance/documents-and-charters. Information on or accessible through our website is not incorporated by reference in this Proxy Statement. The Audit Committee charter grants the Audit Committee authority to obtain, at our expense, advice and assistance from internal and external legal, accounting or other advisors and consultants, and other external resources that the Audit Committee considers necessary or appropriate in the performance of its duties.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required by its charter, the Audit Committee conducts a self-evaluation at least annually. The Audit Committee also reviews and assesses the adequacy of its charter at least annually and recommends any proposed changes to the Board for its consideration.</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annually reviews the Nasdaq listing standards’ definition of independence for Audit Committee members and has determined that all members of our Audit Committee are “independent” and “financially literate” under Nasdaq listing standards and that members of the Audit Committee received no compensation from the Company other than for service as a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Compensation and Human Capital Committee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consists of Andrew Liveris, Nichelle Maynard-Elliott, and Ori Winitzer, with Andrew Liveris serving as chairperson. Our Board has determined that each of Andrew Liveris, Nichelle Maynard-Elliott, and Ori Winitzer satisfies the requirements for independence under the applicable Nasdaq listing standards. Our Compensation and Human Capital Committee is responsible for, among other things: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determining, or recommending to the Board for determination, the compensation of our executive officers, including our Chief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17">
                <wp:simplePos x="0" y="0"/>
                <wp:positionH relativeFrom="column">
                  <wp:align>left</wp:align>
                </wp:positionH>
                <wp:positionV relativeFrom="line">
                  <wp:align>top</wp:align>
                </wp:positionV>
                <wp:extent cx="114300" cy="525780"/>
                <wp:effectExtent l="0" t="0" r="0" b="0"/>
                <wp:wrapSquare wrapText="right"/>
                <wp:docPr id="86" name="Frame4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administering our equity compensation plans;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18">
                <wp:simplePos x="0" y="0"/>
                <wp:positionH relativeFrom="column">
                  <wp:align>left</wp:align>
                </wp:positionH>
                <wp:positionV relativeFrom="line">
                  <wp:align>top</wp:align>
                </wp:positionV>
                <wp:extent cx="114300" cy="525780"/>
                <wp:effectExtent l="0" t="0" r="0" b="0"/>
                <wp:wrapSquare wrapText="right"/>
                <wp:docPr id="87" name="Frame5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overseeing our overall compensation policies and practices, compensation plans, benefits programs, and compensation recoupment policy;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19">
                <wp:simplePos x="0" y="0"/>
                <wp:positionH relativeFrom="column">
                  <wp:align>left</wp:align>
                </wp:positionH>
                <wp:positionV relativeFrom="line">
                  <wp:align>top</wp:align>
                </wp:positionV>
                <wp:extent cx="114300" cy="525780"/>
                <wp:effectExtent l="0" t="0" r="0" b="0"/>
                <wp:wrapSquare wrapText="right"/>
                <wp:docPr id="88" name="Frame5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our executive officer succession planning, as well as periodic reports, metrics, and initiatives from management on employee programs and practices;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20">
                <wp:simplePos x="0" y="0"/>
                <wp:positionH relativeFrom="column">
                  <wp:align>left</wp:align>
                </wp:positionH>
                <wp:positionV relativeFrom="line">
                  <wp:align>top</wp:align>
                </wp:positionV>
                <wp:extent cx="114300" cy="525780"/>
                <wp:effectExtent l="0" t="0" r="0" b="0"/>
                <wp:wrapSquare wrapText="right"/>
                <wp:docPr id="89" name="Frame5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overseeing the preparation of the compensation committee report that the SEC requires in our annual proxy statement. </w:t>
      </w:r>
      <w:r>
        <mc:AlternateContent>
          <mc:Choice Requires="wps">
            <w:drawing>
              <wp:anchor behindDoc="0" distT="97790" distB="0" distL="0" distR="0" simplePos="0" locked="0" layoutInCell="1" allowOverlap="1" relativeHeight="121">
                <wp:simplePos x="0" y="0"/>
                <wp:positionH relativeFrom="column">
                  <wp:align>left</wp:align>
                </wp:positionH>
                <wp:positionV relativeFrom="line">
                  <wp:align>top</wp:align>
                </wp:positionV>
                <wp:extent cx="114300" cy="525780"/>
                <wp:effectExtent l="0" t="0" r="0" b="0"/>
                <wp:wrapSquare wrapText="right"/>
                <wp:docPr id="90" name="Frame5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Compensation and Human Capital Committee operates under a written charter that satisfies the applicable rules of the SEC and the listing standards of Nasdaq. During 2024, the Compensation and Human Capital Committee met 15 times. The Compensation and Human Capital Committee charter can be found in the Governance section of the Investors section of our website at https://ir.lucidmotors.com/governance/documents-and-charters. Information on or accessible through our website is not incorporated by reference in this Proxy Statement. The Compensation and Human Capital Committee charter grants the Compensation and Human Capital Committee sole authority to retain or obtain the advice of compensation consultants, legal counsel, or other advisors, including the authority to approve a consultant’s reasonable compensation. The Compensation and Human Capital Committee may select such advisors, or receive advice from any other advisor, only after taking into consideration all factors relevant to that person’s independence from management, including those independence factors enumerated by Nasdaq rules.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Under the Compensation and Human Capital Committee charter, the Compensation and Human Capital Committee may, in its discretion, delegate its duties to a subcommittee or to the Chair of the Compensation and Human Capital Committee.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required by its charter, the Compensation and Human Capital Committee conducts a self-evaluation at least annually. The Compensation and Human Capital Committee also annually reviews and assesses the adequacy of its charter and recommends any proposed changes to the Board for its consideration.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Compensation and Human Capital Committee Processes and Procedures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implementation of our compensation philosophy is carried out under the supervision of the Compensation and Human Capital Committee. The Compensation and Human Capital Committee charter requires that the Compensation and Human Capital Committee meet as often as it determines is appropriate to carry out its responsibilities under the charter. The agenda for each meeting is usually developed by the Chair of the Compensation and Human Capital Committee, in consultation with other Compensation and Human Capital Committee members, management and the Compensation and Human Capital Committee’s independent advisors. The Compensation and Human Capital Committee also meets regularly in executive session. Meetings may, at the discretion of the Compensation and Human Capital Committee, include other directors or members of management in addition to the Compensation and Human Capital Committee’s independent advisors, for the purpose of providing analysis and information to assist management with their recommendations on various compensation matters. Management does not participate in the executive sessions of the Compensation and Human Capital Committee. For a description of the role of our management and any compensation consultants for executive compensation decisions for fiscal year 2024, please see the section entitled “Compensation Discussion and Analysis.”</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Compensation and Human Capital Committee Interlocks and Insider Participation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Andrew Liveris, Nichelle Maynard-Elliott, and Ori Winitzer served as members of the Compensation and Human Capital Committee during 2024. None of such persons is or was formerly an officer or an employee of Lucid. Please see the section entitled “Certain Relationships and Related Party Transactions” for certain transactions involving Lucid in which members of the Compensation and Human Capital Committee may potentially be deemed to have an indirect interest.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None of our executive officers currently serves, or has served during the last year, as a member of the board of directors or compensation committee of any entity that has one or more executive officers serving as a member of our Board or Compensation and Human Capital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Nominating and Corporate Governance Committee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Nominating and Corporate Governance Committee is generally responsible for identifying qualified Board candidates, recommending director nominees and appointments to Board committees, evaluating Board performance, and overseeing our Corporate Governance Guidelines. For the term ending at the Annual Meeting, our Nominating and Corporate Governance Committee consists of Turqi Alnowaiser, Nichelle Maynard-Elliott and Chabi Nouri, with Turqi Alnowaiser serving as chairperson. Our Board has determined that each of Turqi Alnowaiser, Nichelle Maynard-Elliott and Chabi Nouri satisfied the requirements for independence under the applicable Nasdaq listing standards. Our Nominating and Corporate Governance Committee is responsible for, among other things: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identifying and recommending candidates for membership on our Board, including the consideration of nominees submitted by stockholders, and to each of the Board’s committees;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22">
                <wp:simplePos x="0" y="0"/>
                <wp:positionH relativeFrom="column">
                  <wp:align>left</wp:align>
                </wp:positionH>
                <wp:positionV relativeFrom="line">
                  <wp:align>top</wp:align>
                </wp:positionV>
                <wp:extent cx="114300" cy="525780"/>
                <wp:effectExtent l="0" t="0" r="0" b="0"/>
                <wp:wrapSquare wrapText="right"/>
                <wp:docPr id="91" name="Frame5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making recommendations to the Board as to determinations of director independence;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23">
                <wp:simplePos x="0" y="0"/>
                <wp:positionH relativeFrom="column">
                  <wp:align>left</wp:align>
                </wp:positionH>
                <wp:positionV relativeFrom="line">
                  <wp:align>top</wp:align>
                </wp:positionV>
                <wp:extent cx="114300" cy="525780"/>
                <wp:effectExtent l="0" t="0" r="0" b="0"/>
                <wp:wrapSquare wrapText="right"/>
                <wp:docPr id="92" name="Frame5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evaluating and making recommendations regarding the composition, organization, and governance of our Board and its committees;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24">
                <wp:simplePos x="0" y="0"/>
                <wp:positionH relativeFrom="column">
                  <wp:align>left</wp:align>
                </wp:positionH>
                <wp:positionV relativeFrom="line">
                  <wp:align>top</wp:align>
                </wp:positionV>
                <wp:extent cx="114300" cy="525780"/>
                <wp:effectExtent l="0" t="0" r="0" b="0"/>
                <wp:wrapSquare wrapText="right"/>
                <wp:docPr id="93" name="Frame5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and making recommendations with regard to our Corporate Governance Guidelines and compliance with laws and regulations;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25">
                <wp:simplePos x="0" y="0"/>
                <wp:positionH relativeFrom="column">
                  <wp:align>left</wp:align>
                </wp:positionH>
                <wp:positionV relativeFrom="line">
                  <wp:align>top</wp:align>
                </wp:positionV>
                <wp:extent cx="114300" cy="525780"/>
                <wp:effectExtent l="0" t="0" r="0" b="0"/>
                <wp:wrapSquare wrapText="right"/>
                <wp:docPr id="94" name="Frame5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overseeing and periodically reviewing our policies and programs concerning environmental sustainability, corporate social responsibility, and governance;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26">
                <wp:simplePos x="0" y="0"/>
                <wp:positionH relativeFrom="column">
                  <wp:align>left</wp:align>
                </wp:positionH>
                <wp:positionV relativeFrom="line">
                  <wp:align>top</wp:align>
                </wp:positionV>
                <wp:extent cx="114300" cy="525780"/>
                <wp:effectExtent l="0" t="0" r="0" b="0"/>
                <wp:wrapSquare wrapText="right"/>
                <wp:docPr id="95" name="Frame5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making recommendations to the Board regarding non-employee director compensation;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27">
                <wp:simplePos x="0" y="0"/>
                <wp:positionH relativeFrom="column">
                  <wp:align>left</wp:align>
                </wp:positionH>
                <wp:positionV relativeFrom="line">
                  <wp:align>top</wp:align>
                </wp:positionV>
                <wp:extent cx="114300" cy="525780"/>
                <wp:effectExtent l="0" t="0" r="0" b="0"/>
                <wp:wrapSquare wrapText="right"/>
                <wp:docPr id="96" name="Frame5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reviewing conflicts of interest of our directors and officers and proposed waivers of our Corporate Governance Guidelines and Code of Business Conduct and Ethics;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28">
                <wp:simplePos x="0" y="0"/>
                <wp:positionH relativeFrom="column">
                  <wp:align>left</wp:align>
                </wp:positionH>
                <wp:positionV relativeFrom="line">
                  <wp:align>top</wp:align>
                </wp:positionV>
                <wp:extent cx="114300" cy="525780"/>
                <wp:effectExtent l="0" t="0" r="0" b="0"/>
                <wp:wrapSquare wrapText="right"/>
                <wp:docPr id="97" name="Frame6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evaluating the performance of our Board and its committees.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29">
                <wp:simplePos x="0" y="0"/>
                <wp:positionH relativeFrom="column">
                  <wp:align>left</wp:align>
                </wp:positionH>
                <wp:positionV relativeFrom="line">
                  <wp:align>top</wp:align>
                </wp:positionV>
                <wp:extent cx="114300" cy="525780"/>
                <wp:effectExtent l="0" t="0" r="0" b="0"/>
                <wp:wrapSquare wrapText="right"/>
                <wp:docPr id="98" name="Frame6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During 2024, the Nominating and Corporate Governance Committee met once. Our Nominating and Corporate Governance Committee operates under a written charter that satisfies the applicable rules of the SEC and the listing standards of Nasdaq. A detailed discussion of the Nominating and Corporate Governance Committee’s procedures for recommending candidates for election as a director appears below under the caption “Procedures of the Nominating and Corporate Governance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Nominating and Corporate Governance Committee charter can be found in the Governance section of the Investors section of our website at https://ir.lucidmotors.com/governance/documents-and-charters. The Nominating and Corporate Governance Committee charter complies with the guidelines established by Nasdaq. Information on or accessible through our website is not incorporated by reference in this Proxy Statement. The charter of the Nominating and Corporate Governance Committee grants the Nominating and Corporate Governance Committee authority to retain and terminate any advisors, including search firms to identify director candidates, compensation consultants as to director compensation, and legal counsel, including sole authority to approve all such advisors’ fees and other retention terms.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Procedures of the Nominating and Corporate Governance Committee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In connection with nominating directors for election at the Annual Meeting and periodically throughout the year, the Nominating and Corporate Governance Committee considers the composition of the Board and each committee of the Board to evaluate its effectiveness and whether changes should be considered to either the Board or any of the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committees. In support of this process, the Board has determined that the Board as a whole must have the right mix of characteristics, skills, perspectives and experiences for the optimal functioning of the Board in its oversight of our Company. The Board considers the following factors and qualifications, without limitation: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appropriate size and the mix of characteristics and perspectives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30">
                <wp:simplePos x="0" y="0"/>
                <wp:positionH relativeFrom="column">
                  <wp:align>left</wp:align>
                </wp:positionH>
                <wp:positionV relativeFrom="line">
                  <wp:align>top</wp:align>
                </wp:positionV>
                <wp:extent cx="114300" cy="525780"/>
                <wp:effectExtent l="0" t="0" r="0" b="0"/>
                <wp:wrapSquare wrapText="right"/>
                <wp:docPr id="99" name="Frame6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needs of the Board with respect to the particular talents and experience of its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31">
                <wp:simplePos x="0" y="0"/>
                <wp:positionH relativeFrom="column">
                  <wp:align>left</wp:align>
                </wp:positionH>
                <wp:positionV relativeFrom="line">
                  <wp:align>top</wp:align>
                </wp:positionV>
                <wp:extent cx="114300" cy="525780"/>
                <wp:effectExtent l="0" t="0" r="0" b="0"/>
                <wp:wrapSquare wrapText="right"/>
                <wp:docPr id="100" name="Frame6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knowledge, skills, and experience of nominees, including experience in the industry in which we operate, business, finance, management, or public service, in light of prevailing business conditions and the knowledge, skills, and experience already possessed by other members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32">
                <wp:simplePos x="0" y="0"/>
                <wp:positionH relativeFrom="column">
                  <wp:align>left</wp:align>
                </wp:positionH>
                <wp:positionV relativeFrom="line">
                  <wp:align>top</wp:align>
                </wp:positionV>
                <wp:extent cx="114300" cy="525780"/>
                <wp:effectExtent l="0" t="0" r="0" b="0"/>
                <wp:wrapSquare wrapText="right"/>
                <wp:docPr id="101" name="Frame6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familiarity with domestic and international business matters;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33">
                <wp:simplePos x="0" y="0"/>
                <wp:positionH relativeFrom="column">
                  <wp:align>left</wp:align>
                </wp:positionH>
                <wp:positionV relativeFrom="line">
                  <wp:align>top</wp:align>
                </wp:positionV>
                <wp:extent cx="114300" cy="525780"/>
                <wp:effectExtent l="0" t="0" r="0" b="0"/>
                <wp:wrapSquare wrapText="right"/>
                <wp:docPr id="102" name="Frame6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familiarity and experience with legal and regulatory requirements;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34">
                <wp:simplePos x="0" y="0"/>
                <wp:positionH relativeFrom="column">
                  <wp:align>left</wp:align>
                </wp:positionH>
                <wp:positionV relativeFrom="line">
                  <wp:align>top</wp:align>
                </wp:positionV>
                <wp:extent cx="114300" cy="525780"/>
                <wp:effectExtent l="0" t="0" r="0" b="0"/>
                <wp:wrapSquare wrapText="right"/>
                <wp:docPr id="103" name="Frame6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experience with accounting rules and practices.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35">
                <wp:simplePos x="0" y="0"/>
                <wp:positionH relativeFrom="column">
                  <wp:align>left</wp:align>
                </wp:positionH>
                <wp:positionV relativeFrom="line">
                  <wp:align>top</wp:align>
                </wp:positionV>
                <wp:extent cx="114300" cy="525780"/>
                <wp:effectExtent l="0" t="0" r="0" b="0"/>
                <wp:wrapSquare wrapText="right"/>
                <wp:docPr id="104" name="Frame6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Considerations in Evaluating Director Nominees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Pursuant to the Nominating and Corporate Governance Committee charter and subject to the Investor Rights Agreement, the Nominating and Corporate Governance Committee periodically reviews the composition of the Board in light of current challenges and needs of the Board and the Company and determines whether it may be appropriate to add or remove individuals after considering issues of judgment, inclusiveness, skills, background, and experience. Although the Nominating and Corporate Governance Committee does not have a formal policy regarding inclusiveness on the Board, the Nominating and Corporate Governance Committee is sensitive to the importance of nominating persons with different perspectives and experience to enhance the deliberation and decision-making processes of the Board. The Nominating and Corporate Governance Committee also considers applicable laws and regulations and stock exchange listing standards.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Once the Nominating and Corporate Governance Committee and the Board determine that it is appropriate to add a new director, either as a replacement or as an additional position, subject to the Investor Rights Agreement, the Nominating and Corporate Governance Committee uses a flexible set of procedures in selecting individual director candidates. This flexibility allows the Nominating and Corporate Governance Committee to adjust the process to best satisfy the objectives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 In considering candidates submitted by stockholders, the Nominating and Corporate Governance Committee will take into consideration the needs of the Board, the qualifications of the candidate, and our obligations under the Investor Rights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Once candidates are identified, the Nominating and Corporate Governance Committee conducts an evaluation of qualified candidates. The evaluation generally includes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Stockholder Nominations to the Board of Directors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In order for a stockholder to have a candidate considered by the Nominating and Corporate Governance Committee, a stockholder should submit a written recommendation that includes (A) as to each person whom the stockholder proposes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nominate for election or reelection as a director: (1)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and form of proxy as a nominee and to serving as a director if elected,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 and (3) the information required under Section 2.09(c) of the Bylaws,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name and address of such stockholder (as they appear on the Company’s books), and the name and address of any such beneficial owner, and of any affiliates, associates, or others acting in concert with such stockholder or such beneficial owner (any such person other than the stockholder, a “Stockholder Associated Person”);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36">
                <wp:simplePos x="0" y="0"/>
                <wp:positionH relativeFrom="column">
                  <wp:align>left</wp:align>
                </wp:positionH>
                <wp:positionV relativeFrom="line">
                  <wp:align>top</wp:align>
                </wp:positionV>
                <wp:extent cx="228600" cy="350520"/>
                <wp:effectExtent l="0" t="0" r="0" b="0"/>
                <wp:wrapSquare wrapText="right"/>
                <wp:docPr id="105" name="Frame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(1)</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each class or series, the number of shares of capital stock of the Company that are held of record or are beneficially owned by such stockholder and by any Stockholder Associated Person;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37">
                <wp:simplePos x="0" y="0"/>
                <wp:positionH relativeFrom="column">
                  <wp:align>left</wp:align>
                </wp:positionH>
                <wp:positionV relativeFrom="line">
                  <wp:align>top</wp:align>
                </wp:positionV>
                <wp:extent cx="228600" cy="350520"/>
                <wp:effectExtent l="0" t="0" r="0" b="0"/>
                <wp:wrapSquare wrapText="right"/>
                <wp:docPr id="106" name="Frame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(2)</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description of any agreement, arrangement, relationship or understanding (whether written or oral) between or among such stockholder or Stockholder Associated Person and any other person in connection with the proposal of such nomination or other business;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38">
                <wp:simplePos x="0" y="0"/>
                <wp:positionH relativeFrom="column">
                  <wp:align>left</wp:align>
                </wp:positionH>
                <wp:positionV relativeFrom="line">
                  <wp:align>top</wp:align>
                </wp:positionV>
                <wp:extent cx="228600" cy="350520"/>
                <wp:effectExtent l="0" t="0" r="0" b="0"/>
                <wp:wrapSquare wrapText="right"/>
                <wp:docPr id="107" name="Frame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(3)</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or any other agreement, arrangement or understanding, the effect or intent of which is to mitigate loss to, manage risk or benefit of share price changes for, or increase or decrease the voting power of, such stockholder or Stockholder Associated Person with respect to the Company’s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39">
                <wp:simplePos x="0" y="0"/>
                <wp:positionH relativeFrom="column">
                  <wp:align>left</wp:align>
                </wp:positionH>
                <wp:positionV relativeFrom="line">
                  <wp:align>top</wp:align>
                </wp:positionV>
                <wp:extent cx="228600" cy="350520"/>
                <wp:effectExtent l="0" t="0" r="0" b="0"/>
                <wp:wrapSquare wrapText="right"/>
                <wp:docPr id="108" name="Frame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(4)</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representation that the stockholder is a holder of record of stock of the Company entitled to vote at such meeting and intends to appear in person or by proxy at the meeting to bring such nomination or other business before the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40">
                <wp:simplePos x="0" y="0"/>
                <wp:positionH relativeFrom="column">
                  <wp:align>left</wp:align>
                </wp:positionH>
                <wp:positionV relativeFrom="line">
                  <wp:align>top</wp:align>
                </wp:positionV>
                <wp:extent cx="228600" cy="350520"/>
                <wp:effectExtent l="0" t="0" r="0" b="0"/>
                <wp:wrapSquare wrapText="right"/>
                <wp:docPr id="109" name="Frame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(5)</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representation as to whether such stockholder or Stockholder Associated Person intends or is part of a group that intends to (i) deliver a proxy statement and/or form of proxy to holders of at least the percentage of the voting power of the Company’s outstanding capital stock required to approve or adopt the proposal or to elect each such nominee, (ii) otherwise solicit proxies from stockholders in support of such proposal or nomination and/or (iii) solicit holders of shares representing at least 67% of the outstanding securities of the Company generally entitled to vote on the election of directors in support of director nominees other than the Company’s nominees in accordance with Rule 14a-19 promulgated under the Exchange Act;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41">
                <wp:simplePos x="0" y="0"/>
                <wp:positionH relativeFrom="column">
                  <wp:align>left</wp:align>
                </wp:positionH>
                <wp:positionV relativeFrom="line">
                  <wp:align>top</wp:align>
                </wp:positionV>
                <wp:extent cx="228600" cy="350520"/>
                <wp:effectExtent l="0" t="0" r="0" b="0"/>
                <wp:wrapSquare wrapText="right"/>
                <wp:docPr id="110" name="Frame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(6)</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(6)</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representation as to whether such stockholder or Stockholder Associated Person has complied with all applicable legal requirements in connection with its acquisition of shares or other securities of the Company, and any other information reasonably requested by the Company, including with respect to determining whether such person has complied with this Section 2.09(a) of the Bylaws;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42">
                <wp:simplePos x="0" y="0"/>
                <wp:positionH relativeFrom="column">
                  <wp:align>left</wp:align>
                </wp:positionH>
                <wp:positionV relativeFrom="line">
                  <wp:align>top</wp:align>
                </wp:positionV>
                <wp:extent cx="228600" cy="350520"/>
                <wp:effectExtent l="0" t="0" r="0" b="0"/>
                <wp:wrapSquare wrapText="right"/>
                <wp:docPr id="111" name="Frame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(7)</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(7)</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43">
                <wp:simplePos x="0" y="0"/>
                <wp:positionH relativeFrom="column">
                  <wp:align>left</wp:align>
                </wp:positionH>
                <wp:positionV relativeFrom="line">
                  <wp:align>top</wp:align>
                </wp:positionV>
                <wp:extent cx="228600" cy="350520"/>
                <wp:effectExtent l="0" t="0" r="0" b="0"/>
                <wp:wrapSquare wrapText="right"/>
                <wp:docPr id="112" name="Frame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(8)</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(8)</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0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such other information relating to any proposed item of business as the Company may reasonably require determining whether such proposed item of business is a proper matter for stockholder 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3350" distB="0" distL="0" distR="0" simplePos="0" locked="0" layoutInCell="1" allowOverlap="1" relativeHeight="144">
                <wp:simplePos x="0" y="0"/>
                <wp:positionH relativeFrom="column">
                  <wp:align>left</wp:align>
                </wp:positionH>
                <wp:positionV relativeFrom="line">
                  <wp:align>top</wp:align>
                </wp:positionV>
                <wp:extent cx="228600" cy="350520"/>
                <wp:effectExtent l="0" t="0" r="0" b="0"/>
                <wp:wrapSquare wrapText="right"/>
                <wp:docPr id="113" name="Frame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(9)</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pPr>
                      <w:r>
                        <w:rPr/>
                        <w:t>(9)</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 recommendations should be addressed to the Nominating and Corporate Governance Committee in care of our Secretary at Lucid Group, Inc., 7373 Gateway Boulevard, Newark, CA 94560.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of the director nominees has been recommended by the Nominating and Corporate Governance Committee to the Board for election as our directors at the Annual Meeting, and the Board has approved such recommendations.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Executive Committee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Executive Committee consists of Turqi Alnowaiser, Andrew Liveris, and Ori Winitzer, with Turqi Alnowaiser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 In 2024, the Executive Committee met 11 times.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Stockholder Communications with the Board of Directors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has adopted a process for stockholders and others to send communications to the Board or any director. All such communications should be sent by mail addressed to the Board or any particular director at Lucid Group, Inc., 7373 Gateway Boulevard, Newark, CA 94560, c/o General Counsel &amp; Secretary. All communications received by our General Counsel &amp; Secretary will be sent directly to the Board or any particular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Code of Business Conduct and Ethics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is available in the Governance section of the Investors section of our website at https:// ir.lucidmotors.com/governance/documents-and-charters. Information on or accessible through our website is not incorporated by reference in this Proxy Statement. We intend to disclose future amendments to our Code of Business Conduct and Ethics, or any waivers of such code, on our website or in public filings.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Insider Trading Policy</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have adopted an Insider Trading Policy that we believe is reasonably designed to promote compliance with insider trading laws, rules and regulations, and any listing standards applicable to the Company. Under this policy, directors, officers and other employees and contractors of the Company and its subsidiaries and other persons who may have access to material nonpublic information are prohibited from engaging in certain transactions relating to Company securities. The foregoing summary of the Insider Trading Policy does not purport to be complete and is qualified in its entirety by reference to the full text of the Insider Trading Policy attached as Exhibit 19.1 to our Annual Report on Form 10-K for the fiscal year ended December 31,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Involvement in Certain Legal Proceedings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There are no material proceedings to which any director, officer or affiliate of the Company, any owner of record or beneficially of more than 5% of any class of voting securities of the Company, or any associate of any such director, officer, affiliate of the Company, or security holder is a party adverse to the Company or any of its subsidiaries or has a material interest adverse to the Company or any of its subsidiaries.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OT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Report of the Audit Committee of the Board of Directors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during fiscal year 2024, the Audit Committee met and held discussions with management and KPMG LLP (“KPMG”), the Company’s independent registered public accounting firm. Management has represented to the Audit Committee that the Company’s consolidated financial statements for the fiscal year ended December 31, 2024, were prepared in accordance with U.S. generally accepted accounting principles, and the Audit Committee has reviewed and discussed the audited financial statements of the Company with management of the Company and with KPMG. In addition, the Audit Committee has discussed with KPMG the matters required to be discussed by the applicable requirements of the Public Company Accounting Oversight Board (the “PCAOB”) and the SEC. The Audit Committee has received from KPMG the written disclosures regarding KPMG’s communications with the Audit Committee concerning independence required by the applicable requirements of the PCAOB and has discussed with KPMG the independence of KPMG from the Company and its management. Based on the foregoing, the Audit Committee recommended to the Board, and the Board approved, the inclusion of the audited consolidated financial statements in the Company’s Annual Report on Form 10-K for the fiscal year ended December 31, 2024, for filing with the SEC. The Audit Committee and the Board have also recommended the selection of KPMG as the Company’s independent registered public accounting firm for the fiscal year ending December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material in this report is not deemed “soliciting material,” is not deemed “filed” with the SEC, is not subject to Regulation 14A or 14C or to the liabilities of Section 18 of the Securities Exchange Act of 1934, as amended, and is not to be incorporated by reference into any filing of the Company under the Securities Act of 1933, as amended, whether made before or after the date hereof and irrespective of any general incorporation language in any such filing.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Janet S. Wong, Chair </w:t>
        <w:br/>
        <w:t xml:space="preserve">Lisa M. Lambert </w:t>
        <w:br/>
        <w:t>Nichelle Maynard-Elliott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N2R"/>
      <w:bookmarkEnd w:id="8"/>
      <w:r>
        <w:rPr>
          <w:rFonts w:ascii="calibri;arial;sans-serif" w:hAnsi="calibri;arial;sans-serif"/>
          <w:b w:val="false"/>
          <w:i w:val="false"/>
          <w:caps w:val="false"/>
          <w:smallCaps w:val="false"/>
          <w:color w:val="000000"/>
          <w:sz w:val="16"/>
        </w:rPr>
        <w:t xml:space="preserve">​ </w:t>
      </w:r>
    </w:p>
    <w:p>
      <w:pPr>
        <w:pStyle w:val="TextBody"/>
        <w:bidi w:val="0"/>
        <w:spacing w:before="40" w:after="283"/>
        <w:ind w:left="0" w:right="0" w:hanging="0"/>
        <w:jc w:val="right"/>
        <w:rPr>
          <w:caps w:val="false"/>
          <w:smallCaps w:val="false"/>
          <w:color w:val="000000"/>
        </w:rPr>
      </w:pPr>
      <w:r>
        <w:rPr>
          <w:caps w:val="false"/>
          <w:smallCaps w:val="false"/>
          <w:color w:val="000000"/>
        </w:rPr>
        <w:drawing>
          <wp:inline distT="0" distB="0" distL="0" distR="0">
            <wp:extent cx="8001000" cy="3152775"/>
            <wp:effectExtent l="0" t="0" r="0" b="0"/>
            <wp:docPr id="11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4" descr=""/>
                    <pic:cNvPicPr>
                      <a:picLocks noChangeAspect="1" noChangeArrowheads="1"/>
                    </pic:cNvPicPr>
                  </pic:nvPicPr>
                  <pic:blipFill>
                    <a:blip r:embed="rId39"/>
                    <a:stretch>
                      <a:fillRect/>
                    </a:stretch>
                  </pic:blipFill>
                  <pic:spPr bwMode="auto">
                    <a:xfrm>
                      <a:off x="0" y="0"/>
                      <a:ext cx="80010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200" w:before="2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PROPOSAL No. 2:</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440" w:before="48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R</w:t>
      </w:r>
      <w:r>
        <w:rPr>
          <w:rFonts w:ascii="Times New Roman;Times;serif" w:hAnsi="Times New Roman;Times;serif"/>
          <w:b w:val="false"/>
          <w:i w:val="false"/>
          <w:caps w:val="false"/>
          <w:smallCaps w:val="false"/>
          <w:color w:val="000000"/>
          <w:sz w:val="40"/>
        </w:rPr>
        <w:t xml:space="preserve">ATIFICATION OF THE </w:t>
      </w:r>
      <w:r>
        <w:rPr>
          <w:rFonts w:ascii="Times New Roman;Times;serif" w:hAnsi="Times New Roman;Times;serif"/>
          <w:b w:val="false"/>
          <w:i w:val="false"/>
          <w:caps w:val="false"/>
          <w:smallCaps w:val="false"/>
          <w:color w:val="000000"/>
          <w:sz w:val="40"/>
        </w:rPr>
        <w:t>S</w:t>
      </w:r>
      <w:r>
        <w:rPr>
          <w:rFonts w:ascii="Times New Roman;Times;serif" w:hAnsi="Times New Roman;Times;serif"/>
          <w:b w:val="false"/>
          <w:i w:val="false"/>
          <w:caps w:val="false"/>
          <w:smallCaps w:val="false"/>
          <w:color w:val="000000"/>
          <w:sz w:val="40"/>
        </w:rPr>
        <w:t>ELECTION OF THE</w:t>
      </w:r>
      <w:r>
        <w:rPr>
          <w:rFonts w:ascii="Times New Roman;Times;serif" w:hAnsi="Times New Roman;Times;serif"/>
          <w:b w:val="false"/>
          <w:i w:val="false"/>
          <w:caps w:val="false"/>
          <w:smallCaps w:val="false"/>
          <w:color w:val="000000"/>
          <w:sz w:val="40"/>
        </w:rPr>
        <w:t xml:space="preserve"> I</w:t>
      </w:r>
      <w:r>
        <w:rPr>
          <w:rFonts w:ascii="Times New Roman;Times;serif" w:hAnsi="Times New Roman;Times;serif"/>
          <w:b w:val="false"/>
          <w:i w:val="false"/>
          <w:caps w:val="false"/>
          <w:smallCaps w:val="false"/>
          <w:color w:val="000000"/>
          <w:sz w:val="40"/>
        </w:rPr>
        <w:t xml:space="preserve">NDEPENDENT </w:t>
      </w:r>
      <w:r>
        <w:rPr>
          <w:rFonts w:ascii="Times New Roman;Times;serif" w:hAnsi="Times New Roman;Times;serif"/>
          <w:b w:val="false"/>
          <w:i w:val="false"/>
          <w:caps w:val="false"/>
          <w:smallCaps w:val="false"/>
          <w:color w:val="000000"/>
          <w:sz w:val="40"/>
        </w:rPr>
        <w:t>R</w:t>
      </w:r>
      <w:r>
        <w:rPr>
          <w:rFonts w:ascii="Times New Roman;Times;serif" w:hAnsi="Times New Roman;Times;serif"/>
          <w:b w:val="false"/>
          <w:i w:val="false"/>
          <w:caps w:val="false"/>
          <w:smallCaps w:val="false"/>
          <w:color w:val="000000"/>
          <w:sz w:val="40"/>
        </w:rPr>
        <w:t xml:space="preserve">EGISTERED </w:t>
      </w:r>
      <w:r>
        <w:rPr>
          <w:rFonts w:ascii="Times New Roman;Times;serif" w:hAnsi="Times New Roman;Times;serif"/>
          <w:b w:val="false"/>
          <w:i w:val="false"/>
          <w:caps w:val="false"/>
          <w:smallCaps w:val="false"/>
          <w:color w:val="000000"/>
          <w:sz w:val="40"/>
        </w:rPr>
        <w:t>P</w:t>
      </w:r>
      <w:r>
        <w:rPr>
          <w:rFonts w:ascii="Times New Roman;Times;serif" w:hAnsi="Times New Roman;Times;serif"/>
          <w:b w:val="false"/>
          <w:i w:val="false"/>
          <w:caps w:val="false"/>
          <w:smallCaps w:val="false"/>
          <w:color w:val="000000"/>
          <w:sz w:val="40"/>
        </w:rPr>
        <w:t xml:space="preserve">UBLIC </w:t>
      </w:r>
      <w:r>
        <w:rPr>
          <w:rFonts w:ascii="Times New Roman;Times;serif" w:hAnsi="Times New Roman;Times;serif"/>
          <w:b w:val="false"/>
          <w:i w:val="false"/>
          <w:caps w:val="false"/>
          <w:smallCaps w:val="false"/>
          <w:color w:val="000000"/>
          <w:sz w:val="40"/>
        </w:rPr>
        <w:t>A</w:t>
      </w:r>
      <w:r>
        <w:rPr>
          <w:rFonts w:ascii="Times New Roman;Times;serif" w:hAnsi="Times New Roman;Times;serif"/>
          <w:b w:val="false"/>
          <w:i w:val="false"/>
          <w:caps w:val="false"/>
          <w:smallCaps w:val="false"/>
          <w:color w:val="000000"/>
          <w:sz w:val="40"/>
        </w:rPr>
        <w:t xml:space="preserve">CCOUNTING </w:t>
      </w:r>
      <w:r>
        <w:rPr>
          <w:rFonts w:ascii="Times New Roman;Times;serif" w:hAnsi="Times New Roman;Times;serif"/>
          <w:b w:val="false"/>
          <w:i w:val="false"/>
          <w:caps w:val="false"/>
          <w:smallCaps w:val="false"/>
          <w:color w:val="000000"/>
          <w:sz w:val="40"/>
        </w:rPr>
        <w:t>F</w:t>
      </w:r>
      <w:r>
        <w:rPr>
          <w:rFonts w:ascii="Times New Roman;Times;serif" w:hAnsi="Times New Roman;Times;serif"/>
          <w:b w:val="false"/>
          <w:i w:val="false"/>
          <w:caps w:val="false"/>
          <w:smallCaps w:val="false"/>
          <w:color w:val="000000"/>
          <w:sz w:val="40"/>
        </w:rPr>
        <w:t>IRM</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April 3, 2025, our Audit Committee selected KPMG LLP (“KPMG”) as our independent registered public accounting firm for the fiscal year ending December 31, 2025. KPMG has served as our independent registered public accounting firm since June 17, 2023. Representatives of KPMG plan to attend the Annual Meeting and will be available to answer appropriate questions from stockholders. They will have the opportunity to make a statement if they desire to do so.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Neither our Bylaws nor other governing documents or law require stockholder ratification of the selection of KPMG as our independent registered public accounting firm. However, the Board is submitting the selection of KPMG to the stockholders for ratification as a matter of good corporate practice. If the stockholders fail to ratify the selection, the Audit Committee will reconsider whether to retain KPMG.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Independent Registered Public Accounting Firm</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is a summary of the fees and services provided by Grant Thornton LLP (“Grant Thornton”) and KPMG to Lucid for fiscal years 2023 and 2024:</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5008"/>
        <w:gridCol w:w="109"/>
        <w:gridCol w:w="109"/>
        <w:gridCol w:w="1881"/>
        <w:gridCol w:w="109"/>
        <w:gridCol w:w="109"/>
        <w:gridCol w:w="1881"/>
        <w:gridCol w:w="155"/>
      </w:tblGrid>
      <w:tr>
        <w:trPr/>
        <w:tc>
          <w:tcPr>
            <w:tcW w:w="124" w:type="dxa"/>
            <w:tcBorders/>
            <w:shd w:fill="000000" w:val="clear"/>
            <w:vAlign w:val="center"/>
          </w:tcPr>
          <w:p>
            <w:pPr>
              <w:pStyle w:val="TableContents"/>
              <w:bidi w:val="0"/>
              <w:spacing w:before="0" w:after="283"/>
              <w:jc w:val="left"/>
              <w:rPr/>
            </w:pPr>
            <w:r>
              <w:rPr/>
              <w:t>​</w:t>
            </w:r>
          </w:p>
        </w:tc>
        <w:tc>
          <w:tcPr>
            <w:tcW w:w="5008" w:type="dxa"/>
            <w:tcBorders/>
            <w:shd w:fill="000000" w:val="clear"/>
            <w:vAlign w:val="center"/>
          </w:tcPr>
          <w:p>
            <w:pPr>
              <w:pStyle w:val="TableContents"/>
              <w:bidi w:val="0"/>
              <w:spacing w:before="0" w:after="0"/>
              <w:jc w:val="left"/>
              <w:rPr/>
            </w:pPr>
            <w:r>
              <w:rPr/>
              <w:t xml:space="preserve">Description of Services Provided by Grant Thornton and KPMG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81" w:type="dxa"/>
            <w:tcBorders/>
            <w:shd w:fill="000000" w:val="clear"/>
            <w:vAlign w:val="center"/>
          </w:tcPr>
          <w:p>
            <w:pPr>
              <w:pStyle w:val="TableContents"/>
              <w:bidi w:val="0"/>
              <w:spacing w:before="0" w:after="283"/>
              <w:jc w:val="left"/>
              <w:rPr/>
            </w:pPr>
            <w:r>
              <w:rPr/>
              <w:t>Fiscal year Ended</w:t>
              <w:br/>
              <w:t xml:space="preserve">December 31, 2023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81" w:type="dxa"/>
            <w:tcBorders/>
            <w:shd w:fill="000000" w:val="clear"/>
            <w:vAlign w:val="center"/>
          </w:tcPr>
          <w:p>
            <w:pPr>
              <w:pStyle w:val="TableContents"/>
              <w:bidi w:val="0"/>
              <w:spacing w:before="0" w:after="283"/>
              <w:jc w:val="left"/>
              <w:rPr/>
            </w:pPr>
            <w:r>
              <w:rPr/>
              <w:t>Fiscal year Ended</w:t>
              <w:br/>
              <w:t xml:space="preserve">December 31, 2024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5008" w:type="dxa"/>
            <w:tcBorders>
              <w:bottom w:val="single" w:sz="6" w:space="0" w:color="000000"/>
            </w:tcBorders>
            <w:tcMar>
              <w:bottom w:w="148" w:type="dxa"/>
            </w:tcMar>
            <w:vAlign w:val="center"/>
          </w:tcPr>
          <w:p>
            <w:pPr>
              <w:pStyle w:val="TableContents"/>
              <w:bidi w:val="0"/>
              <w:spacing w:before="0" w:after="283"/>
              <w:jc w:val="left"/>
              <w:rPr/>
            </w:pPr>
            <w:r>
              <w:rPr/>
              <w:t>Audit Fees</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 xml:space="preserve">$4,200,000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 xml:space="preserve">$5,094,068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5008" w:type="dxa"/>
            <w:tcBorders>
              <w:bottom w:val="single" w:sz="6" w:space="0" w:color="000000"/>
            </w:tcBorders>
            <w:tcMar>
              <w:bottom w:w="148" w:type="dxa"/>
            </w:tcMar>
            <w:vAlign w:val="center"/>
          </w:tcPr>
          <w:p>
            <w:pPr>
              <w:pStyle w:val="TableContents"/>
              <w:bidi w:val="0"/>
              <w:spacing w:before="0" w:after="283"/>
              <w:jc w:val="left"/>
              <w:rPr/>
            </w:pPr>
            <w:r>
              <w:rPr/>
              <w:t xml:space="preserve">Audit-Related Fees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5008" w:type="dxa"/>
            <w:tcBorders>
              <w:bottom w:val="single" w:sz="6" w:space="0" w:color="000000"/>
            </w:tcBorders>
            <w:tcMar>
              <w:bottom w:w="148" w:type="dxa"/>
            </w:tcMar>
            <w:vAlign w:val="center"/>
          </w:tcPr>
          <w:p>
            <w:pPr>
              <w:pStyle w:val="TableContents"/>
              <w:bidi w:val="0"/>
              <w:spacing w:before="0" w:after="283"/>
              <w:jc w:val="left"/>
              <w:rPr/>
            </w:pPr>
            <w:r>
              <w:rPr/>
              <w:t xml:space="preserve">Tax Fees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 xml:space="preserve">15,000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 xml:space="preserve">246,200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5008" w:type="dxa"/>
            <w:tcBorders>
              <w:bottom w:val="single" w:sz="6" w:space="0" w:color="000000"/>
            </w:tcBorders>
            <w:tcMar>
              <w:bottom w:w="148" w:type="dxa"/>
            </w:tcMar>
            <w:vAlign w:val="center"/>
          </w:tcPr>
          <w:p>
            <w:pPr>
              <w:pStyle w:val="TableContents"/>
              <w:bidi w:val="0"/>
              <w:spacing w:before="0" w:after="283"/>
              <w:jc w:val="left"/>
              <w:rPr/>
            </w:pPr>
            <w:r>
              <w:rPr/>
              <w:t xml:space="preserve">All Other Fees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5008" w:type="dxa"/>
            <w:tcBorders>
              <w:bottom w:val="single" w:sz="6" w:space="0" w:color="000000"/>
            </w:tcBorders>
            <w:tcMar>
              <w:bottom w:w="148"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 xml:space="preserve">$4,215,000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81" w:type="dxa"/>
            <w:tcBorders>
              <w:bottom w:val="single" w:sz="6" w:space="0" w:color="000000"/>
            </w:tcBorders>
            <w:tcMar>
              <w:bottom w:w="148" w:type="dxa"/>
            </w:tcMar>
            <w:vAlign w:val="center"/>
          </w:tcPr>
          <w:p>
            <w:pPr>
              <w:pStyle w:val="TableContents"/>
              <w:bidi w:val="0"/>
              <w:spacing w:before="0" w:after="283"/>
              <w:jc w:val="left"/>
              <w:rPr/>
            </w:pPr>
            <w:r>
              <w:rPr/>
              <w:t>$5,340,268</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4"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Audit Fees in 2023 and 2024 were for professional services rendered for the audits of our financial statements, review of interim financial statements, assistance with registration statements filed with the SEC and services that are normally provided by Grant Thornton and KPMG in connection with statutory and regulatory filings or engagements. Fees for the year ended December 31, 2024 included approximately $335,000 charged by Grant Thornton and $4,759,068 charged by KPMG. Fees for the year ended December 31, 2023 included approximately $630,000 charged by Grant Thornton and $3,570,000 charged by KPMG.</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05740" distB="0" distL="0" distR="0" simplePos="0" locked="0" layoutInCell="1" allowOverlap="1" relativeHeight="145">
                <wp:simplePos x="0" y="0"/>
                <wp:positionH relativeFrom="column">
                  <wp:align>left</wp:align>
                </wp:positionH>
                <wp:positionV relativeFrom="line">
                  <wp:align>top</wp:align>
                </wp:positionV>
                <wp:extent cx="91440" cy="180340"/>
                <wp:effectExtent l="0" t="0" r="0" b="0"/>
                <wp:wrapSquare wrapText="right"/>
                <wp:docPr id="115" name="Frame7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6.2pt;mso-wrap-distance-bottom:0pt;margin-top:16.2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3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Audit Committee or a delegate thereof pre-approves the scope of the audit and non-audit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of the services provided by Grant Thornton for fiscal year 2023 and fiscal year 2024, and fees for such services, and all services provided by KPMG for fiscal year 2023 and fiscal year 2024, and fees for such services, were pre-approved by the Audit Committee in accordance with these standards.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Change in Accountants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May 26, 2023, following the conclusion of a process managed by the Audit Committee of the Board and effective June 17, 2023, the Audit Committee approved the appointment of KPMG as the Company’s independent registered public accounting firm beginning with the year ending December 31,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May 26, 2023, the Audit Committee dismissed Grant Thornton as the Company’s independent registered public accounting firm effective immediately upon the effectiveness of the appointment of KPMG. Grant Thornton served as the Company’s independent registered public accounting firm since the close of the merger with Churchill Capital Corp IV on July 23, 2021 and as the independent registered public accounting firm of the Company’s predecessor, Atieva, Inc., since October 13, 2020.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audit reports of Grant Thornton on the Company’s consolidated financial statements as of and for the years ended December 31, 2021 and 2022 did not contain an adverse opinion or a disclaimer of opinion, and were not qualified or modified as to uncertainty, audit scope or accounting principles.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During the fiscal years ended December 31, 2021 and December 31, 2022 and through May 26, 2023, there were no: (1) disagreements with Grant Thornton within the meaning of Item 304(a)(1)(iv) of Regulation S-K promulgated under the Securities Exchange Act of 1934, as amended, or Regulation S-K, and the related instructions thereto,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under Item 304(a)(1)(v) of Regulation S-K and the related instructions thereto.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During the Company’s years ending December 31, 2021 and 2022 and through May 26, 2023, neither the Company, nor anyone on its behalf, consulted KPMG regarding either: (i) the application of accounting principles to a specified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transaction, either completed or proposed; or the type of audit opinion that might be rendered on the Company’s financial statements; or (ii) any matter that was the subject of a “disagreement” ​(as that term is defined in Item 304(a)(1)(iv) of Regulation S-K) or “reportable event” ​(as that term is defined in Item 304(a)(1)(v) of Regulation 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previously provided Grant Thornton with a copy of the above statements and requested Grant Thornton furnish the Company with a letter addressed to the SEC stating whether or not Grant Thornton agrees with the above statements, as required by Item 304(a)(3) of Regulation S-K. A copy of Grant Thornton’s letter is filed as Exhibit 16.1 to the Current Report on Form 8-K filed with the SEC on May 31,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Vote Required</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be approved, a majority of the total votes cast on Proposal No. 2 must be voted “For” the ratification of the selection of KPMG as our independent registered public accounting firm for the fiscal year ending December 31, 2025. Broker non-votes are not applicable with respect to Proposal No. 2 as brokers generally have discretion to vote uninstructed shares on this proposal. Abstentions will have no effect.</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000000" w:val="clear"/>
            <w:vAlign w:val="center"/>
          </w:tcPr>
          <w:p>
            <w:pPr>
              <w:pStyle w:val="TableContents"/>
              <w:bidi w:val="0"/>
              <w:spacing w:before="0" w:after="283"/>
              <w:jc w:val="left"/>
              <w:rPr/>
            </w:pPr>
            <w:r>
              <w:rPr/>
              <w:t>​</w:t>
            </w:r>
          </w:p>
        </w:tc>
        <w:tc>
          <w:tcPr>
            <w:tcW w:w="9207" w:type="dxa"/>
            <w:tcBorders/>
            <w:shd w:fill="000000" w:val="clear"/>
            <w:vAlign w:val="center"/>
          </w:tcPr>
          <w:p>
            <w:pPr>
              <w:pStyle w:val="TableContents"/>
              <w:bidi w:val="0"/>
              <w:spacing w:before="0" w:after="0"/>
              <w:jc w:val="center"/>
              <w:rPr/>
            </w:pPr>
            <w:r>
              <w:rPr/>
              <w:t xml:space="preserve">THE BOARD OF DIRECTORS RECOMMENDS A VOTE “FOR” THE RATIFICATION OF THE SELECTION OF THE INDEPENDENT REGISTERED PUBLIC ACCOUNTING FIRM </w:t>
              <w:br/>
              <w:t>(PROPOSAL NO. 2)</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N3"/>
      <w:bookmarkEnd w:id="9"/>
      <w:r>
        <w:rPr>
          <w:rFonts w:ascii="calibri;arial;sans-serif" w:hAnsi="calibri;arial;sans-serif"/>
          <w:b w:val="false"/>
          <w:i w:val="false"/>
          <w:caps w:val="false"/>
          <w:smallCaps w:val="false"/>
          <w:color w:val="000000"/>
          <w:sz w:val="16"/>
        </w:rPr>
        <w:t xml:space="preserve">​ </w:t>
      </w:r>
    </w:p>
    <w:p>
      <w:pPr>
        <w:pStyle w:val="TextBody"/>
        <w:bidi w:val="0"/>
        <w:spacing w:before="40" w:after="283"/>
        <w:ind w:left="0" w:right="0" w:hanging="0"/>
        <w:jc w:val="right"/>
        <w:rPr>
          <w:caps w:val="false"/>
          <w:smallCaps w:val="false"/>
          <w:color w:val="000000"/>
        </w:rPr>
      </w:pPr>
      <w:r>
        <w:rPr>
          <w:caps w:val="false"/>
          <w:smallCaps w:val="false"/>
          <w:color w:val="000000"/>
        </w:rPr>
        <w:drawing>
          <wp:inline distT="0" distB="0" distL="0" distR="0">
            <wp:extent cx="8001000" cy="3152775"/>
            <wp:effectExtent l="0" t="0" r="0" b="0"/>
            <wp:docPr id="11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5" descr=""/>
                    <pic:cNvPicPr>
                      <a:picLocks noChangeAspect="1" noChangeArrowheads="1"/>
                    </pic:cNvPicPr>
                  </pic:nvPicPr>
                  <pic:blipFill>
                    <a:blip r:embed="rId40"/>
                    <a:stretch>
                      <a:fillRect/>
                    </a:stretch>
                  </pic:blipFill>
                  <pic:spPr bwMode="auto">
                    <a:xfrm>
                      <a:off x="0" y="0"/>
                      <a:ext cx="80010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200" w:before="2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w:t>
      </w:r>
      <w:r>
        <w:rPr>
          <w:rFonts w:ascii="Arial;Helvetica;sans-serif" w:hAnsi="Arial;Helvetica;sans-serif"/>
          <w:b/>
          <w:i w:val="false"/>
          <w:caps w:val="false"/>
          <w:smallCaps w:val="false"/>
          <w:color w:val="000000"/>
          <w:sz w:val="16"/>
        </w:rPr>
        <w:t>ROPOSAL</w:t>
      </w:r>
      <w:r>
        <w:rPr>
          <w:rFonts w:ascii="Arial;Helvetica;sans-serif" w:hAnsi="Arial;Helvetica;sans-serif"/>
          <w:b/>
          <w:i w:val="false"/>
          <w:caps/>
          <w:color w:val="000000"/>
          <w:sz w:val="16"/>
        </w:rPr>
        <w:t xml:space="preserve"> No. 3:</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440" w:before="48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A</w:t>
      </w:r>
      <w:r>
        <w:rPr>
          <w:rFonts w:ascii="Times New Roman;Times;serif" w:hAnsi="Times New Roman;Times;serif"/>
          <w:b w:val="false"/>
          <w:i w:val="false"/>
          <w:caps w:val="false"/>
          <w:smallCaps w:val="false"/>
          <w:color w:val="000000"/>
          <w:sz w:val="40"/>
        </w:rPr>
        <w:t xml:space="preserve">PPROVAL, ON AN </w:t>
      </w:r>
      <w:r>
        <w:rPr>
          <w:rFonts w:ascii="Times New Roman;Times;serif" w:hAnsi="Times New Roman;Times;serif"/>
          <w:b w:val="false"/>
          <w:i w:val="false"/>
          <w:caps w:val="false"/>
          <w:smallCaps w:val="false"/>
          <w:color w:val="000000"/>
          <w:sz w:val="40"/>
        </w:rPr>
        <w:t>A</w:t>
      </w:r>
      <w:r>
        <w:rPr>
          <w:rFonts w:ascii="Times New Roman;Times;serif" w:hAnsi="Times New Roman;Times;serif"/>
          <w:b w:val="false"/>
          <w:i w:val="false"/>
          <w:caps w:val="false"/>
          <w:smallCaps w:val="false"/>
          <w:color w:val="000000"/>
          <w:sz w:val="40"/>
        </w:rPr>
        <w:t xml:space="preserve">DVISORY </w:t>
      </w:r>
      <w:r>
        <w:rPr>
          <w:rFonts w:ascii="Times New Roman;Times;serif" w:hAnsi="Times New Roman;Times;serif"/>
          <w:b w:val="false"/>
          <w:i w:val="false"/>
          <w:caps w:val="false"/>
          <w:smallCaps w:val="false"/>
          <w:color w:val="000000"/>
          <w:sz w:val="40"/>
        </w:rPr>
        <w:t>B</w:t>
      </w:r>
      <w:r>
        <w:rPr>
          <w:rFonts w:ascii="Times New Roman;Times;serif" w:hAnsi="Times New Roman;Times;serif"/>
          <w:b w:val="false"/>
          <w:i w:val="false"/>
          <w:caps w:val="false"/>
          <w:smallCaps w:val="false"/>
          <w:color w:val="000000"/>
          <w:sz w:val="40"/>
        </w:rPr>
        <w:t xml:space="preserve">ASIS, of THE </w:t>
      </w:r>
      <w:r>
        <w:rPr>
          <w:rFonts w:ascii="Times New Roman;Times;serif" w:hAnsi="Times New Roman;Times;serif"/>
          <w:b w:val="false"/>
          <w:i w:val="false"/>
          <w:caps w:val="false"/>
          <w:smallCaps w:val="false"/>
          <w:color w:val="000000"/>
          <w:sz w:val="40"/>
        </w:rPr>
        <w:t>C</w:t>
      </w:r>
      <w:r>
        <w:rPr>
          <w:rFonts w:ascii="Times New Roman;Times;serif" w:hAnsi="Times New Roman;Times;serif"/>
          <w:b w:val="false"/>
          <w:i w:val="false"/>
          <w:caps w:val="false"/>
          <w:smallCaps w:val="false"/>
          <w:color w:val="000000"/>
          <w:sz w:val="40"/>
        </w:rPr>
        <w:t xml:space="preserve">OMPENSATION OF </w:t>
      </w:r>
      <w:r>
        <w:rPr>
          <w:rFonts w:ascii="Times New Roman;Times;serif" w:hAnsi="Times New Roman;Times;serif"/>
          <w:b w:val="false"/>
          <w:i w:val="false"/>
          <w:caps w:val="false"/>
          <w:smallCaps w:val="false"/>
          <w:color w:val="000000"/>
          <w:sz w:val="40"/>
        </w:rPr>
        <w:t>O</w:t>
      </w:r>
      <w:r>
        <w:rPr>
          <w:rFonts w:ascii="Times New Roman;Times;serif" w:hAnsi="Times New Roman;Times;serif"/>
          <w:b w:val="false"/>
          <w:i w:val="false"/>
          <w:caps w:val="false"/>
          <w:smallCaps w:val="false"/>
          <w:color w:val="000000"/>
          <w:sz w:val="40"/>
        </w:rPr>
        <w:t xml:space="preserve">UR </w:t>
      </w:r>
      <w:r>
        <w:rPr>
          <w:rFonts w:ascii="Times New Roman;Times;serif" w:hAnsi="Times New Roman;Times;serif"/>
          <w:b w:val="false"/>
          <w:i w:val="false"/>
          <w:caps w:val="false"/>
          <w:smallCaps w:val="false"/>
          <w:color w:val="000000"/>
          <w:sz w:val="40"/>
        </w:rPr>
        <w:t>N</w:t>
      </w:r>
      <w:r>
        <w:rPr>
          <w:rFonts w:ascii="Times New Roman;Times;serif" w:hAnsi="Times New Roman;Times;serif"/>
          <w:b w:val="false"/>
          <w:i w:val="false"/>
          <w:caps w:val="false"/>
          <w:smallCaps w:val="false"/>
          <w:color w:val="000000"/>
          <w:sz w:val="40"/>
        </w:rPr>
        <w:t xml:space="preserve">AMED </w:t>
      </w:r>
      <w:r>
        <w:rPr>
          <w:rFonts w:ascii="Times New Roman;Times;serif" w:hAnsi="Times New Roman;Times;serif"/>
          <w:b w:val="false"/>
          <w:i w:val="false"/>
          <w:caps w:val="false"/>
          <w:smallCaps w:val="false"/>
          <w:color w:val="000000"/>
          <w:sz w:val="40"/>
        </w:rPr>
        <w:t>E</w:t>
      </w:r>
      <w:r>
        <w:rPr>
          <w:rFonts w:ascii="Times New Roman;Times;serif" w:hAnsi="Times New Roman;Times;serif"/>
          <w:b w:val="false"/>
          <w:i w:val="false"/>
          <w:caps w:val="false"/>
          <w:smallCaps w:val="false"/>
          <w:color w:val="000000"/>
          <w:sz w:val="40"/>
        </w:rPr>
        <w:t xml:space="preserve">XECUTIVE </w:t>
      </w:r>
      <w:r>
        <w:rPr>
          <w:rFonts w:ascii="Times New Roman;Times;serif" w:hAnsi="Times New Roman;Times;serif"/>
          <w:b w:val="false"/>
          <w:i w:val="false"/>
          <w:caps w:val="false"/>
          <w:smallCaps w:val="false"/>
          <w:color w:val="000000"/>
          <w:sz w:val="40"/>
        </w:rPr>
        <w:t>O</w:t>
      </w:r>
      <w:r>
        <w:rPr>
          <w:rFonts w:ascii="Times New Roman;Times;serif" w:hAnsi="Times New Roman;Times;serif"/>
          <w:b w:val="false"/>
          <w:i w:val="false"/>
          <w:caps w:val="false"/>
          <w:smallCaps w:val="false"/>
          <w:color w:val="000000"/>
          <w:sz w:val="40"/>
        </w:rPr>
        <w:t>FFICERS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are required by Section 14A of the Exchange Act to offer our stockholders an opportunity to cast an advisory, non-binding, vote on the compensation of our named executive officers, as disclosed in this Proxy Statement, pursuant to the Dodd-Frank Wall Street Reform and Consumer Protection Act enacted in July 2010 (the “Dodd-Frank Act”) (commonly referred to as a “say-on-pay” vote). This vote is not intended to address any specific item of compensation, but rather the overall compensation of our named executive officers and the philosophy, policies and practices described in this Proxy Statement. Although the vote is non-binding, we value constructive feedback from our stockholders on executive compensation and other important matters, and the Board and the Compensation and Human Capital Committee will consider the voting results when making future compensation decisions.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described under the heading “Compensation Discussion and Analysis” in this Proxy Statement, our executive compensation program is designed to attract, retain and motivate top-level talent who possess the skills and leadership necessary to grow our business and enable long-term value creation. The Board encourages our stockholders to read the disclosures set forth in the “Compensation Discussion and Analysis” section of this Proxy Statement and to review the compensation actions taken in fiscal year 2024. The Board believes that our executive compensation program effectively aligns executive pay with our performance and results in the attraction and retention of talented executives who are critical to our success.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Accordingly, the Board recommends that our stockholders vote “For” the following resolution: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center"/>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18"/>
        </w:rPr>
        <w:t>RESOLVED</w:t>
      </w:r>
      <w:r>
        <w:rPr>
          <w:rFonts w:ascii="Arial;Helvetica;sans-serif" w:hAnsi="Arial;Helvetica;sans-serif"/>
          <w:b w:val="false"/>
          <w:i w:val="false"/>
          <w:caps w:val="false"/>
          <w:smallCaps w:val="false"/>
          <w:color w:val="000000"/>
          <w:sz w:val="18"/>
        </w:rPr>
        <w:t>, that the compensation paid to the named executive officers, as disclosed in the proxy statement furnished for the 2025 Annual Meeting of Stockholders pursuant to Item 402 of Regulation S-K, including the Compensation Discussion and Analysis, compensation tables and related narrative discussion, is hereby APPROVED on an advisory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Because the vote is advisory, it is not binding on management or the Board. Nevertheless, the views expressed by our stockholders, whether through this vote or otherwise, are important to management and the Board and, accordingly, the Compensation and Human Capital Committee and the Board intend to consider the results of this vote in making determinations in the future regarding executive compensation arrangements. Your vote will serve as an additional tool to guide the Compensation and Human Capital Committee and the Board in continuing to improve the alignment of our executive compensation program with business objectives and performance and with the interests of our stockholders.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Vote Required</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be approved, a majority of the total votes cast on Proposal No. 3 must be voted “For” the approval, on an advisory basis, of the compensation of our named executive officers. Only votes “For” or “Against” will affect the outcome. Broker non-votes and abstentions will have no effect.</w:t>
      </w:r>
      <w:r>
        <w:rPr>
          <w:rFonts w:ascii="Arial;Helvetica;sans-serif" w:hAnsi="Arial;Helvetica;sans-serif"/>
          <w:b w:val="false"/>
          <w:i w:val="false"/>
          <w:caps w:val="false"/>
          <w:smallCaps w:val="false"/>
          <w:color w:val="000000"/>
          <w:spacing w:val="4"/>
          <w:sz w:val="18"/>
        </w:rPr>
        <w:t xml:space="preserve"> </w:t>
      </w:r>
    </w:p>
    <w:tbl>
      <w:tblPr>
        <w:tblW w:w="7689" w:type="dxa"/>
        <w:jc w:val="left"/>
        <w:tblInd w:w="720" w:type="dxa"/>
        <w:tblLayout w:type="fixed"/>
        <w:tblCellMar>
          <w:top w:w="0" w:type="dxa"/>
          <w:left w:w="0" w:type="dxa"/>
          <w:bottom w:w="0" w:type="dxa"/>
          <w:right w:w="0" w:type="dxa"/>
        </w:tblCellMar>
      </w:tblPr>
      <w:tblGrid>
        <w:gridCol w:w="124"/>
        <w:gridCol w:w="7411"/>
        <w:gridCol w:w="154"/>
      </w:tblGrid>
      <w:tr>
        <w:trPr/>
        <w:tc>
          <w:tcPr>
            <w:tcW w:w="124" w:type="dxa"/>
            <w:tcBorders/>
            <w:shd w:fill="000000" w:val="clear"/>
            <w:vAlign w:val="center"/>
          </w:tcPr>
          <w:p>
            <w:pPr>
              <w:pStyle w:val="TableContents"/>
              <w:bidi w:val="0"/>
              <w:spacing w:before="0" w:after="283"/>
              <w:jc w:val="left"/>
              <w:rPr/>
            </w:pPr>
            <w:r>
              <w:rPr/>
              <w:t>​</w:t>
            </w:r>
          </w:p>
        </w:tc>
        <w:tc>
          <w:tcPr>
            <w:tcW w:w="7411" w:type="dxa"/>
            <w:tcBorders/>
            <w:shd w:fill="000000" w:val="clear"/>
            <w:vAlign w:val="center"/>
          </w:tcPr>
          <w:p>
            <w:pPr>
              <w:pStyle w:val="TableContents"/>
              <w:bidi w:val="0"/>
              <w:spacing w:before="0" w:after="0"/>
              <w:jc w:val="center"/>
              <w:rPr/>
            </w:pPr>
            <w:r>
              <w:rPr/>
              <w:t xml:space="preserve">THE BOARD OF DIRECTORS RECOMMENDS A VOTE “FOR” THE </w:t>
              <w:br/>
              <w:t xml:space="preserve">APPROVAL, ON AN ADVISORY BASIS, OF THE COMPENSATION </w:t>
              <w:br/>
              <w:t>OF OUR NAMED EXECUTIVE OFFICERS</w:t>
              <w:br/>
              <w:t>(PROPOSAL NO. 3)</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N4"/>
      <w:bookmarkEnd w:id="10"/>
      <w:r>
        <w:rPr>
          <w:rFonts w:ascii="calibri;arial;sans-serif" w:hAnsi="calibri;arial;sans-serif"/>
          <w:b w:val="false"/>
          <w:i w:val="false"/>
          <w:caps w:val="false"/>
          <w:smallCaps w:val="false"/>
          <w:color w:val="000000"/>
          <w:sz w:val="16"/>
        </w:rPr>
        <w:t xml:space="preserve">​ </w:t>
      </w:r>
    </w:p>
    <w:p>
      <w:pPr>
        <w:pStyle w:val="TextBody"/>
        <w:bidi w:val="0"/>
        <w:spacing w:before="40" w:after="283"/>
        <w:ind w:left="0" w:right="0" w:hanging="0"/>
        <w:jc w:val="right"/>
        <w:rPr>
          <w:caps w:val="false"/>
          <w:smallCaps w:val="false"/>
          <w:color w:val="000000"/>
        </w:rPr>
      </w:pPr>
      <w:r>
        <w:rPr>
          <w:caps w:val="false"/>
          <w:smallCaps w:val="false"/>
          <w:color w:val="000000"/>
        </w:rPr>
        <w:drawing>
          <wp:inline distT="0" distB="0" distL="0" distR="0">
            <wp:extent cx="8001000" cy="3152775"/>
            <wp:effectExtent l="0" t="0" r="0" b="0"/>
            <wp:docPr id="11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6" descr=""/>
                    <pic:cNvPicPr>
                      <a:picLocks noChangeAspect="1" noChangeArrowheads="1"/>
                    </pic:cNvPicPr>
                  </pic:nvPicPr>
                  <pic:blipFill>
                    <a:blip r:embed="rId41"/>
                    <a:stretch>
                      <a:fillRect/>
                    </a:stretch>
                  </pic:blipFill>
                  <pic:spPr bwMode="auto">
                    <a:xfrm>
                      <a:off x="0" y="0"/>
                      <a:ext cx="80010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200" w:before="2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Proposal No. 4:</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440" w:before="48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Approval of the Amendment and Restatement of the Lucid Group, Inc. Amended and Restated 2021 Stock Incentive Plan</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00" w:before="40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Summary and Background</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are asking our stockholders to approve the Lucid Group, Inc. Amended and Restated 2021 Stock Incentive Plan, effective June 5, 2025 (the “Amended Plan”). The Amended Plan is an amendment and restatement of the Lucid Group, Inc. Amended and Restated 2021 Stock Incentive Plan (the “Plan”), which was approved by our stockholders on June 4, 2024. The Plan was initially effective on July 23, 2021 and has been amended in 2022, 2023, and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Amended Plan would increase the maximum aggregate number of shares authorized for issuance pursuant to awards </w:t>
        <w:br/>
        <w:t>under the Plan by 184,000,000 shares to a total of 378,669,244 shares. The proposed amendment is intended to enhance flexibility to continue to grant equity to our employees. Competitive equity awards are critical in allowing us to attract, retain, and motivate talented and qualified employees in the highly competitive markets in which we operate.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shares reserved for issuance through the Amended Plan (and the prior statements of the Plan) cover our annual equity program awards as well as shares purchased under our Employee Stock Purchase Plan, which is included as an addendum to the Amended Plan (and the prior statements of the Plan) (the “ESPP Addendum”). We do not have a separate number of shares authorized for issuance pursuant to a standalone Employee Stock Purchase Plan. On April 22, 2025, the Board approved the Amended Plan, subject to the approval of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Reason for the Proposal</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purpose of the Amended Plan is to enhance our ability to attract, retain, incentivize, reward, and motivate service providers who make (or are expected to make) important contributions to the Company by providing these individuals with equity ownership and other incentive opportunities.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use of equity compensation and the alignment with stockholders it provides has helped us achieve the success, growth, and value creation experienced by us and our stockholders. The Board believes that an increase in the shares available for issuance under the Plan will enable us to attract and retain the best available talent to grow our business and to ensure a sufficient number of shares will be available through June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184,000,000 shares requested reflects the number of shares we forecast to be necessary to support our equity compensation program for the current fiscal year 2025 and through June 2026 based on our new hire and annual grant practices. Based on the closing price per share of Company common stock of $2.42 on March 31, 2025, the aggregate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market value of the 184,000,000 additional shares available for equity awards under the Amended Plan if this proposal is approved would be approximately $445,280,000.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Consequences of Failure to Approve Proposal</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As of March 31, 2025, we had 34,006,170 shares remaining available for issuance under the Plan. The Plan, including the ESPP Addendum, which allows employees to purchase our stock at a discount on a tax favorable basis, is the Company’s only current plan for granting equity incentive compensation to our employees, other than the Company’s Employee Stock Purchase Plan, which allows employees to purchase our stock at a discount on a tax favorable basis. We anticipate that such remaining shares will be insufficient to support our annual equity grant cycle for fiscal year 2025 and through June 2026. If this Proposal No. 4 is not approved by our stockholders, we will continue to operate the Plan pursuant to its current provisions until there are no longer shares remaining available for issuance under the Plan and the Board will need to consider alternative arrangements to delivering competitive long-term compensation, including cash-based awards, in the absence of equity award availability. If we are unable to grant equity awards, our ability to hire and retain necessary talent will be significantly limited and will have a negative impact on our ability to grow and operate our business.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Eligible Participants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As of March 31, 2025, the number of persons eligible to participate in the Plan was approximately 6,780 employees, 53 consultants or independent contractors, and eight non-employee directors. The basis for participation in the Plan is the decision of the Compensation and Human Capital Committee and in some instances, of the Board, that an award to an eligible person will further the Plan’s purposes to attract, retain, incentivize, reward, and motivate service providers, as described above. In exercising its discretion, the Compensation and Human Capital Committee or the Board will consider the recommendations of management and the purposes of the Plan.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ECP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Equity Compensation Plan Information</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5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table presents certain information with respect to our equity compensation plans as of December 31, 2024, as required by Item 201(d) of Regulation S-K of the Exchange Act:</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202"/>
        <w:gridCol w:w="109"/>
        <w:gridCol w:w="109"/>
        <w:gridCol w:w="2052"/>
        <w:gridCol w:w="109"/>
        <w:gridCol w:w="109"/>
        <w:gridCol w:w="2106"/>
        <w:gridCol w:w="109"/>
        <w:gridCol w:w="109"/>
        <w:gridCol w:w="2192"/>
        <w:gridCol w:w="155"/>
      </w:tblGrid>
      <w:tr>
        <w:trPr/>
        <w:tc>
          <w:tcPr>
            <w:tcW w:w="124" w:type="dxa"/>
            <w:tcBorders/>
            <w:shd w:fill="000000" w:val="clear"/>
            <w:vAlign w:val="center"/>
          </w:tcPr>
          <w:p>
            <w:pPr>
              <w:pStyle w:val="TableContents"/>
              <w:bidi w:val="0"/>
              <w:spacing w:before="0" w:after="283"/>
              <w:jc w:val="left"/>
              <w:rPr/>
            </w:pPr>
            <w:r>
              <w:rPr/>
              <w:t>​</w:t>
            </w:r>
          </w:p>
        </w:tc>
        <w:tc>
          <w:tcPr>
            <w:tcW w:w="2202" w:type="dxa"/>
            <w:tcBorders/>
            <w:shd w:fill="000000" w:val="clear"/>
            <w:vAlign w:val="center"/>
          </w:tcPr>
          <w:p>
            <w:pPr>
              <w:pStyle w:val="TableContents"/>
              <w:bidi w:val="0"/>
              <w:spacing w:before="0" w:after="0"/>
              <w:jc w:val="left"/>
              <w:rPr/>
            </w:pPr>
            <w:r>
              <w:rPr/>
              <w:t xml:space="preserve">Plan Category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52" w:type="dxa"/>
            <w:tcBorders/>
            <w:shd w:fill="000000" w:val="clear"/>
            <w:vAlign w:val="center"/>
          </w:tcPr>
          <w:p>
            <w:pPr>
              <w:pStyle w:val="TableContents"/>
              <w:bidi w:val="0"/>
              <w:spacing w:before="0" w:after="283"/>
              <w:jc w:val="left"/>
              <w:rPr/>
            </w:pPr>
            <w:r>
              <w:rPr/>
              <w:t xml:space="preserve">Number of Securities to be </w:t>
              <w:br/>
              <w:t xml:space="preserve">Issued Upon Exercise of </w:t>
              <w:br/>
              <w:t xml:space="preserve">Outstanding Options, Warrants </w:t>
              <w:br/>
              <w:t>and Rights</w:t>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106" w:type="dxa"/>
            <w:tcBorders/>
            <w:shd w:fill="000000" w:val="clear"/>
            <w:vAlign w:val="center"/>
          </w:tcPr>
          <w:p>
            <w:pPr>
              <w:pStyle w:val="TableContents"/>
              <w:bidi w:val="0"/>
              <w:spacing w:before="0" w:after="283"/>
              <w:jc w:val="left"/>
              <w:rPr/>
            </w:pPr>
            <w:r>
              <w:rPr/>
              <w:t>Weighted Average Exercise Price</w:t>
              <w:br/>
              <w:t>of Outstanding Options,</w:t>
              <w:br/>
              <w:t xml:space="preserve">Warrants and Rights </w:t>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192" w:type="dxa"/>
            <w:tcBorders/>
            <w:shd w:fill="000000" w:val="clear"/>
            <w:vAlign w:val="center"/>
          </w:tcPr>
          <w:p>
            <w:pPr>
              <w:pStyle w:val="TableContents"/>
              <w:bidi w:val="0"/>
              <w:spacing w:before="0" w:after="283"/>
              <w:jc w:val="left"/>
              <w:rPr/>
            </w:pPr>
            <w:r>
              <w:rPr/>
              <w:t>Number of Securities Remaining</w:t>
              <w:br/>
              <w:t xml:space="preserve">Available for Future Issuance </w:t>
              <w:br/>
              <w:t xml:space="preserve">under Equity Compensation </w:t>
              <w:br/>
              <w:t xml:space="preserve">Plans (excluding securities </w:t>
              <w:br/>
              <w:t>reflected in column (a))</w:t>
              <w:br/>
              <w:t xml:space="preserve">(c)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02" w:type="dxa"/>
            <w:tcBorders>
              <w:bottom w:val="single" w:sz="6" w:space="0" w:color="000000"/>
            </w:tcBorders>
            <w:tcMar>
              <w:bottom w:w="141" w:type="dxa"/>
            </w:tcMar>
            <w:vAlign w:val="center"/>
          </w:tcPr>
          <w:p>
            <w:pPr>
              <w:pStyle w:val="TableContents"/>
              <w:bidi w:val="0"/>
              <w:spacing w:before="0" w:after="283"/>
              <w:jc w:val="left"/>
              <w:rPr/>
            </w:pPr>
            <w:r>
              <w:rPr/>
              <w:t xml:space="preserve">Equity compensation plans </w:t>
              <w:br/>
              <w:t xml:space="preserve">approved by security holders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52" w:type="dxa"/>
            <w:tcBorders>
              <w:bottom w:val="single" w:sz="6" w:space="0" w:color="000000"/>
            </w:tcBorders>
            <w:tcMar>
              <w:bottom w:w="141" w:type="dxa"/>
            </w:tcMar>
            <w:vAlign w:val="center"/>
          </w:tcPr>
          <w:p>
            <w:pPr>
              <w:pStyle w:val="TableContents"/>
              <w:bidi w:val="0"/>
              <w:spacing w:before="0" w:after="283"/>
              <w:jc w:val="left"/>
              <w:rPr/>
            </w:pPr>
            <w:r>
              <w:rPr/>
              <w:t xml:space="preserve">135,160,823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06" w:type="dxa"/>
            <w:tcBorders>
              <w:bottom w:val="single" w:sz="6" w:space="0" w:color="000000"/>
            </w:tcBorders>
            <w:tcMar>
              <w:bottom w:w="141" w:type="dxa"/>
            </w:tcMar>
            <w:vAlign w:val="center"/>
          </w:tcPr>
          <w:p>
            <w:pPr>
              <w:pStyle w:val="TableContents"/>
              <w:bidi w:val="0"/>
              <w:spacing w:before="0" w:after="283"/>
              <w:jc w:val="left"/>
              <w:rPr/>
            </w:pPr>
            <w:r>
              <w:rPr/>
              <w:t xml:space="preserve">$1.84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92" w:type="dxa"/>
            <w:tcBorders>
              <w:bottom w:val="single" w:sz="6" w:space="0" w:color="000000"/>
            </w:tcBorders>
            <w:tcMar>
              <w:bottom w:w="141" w:type="dxa"/>
            </w:tcMar>
            <w:vAlign w:val="center"/>
          </w:tcPr>
          <w:p>
            <w:pPr>
              <w:pStyle w:val="TableContents"/>
              <w:bidi w:val="0"/>
              <w:spacing w:before="0" w:after="283"/>
              <w:jc w:val="left"/>
              <w:rPr/>
            </w:pPr>
            <w:r>
              <w:rPr/>
              <w:t xml:space="preserve">40,362,048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02" w:type="dxa"/>
            <w:tcBorders>
              <w:bottom w:val="single" w:sz="6" w:space="0" w:color="000000"/>
            </w:tcBorders>
            <w:tcMar>
              <w:bottom w:w="141" w:type="dxa"/>
            </w:tcMar>
            <w:vAlign w:val="center"/>
          </w:tcPr>
          <w:p>
            <w:pPr>
              <w:pStyle w:val="TableContents"/>
              <w:bidi w:val="0"/>
              <w:spacing w:before="0" w:after="283"/>
              <w:jc w:val="left"/>
              <w:rPr/>
            </w:pPr>
            <w:r>
              <w:rPr/>
              <w:t>Equity compensation plans</w:t>
              <w:br/>
              <w:t xml:space="preserve">not approved by security holders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52"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06"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92" w:type="dxa"/>
            <w:tcBorders>
              <w:bottom w:val="single" w:sz="6" w:space="0" w:color="000000"/>
            </w:tcBorders>
            <w:tcMar>
              <w:bottom w:w="141"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02" w:type="dxa"/>
            <w:tcBorders>
              <w:bottom w:val="single" w:sz="6" w:space="0" w:color="000000"/>
            </w:tcBorders>
            <w:tcMar>
              <w:bottom w:w="141"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52" w:type="dxa"/>
            <w:tcBorders>
              <w:bottom w:val="single" w:sz="6" w:space="0" w:color="000000"/>
            </w:tcBorders>
            <w:tcMar>
              <w:bottom w:w="141" w:type="dxa"/>
            </w:tcMar>
            <w:vAlign w:val="center"/>
          </w:tcPr>
          <w:p>
            <w:pPr>
              <w:pStyle w:val="TableContents"/>
              <w:bidi w:val="0"/>
              <w:spacing w:before="0" w:after="283"/>
              <w:jc w:val="left"/>
              <w:rPr/>
            </w:pPr>
            <w:r>
              <w:rPr/>
              <w:t xml:space="preserve">135,160,823 </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06" w:type="dxa"/>
            <w:tcBorders>
              <w:bottom w:val="single" w:sz="6" w:space="0" w:color="000000"/>
            </w:tcBorders>
            <w:tcMar>
              <w:bottom w:w="141" w:type="dxa"/>
            </w:tcMar>
            <w:vAlign w:val="center"/>
          </w:tcPr>
          <w:p>
            <w:pPr>
              <w:pStyle w:val="TableContents"/>
              <w:bidi w:val="0"/>
              <w:spacing w:before="0" w:after="283"/>
              <w:jc w:val="left"/>
              <w:rPr/>
            </w:pPr>
            <w:r>
              <w:rPr/>
              <w:t>$1.84</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92" w:type="dxa"/>
            <w:tcBorders>
              <w:bottom w:val="single" w:sz="6" w:space="0" w:color="000000"/>
            </w:tcBorders>
            <w:tcMar>
              <w:bottom w:w="141" w:type="dxa"/>
            </w:tcMar>
            <w:vAlign w:val="center"/>
          </w:tcPr>
          <w:p>
            <w:pPr>
              <w:pStyle w:val="TableContents"/>
              <w:bidi w:val="0"/>
              <w:spacing w:before="0" w:after="0"/>
              <w:jc w:val="left"/>
              <w:rPr>
                <w:sz w:val="12"/>
              </w:rPr>
            </w:pPr>
            <w:r>
              <w:rPr>
                <w:sz w:val="16"/>
              </w:rPr>
              <w:t>40,362,048</w:t>
            </w:r>
            <w:r>
              <w:rPr>
                <w:sz w:val="12"/>
              </w:rPr>
              <w:t xml:space="preserve"> </w:t>
            </w:r>
            <w:r>
              <w:rPr>
                <w:sz w:val="10"/>
              </w:rPr>
              <w:t>(3)</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shares to be issued upon exercise of stock options and vesting of time-based and performance-based restricted stock units (reflects actual performance levels for PSUs with performance periods that ended or before fiscal year-end 2024 and assumes maximum performance levels for PSUs with open performance periods at fiscal year-end 2024) under the Plan.</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196850" distB="0" distL="0" distR="0" simplePos="0" locked="0" layoutInCell="1" allowOverlap="1" relativeHeight="146">
                <wp:simplePos x="0" y="0"/>
                <wp:positionH relativeFrom="column">
                  <wp:align>left</wp:align>
                </wp:positionH>
                <wp:positionV relativeFrom="line">
                  <wp:align>top</wp:align>
                </wp:positionV>
                <wp:extent cx="91440" cy="180340"/>
                <wp:effectExtent l="0" t="0" r="0" b="0"/>
                <wp:wrapSquare wrapText="right"/>
                <wp:docPr id="118" name="Frame78"/>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5.5pt;mso-wrap-distance-bottom:0pt;margin-top:1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22"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Shares issuable upon vesting of time-based and performance-based restricted stock unit awards have been excluded from the calculation of the weighted average exercise price because they have no exercise price associated with them.</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77470" distB="0" distL="0" distR="0" simplePos="0" locked="0" layoutInCell="1" allowOverlap="1" relativeHeight="147">
                <wp:simplePos x="0" y="0"/>
                <wp:positionH relativeFrom="column">
                  <wp:align>left</wp:align>
                </wp:positionH>
                <wp:positionV relativeFrom="line">
                  <wp:align>top</wp:align>
                </wp:positionV>
                <wp:extent cx="91440" cy="180340"/>
                <wp:effectExtent l="0" t="0" r="0" b="0"/>
                <wp:wrapSquare wrapText="right"/>
                <wp:docPr id="119" name="Frame7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24"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shares available for issuance under the Plan, including shares available for purchase under the Company’s Employee Stock Purchase Plan. Excludes the proposed increase of 184,000,000 shares that is contingent on stockholder approval of this proposal.</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78740" distB="0" distL="0" distR="0" simplePos="0" locked="0" layoutInCell="1" allowOverlap="1" relativeHeight="148">
                <wp:simplePos x="0" y="0"/>
                <wp:positionH relativeFrom="column">
                  <wp:align>left</wp:align>
                </wp:positionH>
                <wp:positionV relativeFrom="line">
                  <wp:align>top</wp:align>
                </wp:positionV>
                <wp:extent cx="91440" cy="180340"/>
                <wp:effectExtent l="0" t="0" r="0" b="0"/>
                <wp:wrapSquare wrapText="right"/>
                <wp:docPr id="120" name="Frame80"/>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Additional Information Regarding Equity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aggregate number of shares subject to stock options and other equity awards under the Plan (including the ESPP Addendum) since its inception through March 31, 2025 is set forth in the table below.</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4505"/>
        <w:gridCol w:w="109"/>
        <w:gridCol w:w="109"/>
        <w:gridCol w:w="1024"/>
        <w:gridCol w:w="109"/>
        <w:gridCol w:w="109"/>
        <w:gridCol w:w="1594"/>
        <w:gridCol w:w="109"/>
        <w:gridCol w:w="109"/>
        <w:gridCol w:w="1428"/>
        <w:gridCol w:w="156"/>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9205" w:type="dxa"/>
            <w:gridSpan w:val="10"/>
            <w:tcBorders>
              <w:bottom w:val="single" w:sz="2" w:space="0" w:color="FEFEFE"/>
            </w:tcBorders>
            <w:shd w:fill="000000" w:val="clear"/>
            <w:tcMar>
              <w:bottom w:w="160" w:type="dxa"/>
            </w:tcMar>
            <w:vAlign w:val="center"/>
          </w:tcPr>
          <w:p>
            <w:pPr>
              <w:pStyle w:val="TableContents"/>
              <w:bidi w:val="0"/>
              <w:spacing w:before="0" w:after="0"/>
              <w:jc w:val="center"/>
              <w:rPr/>
            </w:pPr>
            <w:r>
              <w:rPr/>
              <w:t xml:space="preserve">Lucid Group, Inc. Amended and Restated 2021 Stock Incentive Plan </w:t>
            </w:r>
          </w:p>
        </w:tc>
        <w:tc>
          <w:tcPr>
            <w:tcW w:w="156"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4505" w:type="dxa"/>
            <w:tcBorders/>
            <w:shd w:fill="000000" w:val="clear"/>
            <w:tcMar>
              <w:bottom w:w="0" w:type="dxa"/>
            </w:tcMar>
            <w:vAlign w:val="center"/>
          </w:tcPr>
          <w:p>
            <w:pPr>
              <w:pStyle w:val="TableContents"/>
              <w:bidi w:val="0"/>
              <w:spacing w:before="0" w:after="0"/>
              <w:jc w:val="left"/>
              <w:rPr/>
            </w:pPr>
            <w:r>
              <w:rPr/>
              <w:t xml:space="preserve">Name and Position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24" w:type="dxa"/>
            <w:tcBorders/>
            <w:shd w:fill="000000" w:val="clear"/>
            <w:tcMar>
              <w:bottom w:w="0" w:type="dxa"/>
            </w:tcMar>
            <w:vAlign w:val="center"/>
          </w:tcPr>
          <w:p>
            <w:pPr>
              <w:pStyle w:val="TableContents"/>
              <w:bidi w:val="0"/>
              <w:spacing w:before="0" w:after="283"/>
              <w:jc w:val="left"/>
              <w:rPr/>
            </w:pPr>
            <w:r>
              <w:rPr/>
              <w:t xml:space="preserve">Number of </w:t>
              <w:br/>
              <w:t xml:space="preserve">Options </w:t>
              <w:br/>
              <w:t xml:space="preserve">Granted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94" w:type="dxa"/>
            <w:tcBorders/>
            <w:shd w:fill="000000" w:val="clear"/>
            <w:tcMar>
              <w:bottom w:w="0" w:type="dxa"/>
            </w:tcMar>
            <w:vAlign w:val="center"/>
          </w:tcPr>
          <w:p>
            <w:pPr>
              <w:pStyle w:val="TableContents"/>
              <w:bidi w:val="0"/>
              <w:spacing w:lineRule="atLeast" w:line="142" w:before="0" w:after="283"/>
              <w:jc w:val="left"/>
              <w:rPr/>
            </w:pPr>
            <w:r>
              <w:rPr/>
              <w:t xml:space="preserve">Weighted Average Per </w:t>
              <w:br/>
              <w:t xml:space="preserve">Share Exercise Price </w:t>
              <w:br/>
              <w:t>($)</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28" w:type="dxa"/>
            <w:tcBorders/>
            <w:shd w:fill="000000" w:val="clear"/>
            <w:tcMar>
              <w:bottom w:w="0" w:type="dxa"/>
            </w:tcMar>
            <w:vAlign w:val="center"/>
          </w:tcPr>
          <w:p>
            <w:pPr>
              <w:pStyle w:val="TableContents"/>
              <w:bidi w:val="0"/>
              <w:spacing w:lineRule="atLeast" w:line="142" w:before="0" w:after="283"/>
              <w:jc w:val="left"/>
              <w:rPr/>
            </w:pPr>
            <w:r>
              <w:rPr/>
              <w:t xml:space="preserve">Number of Shares </w:t>
              <w:br/>
              <w:t xml:space="preserve">Subject to Other </w:t>
              <w:br/>
              <w:t>Stock Awards</w:t>
            </w:r>
            <w:r>
              <w:rPr>
                <w:sz w:val="9"/>
              </w:rPr>
              <w:t>(2)</w:t>
            </w:r>
            <w:r>
              <w:rPr/>
              <w:t xml:space="preserve"> </w:t>
            </w:r>
          </w:p>
        </w:tc>
        <w:tc>
          <w:tcPr>
            <w:tcW w:w="156"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 xml:space="preserve">Peter Rawlinson, </w:t>
              <w:br/>
              <w:t xml:space="preserve">Former Chief Executive Officer, Chief Technology Officer &amp; Director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672,766</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 xml:space="preserve">Marc Winterhoff, </w:t>
              <w:br/>
              <w:t xml:space="preserve">Interim Chief Executive Officer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713,910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 xml:space="preserve">5.25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 xml:space="preserve">5,048,654 </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Taoufiq Boussaid,</w:t>
              <w:br/>
              <w:t xml:space="preserve">Chief Financial Officer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1,336,228</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 xml:space="preserve">Gagan Dhingra, </w:t>
              <w:br/>
              <w:t xml:space="preserve">Senior Vice President, Finance and Accounting and Principal Accounting Officer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 xml:space="preserve">113,517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 xml:space="preserve">8.26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 xml:space="preserve">1,532,818 </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 xml:space="preserve">Eric Bach, </w:t>
              <w:br/>
              <w:t xml:space="preserve">Senior Vice President, Product and Chief Engineer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 xml:space="preserve">408,663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 xml:space="preserve">8.26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 xml:space="preserve">4,128,284 </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 xml:space="preserve">Michael Bell, </w:t>
              <w:br/>
              <w:t xml:space="preserve">Former Senior Vice President, Digital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 xml:space="preserve">408,663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 xml:space="preserve">8.26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 xml:space="preserve">820,137 </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505" w:type="dxa"/>
            <w:tcBorders>
              <w:bottom w:val="single" w:sz="6" w:space="0" w:color="000000"/>
            </w:tcBorders>
            <w:tcMar>
              <w:bottom w:w="141" w:type="dxa"/>
            </w:tcMar>
            <w:vAlign w:val="center"/>
          </w:tcPr>
          <w:p>
            <w:pPr>
              <w:pStyle w:val="TableContents"/>
              <w:bidi w:val="0"/>
              <w:spacing w:before="0" w:after="283"/>
              <w:jc w:val="left"/>
              <w:rPr/>
            </w:pPr>
            <w:r>
              <w:rPr/>
              <w:t xml:space="preserve">Turqi Alnowaiser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4" w:type="dxa"/>
            <w:tcBorders>
              <w:bottom w:val="single" w:sz="6" w:space="0" w:color="000000"/>
            </w:tcBorders>
            <w:tcMar>
              <w:bottom w:w="141"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4" w:type="dxa"/>
            <w:tcBorders>
              <w:bottom w:val="single" w:sz="6" w:space="0" w:color="000000"/>
            </w:tcBorders>
            <w:tcMar>
              <w:bottom w:w="141"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28" w:type="dxa"/>
            <w:tcBorders>
              <w:bottom w:val="single" w:sz="6" w:space="0" w:color="000000"/>
            </w:tcBorders>
            <w:tcMar>
              <w:bottom w:w="141" w:type="dxa"/>
            </w:tcMar>
            <w:vAlign w:val="center"/>
          </w:tcPr>
          <w:p>
            <w:pPr>
              <w:pStyle w:val="TableContents"/>
              <w:bidi w:val="0"/>
              <w:spacing w:before="0" w:after="283"/>
              <w:jc w:val="left"/>
              <w:rPr/>
            </w:pPr>
            <w:r>
              <w:rPr/>
              <w:t xml:space="preserve">150,111 </w:t>
            </w:r>
          </w:p>
        </w:tc>
        <w:tc>
          <w:tcPr>
            <w:tcW w:w="156"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124"/>
        <w:gridCol w:w="4114"/>
        <w:gridCol w:w="109"/>
        <w:gridCol w:w="109"/>
        <w:gridCol w:w="1135"/>
        <w:gridCol w:w="109"/>
        <w:gridCol w:w="109"/>
        <w:gridCol w:w="1694"/>
        <w:gridCol w:w="109"/>
        <w:gridCol w:w="109"/>
        <w:gridCol w:w="1607"/>
        <w:gridCol w:w="157"/>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9204" w:type="dxa"/>
            <w:gridSpan w:val="10"/>
            <w:tcBorders>
              <w:bottom w:val="single" w:sz="2" w:space="0" w:color="FEFEFE"/>
            </w:tcBorders>
            <w:shd w:fill="000000" w:val="clear"/>
            <w:tcMar>
              <w:bottom w:w="160" w:type="dxa"/>
            </w:tcMar>
            <w:vAlign w:val="center"/>
          </w:tcPr>
          <w:p>
            <w:pPr>
              <w:pStyle w:val="TableContents"/>
              <w:bidi w:val="0"/>
              <w:spacing w:before="0" w:after="0"/>
              <w:jc w:val="center"/>
              <w:rPr/>
            </w:pPr>
            <w:r>
              <w:rPr/>
              <w:t xml:space="preserve">Lucid Group, Inc. Amended and Restated 2021 Stock Incentive Plan </w:t>
            </w:r>
          </w:p>
        </w:tc>
        <w:tc>
          <w:tcPr>
            <w:tcW w:w="157"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4114" w:type="dxa"/>
            <w:tcBorders/>
            <w:shd w:fill="000000" w:val="clear"/>
            <w:tcMar>
              <w:bottom w:w="0" w:type="dxa"/>
            </w:tcMar>
            <w:vAlign w:val="center"/>
          </w:tcPr>
          <w:p>
            <w:pPr>
              <w:pStyle w:val="TableContents"/>
              <w:bidi w:val="0"/>
              <w:spacing w:before="0" w:after="0"/>
              <w:jc w:val="left"/>
              <w:rPr/>
            </w:pPr>
            <w:r>
              <w:rPr/>
              <w:t xml:space="preserve">Name and Position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35" w:type="dxa"/>
            <w:tcBorders/>
            <w:shd w:fill="000000" w:val="clear"/>
            <w:tcMar>
              <w:bottom w:w="0" w:type="dxa"/>
            </w:tcMar>
            <w:vAlign w:val="center"/>
          </w:tcPr>
          <w:p>
            <w:pPr>
              <w:pStyle w:val="TableContents"/>
              <w:bidi w:val="0"/>
              <w:spacing w:before="0" w:after="283"/>
              <w:jc w:val="left"/>
              <w:rPr/>
            </w:pPr>
            <w:r>
              <w:rPr/>
              <w:t xml:space="preserve">Number of </w:t>
              <w:br/>
              <w:t xml:space="preserve">Options </w:t>
              <w:br/>
              <w:t xml:space="preserve">Granted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94" w:type="dxa"/>
            <w:tcBorders/>
            <w:shd w:fill="000000" w:val="clear"/>
            <w:tcMar>
              <w:bottom w:w="0" w:type="dxa"/>
            </w:tcMar>
            <w:vAlign w:val="center"/>
          </w:tcPr>
          <w:p>
            <w:pPr>
              <w:pStyle w:val="TableContents"/>
              <w:bidi w:val="0"/>
              <w:spacing w:lineRule="atLeast" w:line="142" w:before="0" w:after="0"/>
              <w:jc w:val="both"/>
              <w:rPr/>
            </w:pPr>
            <w:r>
              <w:rPr/>
              <w:t xml:space="preserve">Weighted Average Per </w:t>
              <w:br/>
              <w:t xml:space="preserve">Share Exercise Price </w:t>
              <w:br/>
              <w:t>($)</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07" w:type="dxa"/>
            <w:tcBorders/>
            <w:shd w:fill="000000" w:val="clear"/>
            <w:tcMar>
              <w:bottom w:w="0" w:type="dxa"/>
            </w:tcMar>
            <w:vAlign w:val="center"/>
          </w:tcPr>
          <w:p>
            <w:pPr>
              <w:pStyle w:val="TableContents"/>
              <w:bidi w:val="0"/>
              <w:spacing w:lineRule="atLeast" w:line="142" w:before="0" w:after="0"/>
              <w:jc w:val="both"/>
              <w:rPr/>
            </w:pPr>
            <w:r>
              <w:rPr/>
              <w:t xml:space="preserve">Number of Shares </w:t>
              <w:br/>
              <w:t xml:space="preserve">Subject to Other </w:t>
              <w:br/>
              <w:t>Stock Awards</w:t>
            </w:r>
            <w:r>
              <w:rPr>
                <w:sz w:val="9"/>
              </w:rPr>
              <w:t>(2)</w:t>
            </w:r>
            <w:r>
              <w:rPr/>
              <w:t xml:space="preserve"> </w:t>
            </w:r>
          </w:p>
        </w:tc>
        <w:tc>
          <w:tcPr>
            <w:tcW w:w="157"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Sherif Marakby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145,209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Lisa M. Lambert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134,476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Andrew Liveris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150,111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Nichelle Maynard-Elliott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150,111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Chabi Nouri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145,209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Ori Winitzer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145,209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Janet S. Wong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150,111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Douglas Grimm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All Current Executive Officers as a Group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0"/>
              <w:jc w:val="both"/>
              <w:rPr/>
            </w:pPr>
            <w:r>
              <w:rPr/>
              <w:t xml:space="preserve">1,122,573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6.35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 xml:space="preserve">10,513,166 </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All Current Non-Employee Directors as a Group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1,170,547</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114" w:type="dxa"/>
            <w:tcBorders>
              <w:bottom w:val="single" w:sz="6" w:space="0" w:color="000000"/>
            </w:tcBorders>
            <w:tcMar>
              <w:bottom w:w="148" w:type="dxa"/>
            </w:tcMar>
            <w:vAlign w:val="center"/>
          </w:tcPr>
          <w:p>
            <w:pPr>
              <w:pStyle w:val="TableContents"/>
              <w:bidi w:val="0"/>
              <w:spacing w:before="0" w:after="283"/>
              <w:jc w:val="left"/>
              <w:rPr/>
            </w:pPr>
            <w:r>
              <w:rPr/>
              <w:t xml:space="preserve">All Employees, Other than Current Executive Officers, as a Group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35" w:type="dxa"/>
            <w:tcBorders>
              <w:bottom w:val="single" w:sz="6" w:space="0" w:color="000000"/>
            </w:tcBorders>
            <w:tcMar>
              <w:bottom w:w="148" w:type="dxa"/>
            </w:tcMar>
            <w:vAlign w:val="center"/>
          </w:tcPr>
          <w:p>
            <w:pPr>
              <w:pStyle w:val="TableContents"/>
              <w:bidi w:val="0"/>
              <w:spacing w:before="0" w:after="0"/>
              <w:jc w:val="both"/>
              <w:rPr/>
            </w:pPr>
            <w:r>
              <w:rPr/>
              <w:t xml:space="preserve">3,939,490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4" w:type="dxa"/>
            <w:tcBorders>
              <w:bottom w:val="single" w:sz="6" w:space="0" w:color="000000"/>
            </w:tcBorders>
            <w:tcMar>
              <w:bottom w:w="148" w:type="dxa"/>
            </w:tcMar>
            <w:vAlign w:val="center"/>
          </w:tcPr>
          <w:p>
            <w:pPr>
              <w:pStyle w:val="TableContents"/>
              <w:bidi w:val="0"/>
              <w:spacing w:before="0" w:after="283"/>
              <w:jc w:val="left"/>
              <w:rPr/>
            </w:pPr>
            <w:r>
              <w:rPr/>
              <w:t>7.75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7" w:type="dxa"/>
            <w:tcBorders>
              <w:bottom w:val="single" w:sz="6" w:space="0" w:color="000000"/>
            </w:tcBorders>
            <w:tcMar>
              <w:bottom w:w="148" w:type="dxa"/>
            </w:tcMar>
            <w:vAlign w:val="center"/>
          </w:tcPr>
          <w:p>
            <w:pPr>
              <w:pStyle w:val="TableContents"/>
              <w:bidi w:val="0"/>
              <w:spacing w:before="0" w:after="283"/>
              <w:jc w:val="left"/>
              <w:rPr/>
            </w:pPr>
            <w:r>
              <w:rPr/>
              <w:t>188,058,686</w:t>
            </w:r>
          </w:p>
        </w:tc>
        <w:tc>
          <w:tcPr>
            <w:tcW w:w="157"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08"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As of March 31, 2025, the weighted average exercise price of the outstanding stock options under the stock incentive plan was $7.26 and the weighted average remaining contractual life was 5.44 years.</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195580" distB="0" distL="0" distR="0" simplePos="0" locked="0" layoutInCell="1" allowOverlap="1" relativeHeight="149">
                <wp:simplePos x="0" y="0"/>
                <wp:positionH relativeFrom="column">
                  <wp:align>left</wp:align>
                </wp:positionH>
                <wp:positionV relativeFrom="line">
                  <wp:align>top</wp:align>
                </wp:positionV>
                <wp:extent cx="91440" cy="180340"/>
                <wp:effectExtent l="0" t="0" r="0" b="0"/>
                <wp:wrapSquare wrapText="right"/>
                <wp:docPr id="121" name="Frame8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5.4pt;mso-wrap-distance-bottom:0pt;margin-top:1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2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Other stock awards are in the form of RSUs and PSUs. Reflect actual performance levels for PSUs with performance periods end on or before fiscal year-end 2024 and assumes maximum performance levels for PSUs with open performance periods at fiscal year-end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80010" distB="0" distL="0" distR="0" simplePos="0" locked="0" layoutInCell="1" allowOverlap="1" relativeHeight="150">
                <wp:simplePos x="0" y="0"/>
                <wp:positionH relativeFrom="column">
                  <wp:align>left</wp:align>
                </wp:positionH>
                <wp:positionV relativeFrom="line">
                  <wp:align>top</wp:align>
                </wp:positionV>
                <wp:extent cx="91440" cy="180340"/>
                <wp:effectExtent l="0" t="0" r="0" b="0"/>
                <wp:wrapSquare wrapText="right"/>
                <wp:docPr id="122" name="Frame82"/>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Additional Information Regarding Share Increase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stockholders approve the Amended Plan, such plan will authorize no more than 378,669,244 shares for issuance thereunder in the aggregate.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Stock Plan Share Reserve Summary Table (includes the ESPP Addendum)</w:t>
      </w:r>
      <w:r>
        <w:rPr>
          <w:rFonts w:ascii="Arial;Helvetica;sans-serif" w:hAnsi="Arial;Helvetica;sans-serif"/>
          <w:b/>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30"/>
        <w:gridCol w:w="109"/>
        <w:gridCol w:w="109"/>
        <w:gridCol w:w="7089"/>
        <w:gridCol w:w="109"/>
        <w:gridCol w:w="109"/>
        <w:gridCol w:w="1350"/>
        <w:gridCol w:w="156"/>
      </w:tblGrid>
      <w:tr>
        <w:trPr/>
        <w:tc>
          <w:tcPr>
            <w:tcW w:w="124" w:type="dxa"/>
            <w:tcBorders/>
            <w:shd w:fill="000000" w:val="clear"/>
            <w:vAlign w:val="center"/>
          </w:tcPr>
          <w:p>
            <w:pPr>
              <w:pStyle w:val="TableContents"/>
              <w:bidi w:val="0"/>
              <w:spacing w:before="0" w:after="283"/>
              <w:jc w:val="left"/>
              <w:rPr/>
            </w:pPr>
            <w:r>
              <w:rPr/>
              <w:t>​</w:t>
            </w:r>
          </w:p>
        </w:tc>
        <w:tc>
          <w:tcPr>
            <w:tcW w:w="330"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08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0" w:type="dxa"/>
            <w:tcBorders/>
            <w:shd w:fill="000000" w:val="clear"/>
            <w:vAlign w:val="center"/>
          </w:tcPr>
          <w:p>
            <w:pPr>
              <w:pStyle w:val="TableContents"/>
              <w:bidi w:val="0"/>
              <w:spacing w:before="0" w:after="0"/>
              <w:jc w:val="left"/>
              <w:rPr/>
            </w:pPr>
            <w:r>
              <w:rPr/>
              <w:t xml:space="preserve">Shares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0" w:type="dxa"/>
            <w:tcBorders>
              <w:bottom w:val="single" w:sz="6" w:space="0" w:color="000000"/>
            </w:tcBorders>
            <w:tcMar>
              <w:bottom w:w="148" w:type="dxa"/>
            </w:tcMar>
            <w:vAlign w:val="center"/>
          </w:tcPr>
          <w:p>
            <w:pPr>
              <w:pStyle w:val="TableContents"/>
              <w:bidi w:val="0"/>
              <w:spacing w:before="0" w:after="283"/>
              <w:jc w:val="left"/>
              <w:rPr/>
            </w:pPr>
            <w:r>
              <w:rPr/>
              <w:t xml:space="preserve">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089" w:type="dxa"/>
            <w:tcBorders>
              <w:bottom w:val="single" w:sz="6" w:space="0" w:color="000000"/>
            </w:tcBorders>
            <w:tcMar>
              <w:bottom w:w="148" w:type="dxa"/>
            </w:tcMar>
            <w:vAlign w:val="center"/>
          </w:tcPr>
          <w:p>
            <w:pPr>
              <w:pStyle w:val="TableContents"/>
              <w:bidi w:val="0"/>
              <w:spacing w:before="0" w:after="283"/>
              <w:jc w:val="left"/>
              <w:rPr/>
            </w:pPr>
            <w:r>
              <w:rPr/>
              <w:t xml:space="preserve">Total shares authorized under the stock incentive plan, prior to the proposed amendment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48" w:type="dxa"/>
            </w:tcMar>
            <w:vAlign w:val="center"/>
          </w:tcPr>
          <w:p>
            <w:pPr>
              <w:pStyle w:val="TableContents"/>
              <w:bidi w:val="0"/>
              <w:spacing w:before="0" w:after="283"/>
              <w:jc w:val="left"/>
              <w:rPr/>
            </w:pPr>
            <w:r>
              <w:rPr/>
              <w:t xml:space="preserve">194,669,244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0" w:type="dxa"/>
            <w:tcBorders>
              <w:bottom w:val="single" w:sz="6" w:space="0" w:color="000000"/>
            </w:tcBorders>
            <w:tcMar>
              <w:bottom w:w="148" w:type="dxa"/>
            </w:tcMar>
            <w:vAlign w:val="center"/>
          </w:tcPr>
          <w:p>
            <w:pPr>
              <w:pStyle w:val="TableContents"/>
              <w:bidi w:val="0"/>
              <w:spacing w:before="0" w:after="283"/>
              <w:jc w:val="left"/>
              <w:rPr/>
            </w:pPr>
            <w:r>
              <w:rPr/>
              <w:t xml:space="preserve">B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089" w:type="dxa"/>
            <w:tcBorders>
              <w:bottom w:val="single" w:sz="6" w:space="0" w:color="000000"/>
            </w:tcBorders>
            <w:tcMar>
              <w:bottom w:w="148" w:type="dxa"/>
            </w:tcMar>
            <w:vAlign w:val="center"/>
          </w:tcPr>
          <w:p>
            <w:pPr>
              <w:pStyle w:val="TableContents"/>
              <w:bidi w:val="0"/>
              <w:spacing w:before="0" w:after="283"/>
              <w:jc w:val="left"/>
              <w:rPr/>
            </w:pPr>
            <w:r>
              <w:rPr/>
              <w:t>Shares available to be granted under the plan as of March 31, 2025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48" w:type="dxa"/>
            </w:tcMar>
            <w:vAlign w:val="center"/>
          </w:tcPr>
          <w:p>
            <w:pPr>
              <w:pStyle w:val="TableContents"/>
              <w:bidi w:val="0"/>
              <w:spacing w:before="0" w:after="283"/>
              <w:jc w:val="left"/>
              <w:rPr/>
            </w:pPr>
            <w:r>
              <w:rPr/>
              <w:t xml:space="preserve">34,006,170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0" w:type="dxa"/>
            <w:tcBorders>
              <w:bottom w:val="single" w:sz="6" w:space="0" w:color="000000"/>
            </w:tcBorders>
            <w:tcMar>
              <w:bottom w:w="148" w:type="dxa"/>
            </w:tcMar>
            <w:vAlign w:val="center"/>
          </w:tcPr>
          <w:p>
            <w:pPr>
              <w:pStyle w:val="TableContents"/>
              <w:bidi w:val="0"/>
              <w:spacing w:before="0" w:after="283"/>
              <w:jc w:val="left"/>
              <w:rPr/>
            </w:pPr>
            <w:r>
              <w:rPr/>
              <w:t xml:space="preserve">C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089" w:type="dxa"/>
            <w:tcBorders>
              <w:bottom w:val="single" w:sz="6" w:space="0" w:color="000000"/>
            </w:tcBorders>
            <w:tcMar>
              <w:bottom w:w="148" w:type="dxa"/>
            </w:tcMar>
            <w:vAlign w:val="center"/>
          </w:tcPr>
          <w:p>
            <w:pPr>
              <w:pStyle w:val="TableContents"/>
              <w:bidi w:val="0"/>
              <w:spacing w:before="0" w:after="283"/>
              <w:jc w:val="left"/>
              <w:rPr/>
            </w:pPr>
            <w:r>
              <w:rPr/>
              <w:t xml:space="preserve">Amount of proposed share increase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48" w:type="dxa"/>
            </w:tcMar>
            <w:vAlign w:val="center"/>
          </w:tcPr>
          <w:p>
            <w:pPr>
              <w:pStyle w:val="TableContents"/>
              <w:bidi w:val="0"/>
              <w:spacing w:before="0" w:after="283"/>
              <w:jc w:val="left"/>
              <w:rPr/>
            </w:pPr>
            <w:r>
              <w:rPr/>
              <w:t xml:space="preserve">184,000,000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0" w:type="dxa"/>
            <w:tcBorders>
              <w:bottom w:val="single" w:sz="6" w:space="0" w:color="000000"/>
            </w:tcBorders>
            <w:tcMar>
              <w:bottom w:w="148" w:type="dxa"/>
            </w:tcMar>
            <w:vAlign w:val="center"/>
          </w:tcPr>
          <w:p>
            <w:pPr>
              <w:pStyle w:val="TableContents"/>
              <w:bidi w:val="0"/>
              <w:spacing w:before="0" w:after="283"/>
              <w:jc w:val="left"/>
              <w:rPr/>
            </w:pPr>
            <w:r>
              <w:rPr/>
              <w:t xml:space="preserve">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089" w:type="dxa"/>
            <w:tcBorders>
              <w:bottom w:val="single" w:sz="6" w:space="0" w:color="000000"/>
            </w:tcBorders>
            <w:tcMar>
              <w:bottom w:w="148" w:type="dxa"/>
            </w:tcMar>
            <w:vAlign w:val="center"/>
          </w:tcPr>
          <w:p>
            <w:pPr>
              <w:pStyle w:val="TableContents"/>
              <w:bidi w:val="0"/>
              <w:spacing w:before="0" w:after="283"/>
              <w:jc w:val="left"/>
              <w:rPr/>
            </w:pPr>
            <w:r>
              <w:rPr/>
              <w:t>Shares available for grant under the plan with the proposed share increase as of March 31, 2025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48" w:type="dxa"/>
            </w:tcMar>
            <w:vAlign w:val="center"/>
          </w:tcPr>
          <w:p>
            <w:pPr>
              <w:pStyle w:val="TableContents"/>
              <w:bidi w:val="0"/>
              <w:spacing w:before="0" w:after="283"/>
              <w:jc w:val="left"/>
              <w:rPr/>
            </w:pPr>
            <w:r>
              <w:rPr/>
              <w:t>218,006,170</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0" w:type="dxa"/>
            <w:tcBorders>
              <w:bottom w:val="single" w:sz="6" w:space="0" w:color="000000"/>
            </w:tcBorders>
            <w:tcMar>
              <w:bottom w:w="148" w:type="dxa"/>
            </w:tcMar>
            <w:vAlign w:val="center"/>
          </w:tcPr>
          <w:p>
            <w:pPr>
              <w:pStyle w:val="TableContents"/>
              <w:bidi w:val="0"/>
              <w:spacing w:before="0" w:after="283"/>
              <w:jc w:val="left"/>
              <w:rPr/>
            </w:pPr>
            <w:r>
              <w:rPr/>
              <w:t xml:space="preserve">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089" w:type="dxa"/>
            <w:tcBorders>
              <w:bottom w:val="single" w:sz="6" w:space="0" w:color="000000"/>
            </w:tcBorders>
            <w:tcMar>
              <w:bottom w:w="148" w:type="dxa"/>
            </w:tcMar>
            <w:vAlign w:val="center"/>
          </w:tcPr>
          <w:p>
            <w:pPr>
              <w:pStyle w:val="TableContents"/>
              <w:bidi w:val="0"/>
              <w:spacing w:before="0" w:after="283"/>
              <w:jc w:val="left"/>
              <w:rPr/>
            </w:pPr>
            <w:r>
              <w:rPr/>
              <w:t>Total shares authorized under the stock incentive plan, with the proposed increase</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48" w:type="dxa"/>
            </w:tcMar>
            <w:vAlign w:val="center"/>
          </w:tcPr>
          <w:p>
            <w:pPr>
              <w:pStyle w:val="TableContents"/>
              <w:bidi w:val="0"/>
              <w:spacing w:before="0" w:after="283"/>
              <w:jc w:val="left"/>
              <w:rPr/>
            </w:pPr>
            <w:r>
              <w:rPr/>
              <w:t>378,669,244</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determining the amount of the share increase, management and the Compensation and Human Capital Committee evaluated the stock incentive plan’s historic dilution rate, burn rate, and overhang and determined that the share increase is advisable. The Compensation and Human Capital Committee anticipates that the shares that will be available for new award grants under the Amended Plan, if stockholders approve this proposal, will provide us with flexibility to maintain a competitive compensation program to acquire, retain and incentivize service providers.</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proposed share increase of 184,000,000 shares represents 6% of our total Common Stock outstanding as of March 31, 2025. There were 3,048,800,731 shares outstanding as of March 31, 2025. Dilution is the total number of shares subject to equity awards granted (less cancellations) divided by the total common shares outstanding at the end of the fiscal year. The average annual dilution over the last three fiscal years was 2.01%.</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Burn rate is another measure of dilution that shows how rapidly a company is depleting its shares reserved for equity compensation plans and differs from annual dilution because it does not take into account cancellations. Our annual burn rate over the last three fiscal years has averaged 2.42%.</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 additional metric that we use to measure the cumulative impact of the stock incentive plan is overhang (number of shares subject to equity awards outstanding but not exercised, plus number of shares available to be granted, divided by the numerator plus total common shares outstanding at the end of the year). For each of the last three fiscal years, our overhang has averaged 3.48%. If the Amended Plan is approved, our overhang would increase to 10.02%, based on data available as of March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Stock Plan Share Reservation Summary Table</w:t>
      </w:r>
      <w:r>
        <w:rPr>
          <w:rFonts w:ascii="Arial;Helvetica;sans-serif" w:hAnsi="Arial;Helvetica;sans-serif"/>
          <w:b/>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3640"/>
        <w:gridCol w:w="109"/>
        <w:gridCol w:w="109"/>
        <w:gridCol w:w="1045"/>
        <w:gridCol w:w="109"/>
        <w:gridCol w:w="109"/>
        <w:gridCol w:w="1045"/>
        <w:gridCol w:w="109"/>
        <w:gridCol w:w="109"/>
        <w:gridCol w:w="1045"/>
        <w:gridCol w:w="109"/>
        <w:gridCol w:w="109"/>
        <w:gridCol w:w="1556"/>
        <w:gridCol w:w="158"/>
      </w:tblGrid>
      <w:tr>
        <w:trPr/>
        <w:tc>
          <w:tcPr>
            <w:tcW w:w="124" w:type="dxa"/>
            <w:tcBorders/>
            <w:shd w:fill="000000" w:val="clear"/>
            <w:vAlign w:val="center"/>
          </w:tcPr>
          <w:p>
            <w:pPr>
              <w:pStyle w:val="TableContents"/>
              <w:bidi w:val="0"/>
              <w:spacing w:before="0" w:after="283"/>
              <w:jc w:val="left"/>
              <w:rPr/>
            </w:pPr>
            <w:r>
              <w:rPr/>
              <w:t>​</w:t>
            </w:r>
          </w:p>
        </w:tc>
        <w:tc>
          <w:tcPr>
            <w:tcW w:w="3640"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45" w:type="dxa"/>
            <w:tcBorders/>
            <w:shd w:fill="000000" w:val="clear"/>
            <w:vAlign w:val="center"/>
          </w:tcPr>
          <w:p>
            <w:pPr>
              <w:pStyle w:val="TableContents"/>
              <w:bidi w:val="0"/>
              <w:spacing w:before="0" w:after="0"/>
              <w:jc w:val="left"/>
              <w:rPr/>
            </w:pPr>
            <w:r>
              <w:rPr/>
              <w:t xml:space="preserve">Fiscal 2024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45" w:type="dxa"/>
            <w:tcBorders/>
            <w:shd w:fill="000000" w:val="clear"/>
            <w:vAlign w:val="center"/>
          </w:tcPr>
          <w:p>
            <w:pPr>
              <w:pStyle w:val="TableContents"/>
              <w:bidi w:val="0"/>
              <w:spacing w:before="0" w:after="0"/>
              <w:jc w:val="left"/>
              <w:rPr/>
            </w:pPr>
            <w:r>
              <w:rPr/>
              <w:t xml:space="preserve">Fiscal 2023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45" w:type="dxa"/>
            <w:tcBorders/>
            <w:shd w:fill="000000" w:val="clear"/>
            <w:vAlign w:val="center"/>
          </w:tcPr>
          <w:p>
            <w:pPr>
              <w:pStyle w:val="TableContents"/>
              <w:bidi w:val="0"/>
              <w:spacing w:before="0" w:after="0"/>
              <w:jc w:val="left"/>
              <w:rPr/>
            </w:pPr>
            <w:r>
              <w:rPr/>
              <w:t xml:space="preserve">Fiscal 2022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56" w:type="dxa"/>
            <w:tcBorders/>
            <w:shd w:fill="000000" w:val="clear"/>
            <w:vAlign w:val="center"/>
          </w:tcPr>
          <w:p>
            <w:pPr>
              <w:pStyle w:val="TableContents"/>
              <w:bidi w:val="0"/>
              <w:spacing w:before="0" w:after="283"/>
              <w:jc w:val="left"/>
              <w:rPr/>
            </w:pPr>
            <w:r>
              <w:rPr/>
              <w:t xml:space="preserve">Three-Year Average </w:t>
              <w:br/>
              <w:t xml:space="preserve">(Fiscal 2022-2024)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640" w:type="dxa"/>
            <w:tcBorders>
              <w:bottom w:val="single" w:sz="6" w:space="0" w:color="000000"/>
            </w:tcBorders>
            <w:tcMar>
              <w:bottom w:w="141" w:type="dxa"/>
            </w:tcMar>
            <w:vAlign w:val="center"/>
          </w:tcPr>
          <w:p>
            <w:pPr>
              <w:pStyle w:val="TableContents"/>
              <w:bidi w:val="0"/>
              <w:spacing w:before="0" w:after="283"/>
              <w:jc w:val="left"/>
              <w:rPr/>
            </w:pPr>
            <w:r>
              <w:rPr/>
              <w:t xml:space="preserve">Percentage of Equity-Based Awards Granted to Named Executive Officers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1" w:type="dxa"/>
            </w:tcMar>
            <w:vAlign w:val="center"/>
          </w:tcPr>
          <w:p>
            <w:pPr>
              <w:pStyle w:val="TableContents"/>
              <w:bidi w:val="0"/>
              <w:spacing w:before="0" w:after="283"/>
              <w:jc w:val="left"/>
              <w:rPr/>
            </w:pPr>
            <w:r>
              <w:rPr/>
              <w:t xml:space="preserve">0.18%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1" w:type="dxa"/>
            </w:tcMar>
            <w:vAlign w:val="center"/>
          </w:tcPr>
          <w:p>
            <w:pPr>
              <w:pStyle w:val="TableContents"/>
              <w:bidi w:val="0"/>
              <w:spacing w:before="0" w:after="283"/>
              <w:jc w:val="left"/>
              <w:rPr/>
            </w:pPr>
            <w:r>
              <w:rPr/>
              <w:t xml:space="preserve">0.30%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1" w:type="dxa"/>
            </w:tcMar>
            <w:vAlign w:val="center"/>
          </w:tcPr>
          <w:p>
            <w:pPr>
              <w:pStyle w:val="TableContents"/>
              <w:bidi w:val="0"/>
              <w:spacing w:before="0" w:after="283"/>
              <w:jc w:val="left"/>
              <w:rPr/>
            </w:pPr>
            <w:r>
              <w:rPr/>
              <w:t xml:space="preserve">0.04%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6" w:type="dxa"/>
            <w:tcBorders>
              <w:bottom w:val="single" w:sz="6" w:space="0" w:color="000000"/>
            </w:tcBorders>
            <w:tcMar>
              <w:bottom w:w="141" w:type="dxa"/>
            </w:tcMar>
            <w:vAlign w:val="center"/>
          </w:tcPr>
          <w:p>
            <w:pPr>
              <w:pStyle w:val="TableContents"/>
              <w:bidi w:val="0"/>
              <w:spacing w:before="0" w:after="283"/>
              <w:jc w:val="left"/>
              <w:rPr/>
            </w:pPr>
            <w:r>
              <w:rPr/>
              <w:t xml:space="preserve">0.18% </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640" w:type="dxa"/>
            <w:tcBorders>
              <w:bottom w:val="single" w:sz="6" w:space="0" w:color="000000"/>
            </w:tcBorders>
            <w:tcMar>
              <w:bottom w:w="148" w:type="dxa"/>
            </w:tcMar>
            <w:vAlign w:val="center"/>
          </w:tcPr>
          <w:p>
            <w:pPr>
              <w:pStyle w:val="TableContents"/>
              <w:bidi w:val="0"/>
              <w:spacing w:before="0" w:after="283"/>
              <w:jc w:val="left"/>
              <w:rPr/>
            </w:pPr>
            <w:r>
              <w:rPr/>
              <w:t xml:space="preserve">Dilution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2.89%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2.10%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1.05%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6" w:type="dxa"/>
            <w:tcBorders>
              <w:bottom w:val="single" w:sz="6" w:space="0" w:color="000000"/>
            </w:tcBorders>
            <w:tcMar>
              <w:bottom w:w="148" w:type="dxa"/>
            </w:tcMar>
            <w:vAlign w:val="center"/>
          </w:tcPr>
          <w:p>
            <w:pPr>
              <w:pStyle w:val="TableContents"/>
              <w:bidi w:val="0"/>
              <w:spacing w:before="0" w:after="283"/>
              <w:jc w:val="left"/>
              <w:rPr/>
            </w:pPr>
            <w:r>
              <w:rPr/>
              <w:t xml:space="preserve">2.01% </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640" w:type="dxa"/>
            <w:tcBorders>
              <w:bottom w:val="single" w:sz="6" w:space="0" w:color="000000"/>
            </w:tcBorders>
            <w:tcMar>
              <w:bottom w:w="148" w:type="dxa"/>
            </w:tcMar>
            <w:vAlign w:val="center"/>
          </w:tcPr>
          <w:p>
            <w:pPr>
              <w:pStyle w:val="TableContents"/>
              <w:bidi w:val="0"/>
              <w:spacing w:before="0" w:after="283"/>
              <w:jc w:val="left"/>
              <w:rPr/>
            </w:pPr>
            <w:r>
              <w:rPr/>
              <w:t xml:space="preserve">Burn Rate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3.60%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2.50%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1.17%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6" w:type="dxa"/>
            <w:tcBorders>
              <w:bottom w:val="single" w:sz="6" w:space="0" w:color="000000"/>
            </w:tcBorders>
            <w:tcMar>
              <w:bottom w:w="148" w:type="dxa"/>
            </w:tcMar>
            <w:vAlign w:val="center"/>
          </w:tcPr>
          <w:p>
            <w:pPr>
              <w:pStyle w:val="TableContents"/>
              <w:bidi w:val="0"/>
              <w:spacing w:before="0" w:after="283"/>
              <w:jc w:val="left"/>
              <w:rPr/>
            </w:pPr>
            <w:r>
              <w:rPr/>
              <w:t xml:space="preserve">2.42% </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640" w:type="dxa"/>
            <w:tcBorders>
              <w:bottom w:val="single" w:sz="6" w:space="0" w:color="000000"/>
            </w:tcBorders>
            <w:tcMar>
              <w:bottom w:w="148" w:type="dxa"/>
            </w:tcMar>
            <w:vAlign w:val="center"/>
          </w:tcPr>
          <w:p>
            <w:pPr>
              <w:pStyle w:val="TableContents"/>
              <w:bidi w:val="0"/>
              <w:spacing w:before="0" w:after="283"/>
              <w:jc w:val="left"/>
              <w:rPr/>
            </w:pPr>
            <w:r>
              <w:rPr/>
              <w:t xml:space="preserve">Overhang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4.62%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3.18%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5" w:type="dxa"/>
            <w:tcBorders>
              <w:bottom w:val="single" w:sz="6" w:space="0" w:color="000000"/>
            </w:tcBorders>
            <w:tcMar>
              <w:bottom w:w="148" w:type="dxa"/>
            </w:tcMar>
            <w:vAlign w:val="center"/>
          </w:tcPr>
          <w:p>
            <w:pPr>
              <w:pStyle w:val="TableContents"/>
              <w:bidi w:val="0"/>
              <w:spacing w:before="0" w:after="283"/>
              <w:jc w:val="left"/>
              <w:rPr/>
            </w:pPr>
            <w:r>
              <w:rPr/>
              <w:t xml:space="preserve">2.63%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6" w:type="dxa"/>
            <w:tcBorders>
              <w:bottom w:val="single" w:sz="6" w:space="0" w:color="000000"/>
            </w:tcBorders>
            <w:tcMar>
              <w:bottom w:w="148" w:type="dxa"/>
            </w:tcMar>
            <w:vAlign w:val="center"/>
          </w:tcPr>
          <w:p>
            <w:pPr>
              <w:pStyle w:val="TableContents"/>
              <w:bidi w:val="0"/>
              <w:spacing w:before="0" w:after="283"/>
              <w:jc w:val="left"/>
              <w:rPr/>
            </w:pPr>
            <w:r>
              <w:rPr/>
              <w:t>3.48%</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252"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Description of the Material Features of the Plan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is a summary of the Amended Plan and is qualified in its entirety by the full text of the Amended Plan, a copy of which is included as Annex A to this Proxy Statement. Except for the change to the Plan as noted above (e.g., the increase in shares available under the Plan), the Amended Plan contains substantially the same terms as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Size of Share Pool; Shares Available and Limitations on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of March 31, 2025, there were 34,006,170 shares remaining for issuance under the Plan. If our stockholders approve the Amended Plan, the number of shares available for issuance will be increased by 184,000,000 shares effective as of the date of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More specifically, as of the date of the Annual Meeting (assuming our stockholders approve the Amended Plan), the maximum aggregate number of shares authorized for issuance as awards under the Plan on or after July 23, 2021 (the “Effective Date”) shall not exceed the sum 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184,000,000 shares approved by the Board on April 22, 2025, under the fourth restatement of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51">
                <wp:simplePos x="0" y="0"/>
                <wp:positionH relativeFrom="column">
                  <wp:align>left</wp:align>
                </wp:positionH>
                <wp:positionV relativeFrom="line">
                  <wp:align>top</wp:align>
                </wp:positionV>
                <wp:extent cx="114300" cy="525780"/>
                <wp:effectExtent l="0" t="0" r="0" b="0"/>
                <wp:wrapSquare wrapText="right"/>
                <wp:docPr id="123" name="Frame8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119,000,000 shares approved by the Board on April 22, 2024 under the third restatement of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52">
                <wp:simplePos x="0" y="0"/>
                <wp:positionH relativeFrom="column">
                  <wp:align>left</wp:align>
                </wp:positionH>
                <wp:positionV relativeFrom="line">
                  <wp:align>top</wp:align>
                </wp:positionV>
                <wp:extent cx="114300" cy="525780"/>
                <wp:effectExtent l="0" t="0" r="0" b="0"/>
                <wp:wrapSquare wrapText="right"/>
                <wp:docPr id="124" name="Frame8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39,166,575 shares approved by the Board on March 2, 2023 under the second restatement of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53">
                <wp:simplePos x="0" y="0"/>
                <wp:positionH relativeFrom="column">
                  <wp:align>left</wp:align>
                </wp:positionH>
                <wp:positionV relativeFrom="line">
                  <wp:align>top</wp:align>
                </wp:positionV>
                <wp:extent cx="114300" cy="525780"/>
                <wp:effectExtent l="0" t="0" r="0" b="0"/>
                <wp:wrapSquare wrapText="right"/>
                <wp:docPr id="125" name="Frame8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15,000,000 shares approved by the Board on April 27, 2022 under the first restatement of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54">
                <wp:simplePos x="0" y="0"/>
                <wp:positionH relativeFrom="column">
                  <wp:align>left</wp:align>
                </wp:positionH>
                <wp:positionV relativeFrom="line">
                  <wp:align>top</wp:align>
                </wp:positionV>
                <wp:extent cx="114300" cy="525780"/>
                <wp:effectExtent l="0" t="0" r="0" b="0"/>
                <wp:wrapSquare wrapText="right"/>
                <wp:docPr id="126" name="Frame8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12,500,000 shares initially authorized for issuance under the Plan as of the Effective Date;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55">
                <wp:simplePos x="0" y="0"/>
                <wp:positionH relativeFrom="column">
                  <wp:align>left</wp:align>
                </wp:positionH>
                <wp:positionV relativeFrom="line">
                  <wp:align>top</wp:align>
                </wp:positionV>
                <wp:extent cx="114300" cy="525780"/>
                <wp:effectExtent l="0" t="0" r="0" b="0"/>
                <wp:wrapSquare wrapText="right"/>
                <wp:docPr id="127" name="Frame8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9,002,669 shares initially authorized under the Plan as of the Effective Date, which represents the number of shares equal to the number of unallocated shares of stock of Atieva, Inc. remaining available for issuance under (1) the 2021 Stock Incentive Plan of Atieva, Inc., as amended, (2) the 2014 Share Plan of Atieva, Inc., as amended, and (3) the 2009 Share Plan of Atieva, Inc. as amended (collectively, the “Prior Plans”);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56">
                <wp:simplePos x="0" y="0"/>
                <wp:positionH relativeFrom="column">
                  <wp:align>left</wp:align>
                </wp:positionH>
                <wp:positionV relativeFrom="line">
                  <wp:align>top</wp:align>
                </wp:positionV>
                <wp:extent cx="114300" cy="525780"/>
                <wp:effectExtent l="0" t="0" r="0" b="0"/>
                <wp:wrapSquare wrapText="right"/>
                <wp:docPr id="128" name="Frame8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shares subject to stock awards granted under the Prior Plans outstanding as of the Effective Date that (1) expire or terminate for any reason prior to exercise or settlement; (2) are forfeited, cancelled or otherwise returned to Lucid because of the failure to meet a contingency or condition required to vest such shares; or (3) are reacquired or withheld (or not issued) to satisfy a tax withholding obligation in connection with an award or to satisfy the purchase price or exercise price of a stock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114300" cy="525780"/>
                <wp:effectExtent l="0" t="0" r="0" b="0"/>
                <wp:wrapSquare wrapText="right"/>
                <wp:docPr id="129" name="Frame8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addition, (i) if restricted shares or shares issued upon the exercise of options are forfeited then such shares shall again become available for awards under the Plan; (ii) if restricted stock units, options, stock appreciation rights (“SARs”) or stock purchase rights are forfeited or terminate for any reason before being exercised or settled, or an award is settled in cash without the delivery of shares to the holder, then the corresponding shares shall again become available for awards under the Plan; (iii) if restricted stock units or SARs are settled, then only the number of shares (if any) actually issued in settlement of such restricted stock units or SARs shall reduce the number of shares available under the Plan and the balance (including any shares withheld to satisfy tax withholding obligations) shall again become available for awards under the Plan; and (iv) any shares withheld to satisfy the exercise price or tax withholding obligation pursuant to any award of options or SARs shall be added back to the shares available for awards under the Plan. The number of shares authorized for grant under the Plan is subject to adjustment (as described below). Notwithstanding the foregoing, of the maximum aggregate shares issuable under the Plan, up to 378,669,244 shares may be issued in the form of incentive stock options (“ISOs”), or under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maximum number of shares subject to awards granted under the Plan during any calendar year to any outside director (defined as a member of the Board who is not an employee or consultant of Lucid), plus any cash fees paid to the outside director in a calendar year for service on the Board, will not exceed $1 million in total value for the first year of service and $750,000 in total value per year thereafter.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Administration of the Plan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Plan is administered by the Compensation and Human Capital Committee or other committee (of two or more of our directors) appointed by the Board, or by the Board. The Compensation and Human Capital Committee generally has the authority, among other things, to interpret the Plan, adopt rules relating to the Plan, adopt, amend, or terminate the ESPP Addendum or any sub- plan, determine participants and awards to be granted under the Plan, prescribe the terms and conditions of awards, administer the ESPP Addendum, or take any other actions necessary or advisable for the administration of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Types of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types of awards may be made under the Plan. All the awards described below are subject to the conditions, limitations, restrictions, exercise price, vesting, and forfeiture provisions determined by the Compensation and Human Capital Committee, in its sole discretion, subject to such limitations as are provided in the Plan. In addition, subject to the limitations provided in the Plan and in accordance with applicable law, the Compensation and Human Capital Committee may accelerate or defer the vesting or payment of awards, cancel, or modify outstanding awards, and waive any conditions or restrictions imposed with respect to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Restricted Shares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restricted share award is an award of outstanding shares that does not vest until after a specified period of continuous service, or satisfaction of other vesting conditions as determined by the Compensation and Human Capital Committee, and which may be forfeited if conditions to vesting are not met. At the Compensation and Human Capital Committee’s discretion, participants may be credited with dividends and other distributions that will be paid to the holder only when unvested restricted shares vest. Participants are also generally entitled to the same voting rights as our other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Non-qualified Stock Options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 award of a non-qualified stock option grants a participant the right to purchase a certain number of shares during a specified term in the future, after a vesting period, at an exercise price equal to at least 100% of the fair market value of our shares on the grant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term of a non-qualified stock option may not exceed ten years from the date of grant. Subject to the section entitled “No Repricing” below, Lucid may (i) modify, extend, or renew outstanding stock options or accept the cancellation of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options in return for the grant of new options or a different award or cash or (ii) offer to buy out for a payment in cash or cash equivalents a non-qualified stock option previously granted. Options may be awarded in combination with SARs, and the award may provide that options will not be exercisable unless the related SARs are forfeited. An award of nonqualified stock options generally may not include dividend equivalents.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Incentive Stock Options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 ISO is a stock option that meets the requirements of Section 422 of the Internal Revenue Code of 1986, as amended (the “Code”), which includes an exercise price of no less than 100% of the fair market value of the shares subject to the option on the grant date, a term of no more than ten years, and that the option be granted from a plan that has been approved by stockholders of Lucid. Notwithstanding the foregoing, if granted to a participant who owns shares representing more than 10% of the voting power of all classes of shares of Lucid, its parent or one of its subsidiaries, an ISO must have a term of not more than five years and an exercise price of no less than 110% of the fair market value of the shares subject to the option on the grant date. An award of ISOs generally may not include dividend equivalents.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Unrestricted Shares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Subject to limits in the Plan, the Compensation and Human Capital Committee may issue unrestricted shares, in such amounts and subject to such terms and conditions as the Compensation and Human Capital Committee determines.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Stock Appreciation Rights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SAR entitles the participant to receive an amount equal to the difference between the fair market value of Lucid shares on the exercise date and the exercise price of the SAR (which may not be less than 100% of the fair market value of a share on the grant date (except with respect to substitute awards)), multiplied by the number of shares subject to the SAR. An award of SARs generally may not include dividend equivalents.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Restricted Stock Units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restricted stock unit is an award denominated in shares that may be settled either in shares or cash, or a combination of both, subject to terms and conditions determined by the Compensation and Human Capital Committee. An award of restricted stock units may include the right to dividend equivalents, in the Compensation and Human Capital Committee’s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Cash Awards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may grant cash-based awards to any participant in such number or amount, and subject to such conditions, that the Compensation and Human Capital Committee may determine.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Stock Purchase Rights under the ESPP Addendum</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purpose of the ESPP Addendum is to provide a broad-based employee benefit to attract the services of new employees, to retain the services of existing employees and to provide incentives for such individuals to exert maximum efforts toward our success by purchasing stock from Lucid on favorable terms, paid for through payroll deductions. The ESPP Addendum is intended to qualify under Section 423 of the Code. The Compensation and Human Capital Committee may grant stock purchase rights under the ESPP Addendum to any participant who is an employee. The Compensation and Human Capital Committee may establish sub-plans (which need not qualify under Section 423 of the Code) to facilitate participation in the ESPP Addendum by non-U.S. employees in compliance with foreign laws. The maximum aggregate number of shares for purchase under the ESPP Addendum during any calendar year beginning on or after January 1, 2025 is 20,000,000 shares (or 8,500,000 for prior year), or any other such annual limit as may be approved by the Compensation and Human Capital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While the ESPP Addendum is in effect, the Compensation and Human Capital Committee may grant options to purchase shares of stock during a specified offering period in compliance with the requirements of Section 423 of the Code. Termination of employment for any reason will be treated as an automatic withdrawal from participation in the ESPP Addendum. The purchase price for each share purchased during an offering period will be the lesser of 85% of the fair market value of the share on the purchase date or 85% of the fair market value of the share on the offering date. No participant may be granted a right to purchase stock under the ESPP Addendum if such a purchase would result in the participant owning 5% or more of the combined voting power or value of all classes of stock of Lucid or any parent or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subsidiary of Lucid. No participant shall accrue the right to purchase stock which exceeds $25,000 of fair market value of such stock per calendar year. In the event of a corporate reorganization (defined as (i) the consummation of a merger, consolidation or any other corporate reorganization of Lucid or (ii) the sale, transfer or other disposition of all or substantially all of Lucid’s assets or the complete liquidation or dissolution of Lucid) in which the ESPP Addendum is not assumed by the surviving corporation, the offering period in progress will terminate and either (1) shares will be purchased in accordance with the terms of the ESPP Addendum or (2) all amounts in all participant accounts will be refunded without any purchase of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Performance Criteria</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Awards granted under the Plan may be subject to specified performance criteria. The Compensation and Human Capital Committee may utilize any performance criteria selected by it in its sole discretion to establish performance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Deferrals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Subject to compliance with Section 409A of the Code, the Compensation and Human Capital Committee in its sole discretion may permit or require participants to defer certain amounts or shares paid or issued in respect of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Adjustments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the event of a subdivision of the outstanding Common Stock, a declaration of a dividend payable in shares, a declaration of a dividend payable in a form other than shares in an amount that has a material effect on the price of shares, a combination or consolidation of the outstanding Common Stock into a lesser number of shares, a recapitalization, a spin-off, or a similar occurrence, the Compensation and Human Capital Committee may make appropriate and equitable adjustments in: (i) the class(es) and number of securities available for future awards; (ii) the class(es) and number of securities covered by each outstanding award; (iii) the exercise price under each outstanding option and SAR; and (iv) options to purchase shares granted pursuant to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Change in Control</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the event of a Change in Control (defined as (i) a change in the composition of the Board in which fewer than one half of the incumbent directors are the original directors or were elected with at least a majority of the original directors; (ii) any person who, by acquisition or aggregation of securities, is or becomes the beneficial owner of securities of Lucid representing 50% or more of the voting power of Lucid’s outstanding securities; (iii) the consummation of a merger or consolidation where 50% or more of the voting power is owned by persons who were not stockholders of Lucid prior to the merger or consolidation; or (iv) the sale, transfer, or other disposition of all or substantially all of Lucid’s assets), if the surviving corporation does not continue, assume or settle (subject to vesting) outstanding awards (other than stock purchase rights under the ESPP Addendum), or substitute similar stock awards for outstanding awards (other than stock purchase rights under the ESPP Addendum), then the Compensation and Human Capital Committee may accelerate the vesting or deem any performance-based vesting to be satisfied at the target level or based on actual performance (or the greater thereof). The Compensation and Human Capital Committee may also determine at the time of granting of an award or thereafter that an award will vest and/or become exercisable in connection with a Change in Control. The Compensation and Human Capital Committee may treat awards differently.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No Repricing</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Except in connection with corporate transactions, the Compensation and Human Capital Committee may not, without stockholder approval, effect any repricing or buyout of any “underwater” stock option, SAR, or similar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Clawback</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Compensation and Human Capital Committee has the authority, to the extent permitted by applicable law, to specify in an award agreement, exercise notice or share purchase agreement that a participant’s rights, payments and benefits with respect to an award under the Amended Plan shall be subject to reduction, cancellation, forfeiture, or recoupment upon the occurrence of specified events, including but not be limited to, in each case to the extent permitted by applicable law, termination of service for “cause” ​(as defined in the Amended Plan)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or amended by the Company from time to time, including, without limitation, the Company’s Compensation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Recoupment Policy. Notwithstanding the foregoing, stock purchase rights under the ESPP are subject to the terms of the ESPP Addendum. Our current Compensation Recoupment Policy is discussed in more detail under the heading “Compensation Discussion and Analysis — Compensation Recoupment Policy”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Assignability</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Unless an award agreement provides otherwise, no award granted under the Plan may be sold, assigned, conveyed, gifted, pledged, hypothecated, or otherwise transferred in any manner other than by will or the laws of descent and distribution.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Amendment and Termination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may amend, suspend, or terminate the Plan or the ESPP Addendum at any time, provided that amendments to any outstanding award agreements are subject to applicable legal restrictions and the consent of the participant if the participant’s right or obligations would be materially impaired.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New Plan Benefits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benefits that will be awarded or paid under the Amended Plan cannot currently be determined, except with respect to certain awards for current non-employee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non-employee director elected to the Board at the 2025 Annual Meeting is anticipated to be granted an RSU award on the date of the 2025 Annual Meeting with a target grant date value of  $270,000, as discussed later under the section titled “Director Compensation.” In addition, each current non-employee director who served on a certain special committee is eligible to receive a grant of fully vested restricted stock units on the date of the 2025 Annual Meeting with a target grant date value equal to $2,000 times the number of special committee meetings the non-employee director attended since the previous annual meeting, subject to a $20,000 cap. Such grants are not subject to stockholder approval of the Amended Plan and are referred to herein collectively as the “Upcoming Director Grants”).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Awards granted under the Amended Plan are within the Compensation and Human Capital Committee’s discretion, and the Compensation and Human Capital Committee has not determined other future awards or who might receive them. The Amended Plan does not have set benefits or amounts, and no grants or awards have been made by the Compensation and Human Capital Committee or the Board that are conditioned upon stockholder approval of the Amended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New Plan Benefits table for the Amended Plan sets forth information pertaining to the Upcoming Director Grants currently contemplated to be made under the Amended Plan:</w:t>
      </w:r>
      <w:r>
        <w:rPr>
          <w:rFonts w:ascii="Arial;Helvetica;sans-serif" w:hAnsi="Arial;Helvetica;sans-serif"/>
          <w:b w:val="false"/>
          <w:i w:val="false"/>
          <w:caps w:val="false"/>
          <w:smallCaps w:val="false"/>
          <w:color w:val="000000"/>
          <w:spacing w:val="4"/>
          <w:sz w:val="18"/>
        </w:rPr>
        <w:t xml:space="preserve"> </w:t>
      </w:r>
    </w:p>
    <w:tbl>
      <w:tblPr>
        <w:tblW w:w="9117" w:type="dxa"/>
        <w:jc w:val="left"/>
        <w:tblInd w:w="720" w:type="dxa"/>
        <w:tblLayout w:type="fixed"/>
        <w:tblCellMar>
          <w:top w:w="0" w:type="dxa"/>
          <w:left w:w="0" w:type="dxa"/>
          <w:bottom w:w="28" w:type="dxa"/>
          <w:right w:w="0" w:type="dxa"/>
        </w:tblCellMar>
      </w:tblPr>
      <w:tblGrid>
        <w:gridCol w:w="124"/>
        <w:gridCol w:w="4906"/>
        <w:gridCol w:w="109"/>
        <w:gridCol w:w="109"/>
        <w:gridCol w:w="1726"/>
        <w:gridCol w:w="109"/>
        <w:gridCol w:w="109"/>
        <w:gridCol w:w="177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490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715" w:type="dxa"/>
            <w:gridSpan w:val="4"/>
            <w:tcBorders>
              <w:bottom w:val="single" w:sz="2" w:space="0" w:color="FEFEFE"/>
            </w:tcBorders>
            <w:shd w:fill="000000" w:val="clear"/>
            <w:tcMar>
              <w:bottom w:w="160" w:type="dxa"/>
            </w:tcMar>
            <w:vAlign w:val="center"/>
          </w:tcPr>
          <w:p>
            <w:pPr>
              <w:pStyle w:val="TableContents"/>
              <w:bidi w:val="0"/>
              <w:spacing w:before="0" w:after="0"/>
              <w:jc w:val="left"/>
              <w:rPr/>
            </w:pPr>
            <w:r>
              <w:rPr/>
              <w:t xml:space="preserve">Stock Awards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4906" w:type="dxa"/>
            <w:tcBorders/>
            <w:shd w:fill="000000" w:val="clear"/>
            <w:tcMar>
              <w:bottom w:w="0" w:type="dxa"/>
            </w:tcMar>
            <w:vAlign w:val="center"/>
          </w:tcPr>
          <w:p>
            <w:pPr>
              <w:pStyle w:val="TableContents"/>
              <w:bidi w:val="0"/>
              <w:spacing w:before="0" w:after="0"/>
              <w:jc w:val="left"/>
              <w:rPr/>
            </w:pPr>
            <w:r>
              <w:rPr/>
              <w:t xml:space="preserve">Name and Position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26" w:type="dxa"/>
            <w:tcBorders/>
            <w:shd w:fill="000000" w:val="clear"/>
            <w:tcMar>
              <w:bottom w:w="0" w:type="dxa"/>
            </w:tcMar>
            <w:vAlign w:val="center"/>
          </w:tcPr>
          <w:p>
            <w:pPr>
              <w:pStyle w:val="TableContents"/>
              <w:bidi w:val="0"/>
              <w:spacing w:before="0" w:after="0"/>
              <w:jc w:val="left"/>
              <w:rPr/>
            </w:pPr>
            <w:r>
              <w:rPr/>
              <w:t xml:space="preserve">Dollar Value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71" w:type="dxa"/>
            <w:tcBorders/>
            <w:shd w:fill="000000" w:val="clear"/>
            <w:tcMar>
              <w:bottom w:w="0" w:type="dxa"/>
            </w:tcMar>
            <w:vAlign w:val="center"/>
          </w:tcPr>
          <w:p>
            <w:pPr>
              <w:pStyle w:val="TableContents"/>
              <w:bidi w:val="0"/>
              <w:spacing w:before="0" w:after="0"/>
              <w:jc w:val="left"/>
              <w:rPr/>
            </w:pPr>
            <w:r>
              <w:rPr/>
              <w:t xml:space="preserve">Number of Units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906" w:type="dxa"/>
            <w:tcBorders>
              <w:bottom w:val="single" w:sz="6" w:space="0" w:color="000000"/>
            </w:tcBorders>
            <w:tcMar>
              <w:bottom w:w="160" w:type="dxa"/>
            </w:tcMar>
            <w:vAlign w:val="center"/>
          </w:tcPr>
          <w:p>
            <w:pPr>
              <w:pStyle w:val="TableContents"/>
              <w:bidi w:val="0"/>
              <w:spacing w:before="0" w:after="283"/>
              <w:jc w:val="left"/>
              <w:rPr/>
            </w:pPr>
            <w:r>
              <w:rPr/>
              <w:t>All Current Non-Employee Directors as a Group</w:t>
            </w:r>
            <w:r>
              <w:rPr>
                <w:sz w:val="10"/>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26" w:type="dxa"/>
            <w:tcBorders>
              <w:bottom w:val="single" w:sz="6" w:space="0" w:color="000000"/>
            </w:tcBorders>
            <w:tcMar>
              <w:bottom w:w="160" w:type="dxa"/>
            </w:tcMar>
            <w:vAlign w:val="center"/>
          </w:tcPr>
          <w:p>
            <w:pPr>
              <w:pStyle w:val="TableContents"/>
              <w:bidi w:val="0"/>
              <w:spacing w:before="0" w:after="283"/>
              <w:jc w:val="left"/>
              <w:rPr/>
            </w:pPr>
            <w:r>
              <w:rPr/>
              <w:t xml:space="preserve">1,890,000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71" w:type="dxa"/>
            <w:tcBorders>
              <w:bottom w:val="single" w:sz="6" w:space="0" w:color="000000"/>
            </w:tcBorders>
            <w:tcMar>
              <w:bottom w:w="160" w:type="dxa"/>
            </w:tcMar>
            <w:vAlign w:val="center"/>
          </w:tcPr>
          <w:p>
            <w:pPr>
              <w:pStyle w:val="TableContents"/>
              <w:bidi w:val="0"/>
              <w:spacing w:before="0" w:after="283"/>
              <w:jc w:val="left"/>
              <w:rPr/>
            </w:pPr>
            <w:r>
              <w:rPr/>
              <w:t>N/A</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0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the Upcoming Director Grants. Further information regarding non-employee director compensation is described under the heading “Director Compensation.” The total number of shares of our Common Stock subject to each RSU award granted to our NEDs is determined by dividing the total dollar value of the award by the volume-weighted average price of the Company’s Common Stock during the 30 consecutive trading day period ending on the grant date. Such average is determined based upon the closing price for each such trading day and the number of shares traded on such day.</w:t>
      </w:r>
      <w:r>
        <mc:AlternateContent>
          <mc:Choice Requires="wps">
            <w:drawing>
              <wp:anchor behindDoc="0" distT="190500" distB="0" distL="0" distR="0" simplePos="0" locked="0" layoutInCell="1" allowOverlap="1" relativeHeight="158">
                <wp:simplePos x="0" y="0"/>
                <wp:positionH relativeFrom="column">
                  <wp:align>left</wp:align>
                </wp:positionH>
                <wp:positionV relativeFrom="line">
                  <wp:align>top</wp:align>
                </wp:positionV>
                <wp:extent cx="91440" cy="180340"/>
                <wp:effectExtent l="0" t="0" r="0" b="0"/>
                <wp:wrapSquare wrapText="right"/>
                <wp:docPr id="130" name="Frame90"/>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U.S. Federal Income Tax Consequences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is a general summary under current law of certain United States federal income tax consequences to the Company and participants who are citizens or individual residents of the United States relating to awards granted under the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their own tax advisor as to the specific tax consequences of participation in the Plan under federal, state, local and other applicable laws.</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Non-Qualified Stock Options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non-qualified stock option is an option that does not meet the requirements of Section 422 of the Code. A participant generally will not recognize taxable income when granted a non-qualified stock option. When the participant exercises the stock option, the participant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Incentive Stock Options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 incentive stock option is an option that meets the requirements of Section 422 of the Code.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their disability, the three-month period is extended to one year. The three-month period does not apply in the case of the participant’s death. Similar tax consequences will apply to stock purchase rights under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SARs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we generally will be entitled to a corresponding tax deduction, subject to any limits imposed under Section 162(m)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Restricted Stock</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We will withhold any Federal Insurance Contribution Act (“FICA”) taxes due in respect of the shares in the year the restrictions applicable to the shares lapse, based on the fair market value of the shares on the vesting date, unless you elect under Section 83(b) of the Code, in which case we will withhold any FICA taxes due in respect of the shares in the year of grant based on the fair market value of the shares on the grant date. Generally, upon a sale or other disposition of restricted stock with respect to which a participant has recognized ordinary income (i.e., a Section 83(b) election was previously made or the restrictions previously lapsed), the participant will recognize capital gain or loss in an amount equal to the difference between the amount realized on such sale or other disposition and the basis in such shares. Such gain or loss will be long-term capital gain or loss if the participant holds such shares for more than one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Restricted Stock Units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 participant generally does not recognize income at the time a restricted stock unit award is granted. At the time of settlement of the award, the participant will generally recognize ordinary income equal to the fair market value of the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restricted stock units at the time of settlement of the award, and the Company generally will be allowed a corresponding tax deduction at that time, subject to any limits imposed under Section 162(m) of the Code. We will withhold any FICA taxes due in respect of the restricted stock units in the year they vest based on the fair market value of the shares and/or cash underlying the award on the vesting date. Any gain or loss recognized upon a subsequent sale or exchange of the shares (if settled in shares) is generally treated as a capital gain or loss (short-term or long-term depending on the applicable holding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Performance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Generally, in the case of performance-based awards, the participant will recognize ordinary income on the amount of cash and the fair market value of Common Stock received on the date of payment or settlement of the award (provided that the award is exempt from or complies with Section 409A of the Code). We generally will be entitled to a deduction for such amount at the time it is includable in the income of the participant, subject to any limits imposed under Section 162(m)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Cash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Upon the payment of a cash award, the amount of cash received will be ordinary income to the participant. We will be entitled to a deduction for such amount at the time it is includable in the income of the participant, subject to any limits imposed under Section 162(m)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Registration with the SEC</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our stockholders approve the Amended Plan, we will file with the SEC a registration statement on Form S-8, as soon as reasonably practicable after the approval, to register the additional shares available for issuance under the Plan as a result of the Amended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Vote Required</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be approved, a majority of the total votes cast on Proposal No. 4 must be voted “For” the approval of the amendment and restatement of the Lucid Group, Inc. Amended and Restated 2021 Stock Incentive Plan. Only votes “For” or “Against” will affect the outcome. Broker non-votes and abstentions will have no effect.</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000000" w:val="clear"/>
            <w:vAlign w:val="center"/>
          </w:tcPr>
          <w:p>
            <w:pPr>
              <w:pStyle w:val="TableContents"/>
              <w:bidi w:val="0"/>
              <w:spacing w:before="0" w:after="283"/>
              <w:jc w:val="left"/>
              <w:rPr/>
            </w:pPr>
            <w:r>
              <w:rPr/>
              <w:t>​</w:t>
            </w:r>
          </w:p>
        </w:tc>
        <w:tc>
          <w:tcPr>
            <w:tcW w:w="9207" w:type="dxa"/>
            <w:tcBorders/>
            <w:shd w:fill="000000" w:val="clear"/>
            <w:vAlign w:val="center"/>
          </w:tcPr>
          <w:p>
            <w:pPr>
              <w:pStyle w:val="TableContents"/>
              <w:bidi w:val="0"/>
              <w:spacing w:before="0" w:after="0"/>
              <w:jc w:val="center"/>
              <w:rPr/>
            </w:pPr>
            <w:r>
              <w:rPr/>
              <w:t xml:space="preserve">THE BOARD OF DIRECTORS RECOMMENDS A VOTE “FOR” THE APPROVAL OF THE AMENDMENT AND RESTATEMENT OF THE LUCID GROUP, INC. AMENDED AND RESTATED 2021 STOCK INCENTIVE PLAN </w:t>
              <w:br/>
              <w:t>(PROPOSAL NO. 4)</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EXO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E</w:t>
      </w:r>
      <w:r>
        <w:rPr>
          <w:rFonts w:ascii="Times New Roman;Times;serif" w:hAnsi="Times New Roman;Times;serif"/>
          <w:b w:val="false"/>
          <w:i w:val="false"/>
          <w:caps w:val="false"/>
          <w:smallCaps w:val="false"/>
          <w:color w:val="000000"/>
          <w:sz w:val="40"/>
        </w:rPr>
        <w:t>XECUTIVE</w:t>
      </w:r>
      <w:r>
        <w:rPr>
          <w:rFonts w:ascii="Times New Roman;Times;serif" w:hAnsi="Times New Roman;Times;serif"/>
          <w:b w:val="false"/>
          <w:i w:val="false"/>
          <w:caps w:val="false"/>
          <w:smallCaps w:val="false"/>
          <w:color w:val="000000"/>
          <w:sz w:val="40"/>
        </w:rPr>
        <w:t xml:space="preserve"> O</w:t>
      </w:r>
      <w:r>
        <w:rPr>
          <w:rFonts w:ascii="Times New Roman;Times;serif" w:hAnsi="Times New Roman;Times;serif"/>
          <w:b w:val="false"/>
          <w:i w:val="false"/>
          <w:caps w:val="false"/>
          <w:smallCaps w:val="false"/>
          <w:color w:val="000000"/>
          <w:sz w:val="40"/>
        </w:rPr>
        <w:t>FFICERS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following table sets forth certain information concerning our executive officers as of the date of this Proxy Statement: </w:t>
      </w:r>
    </w:p>
    <w:tbl>
      <w:tblPr>
        <w:tblW w:w="8052" w:type="dxa"/>
        <w:jc w:val="left"/>
        <w:tblInd w:w="720" w:type="dxa"/>
        <w:tblLayout w:type="fixed"/>
        <w:tblCellMar>
          <w:top w:w="0" w:type="dxa"/>
          <w:left w:w="0" w:type="dxa"/>
          <w:bottom w:w="0" w:type="dxa"/>
          <w:right w:w="0" w:type="dxa"/>
        </w:tblCellMar>
      </w:tblPr>
      <w:tblGrid>
        <w:gridCol w:w="124"/>
        <w:gridCol w:w="1846"/>
        <w:gridCol w:w="109"/>
        <w:gridCol w:w="109"/>
        <w:gridCol w:w="571"/>
        <w:gridCol w:w="109"/>
        <w:gridCol w:w="109"/>
        <w:gridCol w:w="4921"/>
        <w:gridCol w:w="154"/>
      </w:tblGrid>
      <w:tr>
        <w:trPr/>
        <w:tc>
          <w:tcPr>
            <w:tcW w:w="124" w:type="dxa"/>
            <w:tcBorders/>
            <w:shd w:fill="000000" w:val="clear"/>
            <w:vAlign w:val="center"/>
          </w:tcPr>
          <w:p>
            <w:pPr>
              <w:pStyle w:val="TableContents"/>
              <w:bidi w:val="0"/>
              <w:spacing w:before="0" w:after="283"/>
              <w:jc w:val="left"/>
              <w:rPr/>
            </w:pPr>
            <w:r>
              <w:rPr/>
              <w:t>​</w:t>
            </w:r>
          </w:p>
        </w:tc>
        <w:tc>
          <w:tcPr>
            <w:tcW w:w="184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71" w:type="dxa"/>
            <w:tcBorders/>
            <w:shd w:fill="000000" w:val="clear"/>
            <w:vAlign w:val="center"/>
          </w:tcPr>
          <w:p>
            <w:pPr>
              <w:pStyle w:val="TableContents"/>
              <w:bidi w:val="0"/>
              <w:spacing w:before="0" w:after="0"/>
              <w:jc w:val="left"/>
              <w:rPr/>
            </w:pPr>
            <w:r>
              <w:rPr/>
              <w:t xml:space="preserve">Age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921" w:type="dxa"/>
            <w:tcBorders/>
            <w:shd w:fill="000000" w:val="clear"/>
            <w:vAlign w:val="center"/>
          </w:tcPr>
          <w:p>
            <w:pPr>
              <w:pStyle w:val="TableContents"/>
              <w:bidi w:val="0"/>
              <w:spacing w:before="0" w:after="0"/>
              <w:jc w:val="left"/>
              <w:rPr/>
            </w:pPr>
            <w:r>
              <w:rPr/>
              <w:t xml:space="preserve">Position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46" w:type="dxa"/>
            <w:tcBorders>
              <w:bottom w:val="single" w:sz="6" w:space="0" w:color="000000"/>
            </w:tcBorders>
            <w:tcMar>
              <w:bottom w:w="148"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1" w:type="dxa"/>
            <w:tcBorders>
              <w:bottom w:val="single" w:sz="6" w:space="0" w:color="000000"/>
            </w:tcBorders>
            <w:tcMar>
              <w:bottom w:w="148" w:type="dxa"/>
            </w:tcMar>
            <w:vAlign w:val="center"/>
          </w:tcPr>
          <w:p>
            <w:pPr>
              <w:pStyle w:val="TableContents"/>
              <w:bidi w:val="0"/>
              <w:spacing w:before="0" w:after="283"/>
              <w:jc w:val="left"/>
              <w:rPr/>
            </w:pPr>
            <w:r>
              <w:rPr/>
              <w:t xml:space="preserve">56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921" w:type="dxa"/>
            <w:tcBorders>
              <w:bottom w:val="single" w:sz="6" w:space="0" w:color="000000"/>
            </w:tcBorders>
            <w:tcMar>
              <w:bottom w:w="148" w:type="dxa"/>
            </w:tcMar>
            <w:vAlign w:val="center"/>
          </w:tcPr>
          <w:p>
            <w:pPr>
              <w:pStyle w:val="TableContents"/>
              <w:bidi w:val="0"/>
              <w:spacing w:before="0" w:after="283"/>
              <w:jc w:val="left"/>
              <w:rPr/>
            </w:pPr>
            <w:r>
              <w:rPr/>
              <w:t xml:space="preserve">Interim Chief Executive Officer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46" w:type="dxa"/>
            <w:tcBorders>
              <w:bottom w:val="single" w:sz="6" w:space="0" w:color="000000"/>
            </w:tcBorders>
            <w:tcMar>
              <w:bottom w:w="148" w:type="dxa"/>
            </w:tcMar>
            <w:vAlign w:val="center"/>
          </w:tcPr>
          <w:p>
            <w:pPr>
              <w:pStyle w:val="TableContents"/>
              <w:bidi w:val="0"/>
              <w:spacing w:before="0" w:after="283"/>
              <w:jc w:val="left"/>
              <w:rPr/>
            </w:pPr>
            <w:r>
              <w:rPr/>
              <w:t xml:space="preserve">Taoufiq Boussaid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1" w:type="dxa"/>
            <w:tcBorders>
              <w:bottom w:val="single" w:sz="6" w:space="0" w:color="000000"/>
            </w:tcBorders>
            <w:tcMar>
              <w:bottom w:w="148" w:type="dxa"/>
            </w:tcMar>
            <w:vAlign w:val="center"/>
          </w:tcPr>
          <w:p>
            <w:pPr>
              <w:pStyle w:val="TableContents"/>
              <w:bidi w:val="0"/>
              <w:spacing w:before="0" w:after="283"/>
              <w:jc w:val="left"/>
              <w:rPr/>
            </w:pPr>
            <w:r>
              <w:rPr/>
              <w:t xml:space="preserve">54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921" w:type="dxa"/>
            <w:tcBorders>
              <w:bottom w:val="single" w:sz="6" w:space="0" w:color="000000"/>
            </w:tcBorders>
            <w:tcMar>
              <w:bottom w:w="148" w:type="dxa"/>
            </w:tcMar>
            <w:vAlign w:val="center"/>
          </w:tcPr>
          <w:p>
            <w:pPr>
              <w:pStyle w:val="TableContents"/>
              <w:bidi w:val="0"/>
              <w:spacing w:before="0" w:after="283"/>
              <w:jc w:val="left"/>
              <w:rPr/>
            </w:pPr>
            <w:r>
              <w:rPr/>
              <w:t xml:space="preserve">Chief Financial Officer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46" w:type="dxa"/>
            <w:tcBorders>
              <w:bottom w:val="single" w:sz="6" w:space="0" w:color="000000"/>
            </w:tcBorders>
            <w:tcMar>
              <w:bottom w:w="14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1" w:type="dxa"/>
            <w:tcBorders>
              <w:bottom w:val="single" w:sz="6" w:space="0" w:color="000000"/>
            </w:tcBorders>
            <w:tcMar>
              <w:bottom w:w="148" w:type="dxa"/>
            </w:tcMar>
            <w:vAlign w:val="center"/>
          </w:tcPr>
          <w:p>
            <w:pPr>
              <w:pStyle w:val="TableContents"/>
              <w:bidi w:val="0"/>
              <w:spacing w:before="0" w:after="283"/>
              <w:jc w:val="left"/>
              <w:rPr/>
            </w:pPr>
            <w:r>
              <w:rPr/>
              <w:t xml:space="preserve">52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921" w:type="dxa"/>
            <w:tcBorders>
              <w:bottom w:val="single" w:sz="6" w:space="0" w:color="000000"/>
            </w:tcBorders>
            <w:tcMar>
              <w:bottom w:w="148" w:type="dxa"/>
            </w:tcMar>
            <w:vAlign w:val="center"/>
          </w:tcPr>
          <w:p>
            <w:pPr>
              <w:pStyle w:val="TableContents"/>
              <w:bidi w:val="0"/>
              <w:spacing w:before="0" w:after="283"/>
              <w:jc w:val="left"/>
              <w:rPr/>
            </w:pPr>
            <w:r>
              <w:rPr/>
              <w:t>Senior Vice President, Product and Chief Engineer</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74"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Biographies for our active named executive officers are below:</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2539"/>
        <w:gridCol w:w="109"/>
        <w:gridCol w:w="109"/>
        <w:gridCol w:w="6449"/>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9" w:type="dxa"/>
            <w:tcBorders>
              <w:bottom w:val="single" w:sz="6" w:space="0" w:color="000000"/>
            </w:tcBorders>
            <w:tcMar>
              <w:bottom w:w="360" w:type="dxa"/>
            </w:tcMar>
            <w:vAlign w:val="center"/>
          </w:tcPr>
          <w:p>
            <w:pPr>
              <w:pStyle w:val="TableContents"/>
              <w:bidi w:val="0"/>
              <w:spacing w:before="0" w:after="0"/>
              <w:jc w:val="left"/>
              <w:rPr/>
            </w:pPr>
            <w:r>
              <w:rPr/>
              <w:drawing>
                <wp:inline distT="0" distB="0" distL="0" distR="0">
                  <wp:extent cx="1524000" cy="1524000"/>
                  <wp:effectExtent l="0" t="0" r="0" b="0"/>
                  <wp:docPr id="13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7" descr=""/>
                          <pic:cNvPicPr>
                            <a:picLocks noChangeAspect="1" noChangeArrowheads="1"/>
                          </pic:cNvPicPr>
                        </pic:nvPicPr>
                        <pic:blipFill>
                          <a:blip r:embed="rId42"/>
                          <a:stretch>
                            <a:fillRect/>
                          </a:stretch>
                        </pic:blipFill>
                        <pic:spPr bwMode="auto">
                          <a:xfrm>
                            <a:off x="0" y="0"/>
                            <a:ext cx="1524000" cy="1524000"/>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Marc Winterhoff</w:t>
            </w:r>
          </w:p>
          <w:p>
            <w:pPr>
              <w:pStyle w:val="TableContents"/>
              <w:bidi w:val="0"/>
              <w:spacing w:lineRule="atLeast" w:line="180" w:before="180" w:after="283"/>
              <w:jc w:val="left"/>
              <w:rPr>
                <w:b/>
                <w:sz w:val="16"/>
              </w:rPr>
            </w:pPr>
            <w:r>
              <w:rPr>
                <w:b/>
                <w:caps/>
                <w:sz w:val="16"/>
              </w:rPr>
              <w:t>Interim Chief Executive Officer</w:t>
            </w:r>
            <w:r>
              <w:rPr>
                <w:b/>
                <w:sz w:val="16"/>
              </w:rPr>
              <w:t xml:space="preserve"> </w:t>
            </w:r>
          </w:p>
          <w:p>
            <w:pPr>
              <w:pStyle w:val="TableContents"/>
              <w:bidi w:val="0"/>
              <w:spacing w:lineRule="atLeast" w:line="180" w:before="180" w:after="283"/>
              <w:jc w:val="left"/>
              <w:rPr>
                <w:sz w:val="16"/>
              </w:rPr>
            </w:pPr>
            <w:r>
              <w:rPr>
                <w:sz w:val="16"/>
              </w:rPr>
              <w:t xml:space="preserve">Age: 56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49" w:type="dxa"/>
            <w:tcBorders>
              <w:bottom w:val="single" w:sz="6" w:space="0" w:color="000000"/>
            </w:tcBorders>
            <w:tcMar>
              <w:bottom w:w="360" w:type="dxa"/>
            </w:tcMar>
            <w:vAlign w:val="center"/>
          </w:tcPr>
          <w:p>
            <w:pPr>
              <w:pStyle w:val="TableContents"/>
              <w:bidi w:val="0"/>
              <w:spacing w:lineRule="atLeast" w:line="220" w:before="0" w:after="0"/>
              <w:jc w:val="left"/>
              <w:rPr/>
            </w:pPr>
            <w:r>
              <w:rPr>
                <w:b/>
              </w:rPr>
              <w:t>Marc Winterhoff</w:t>
            </w:r>
            <w:r>
              <w:rPr/>
              <w:t xml:space="preserve"> is our Interim Chief Executive Officer and Principal Executive Officer since February 2025. Mr. Winterhoff previously served as our Chief Operating Officer from December 2023 to February 2025. Prior to joining us, Mr. Winterhoff was a partner at Roland Berger, the European management consultancy, where he focused on operational leadership for large automotive manufacturers; managing manufacturing and cost efficiency; introduction of sales, service, and new mobility concepts; and long-term strategies for renowned automotive brands from October 2011 to November 2023. Mr. Winterhoff holds an M.A. in electrical and electronics engineering and management from the Technische Universität Darmstadt.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488"/>
        <w:gridCol w:w="109"/>
        <w:gridCol w:w="109"/>
        <w:gridCol w:w="6500"/>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488" w:type="dxa"/>
            <w:tcBorders>
              <w:bottom w:val="single" w:sz="6" w:space="0" w:color="000000"/>
            </w:tcBorders>
            <w:tcMar>
              <w:bottom w:w="360" w:type="dxa"/>
            </w:tcMar>
            <w:vAlign w:val="center"/>
          </w:tcPr>
          <w:p>
            <w:pPr>
              <w:pStyle w:val="TableContents"/>
              <w:bidi w:val="0"/>
              <w:spacing w:before="0" w:after="0"/>
              <w:jc w:val="left"/>
              <w:rPr/>
            </w:pPr>
            <w:r>
              <w:rPr/>
              <w:drawing>
                <wp:inline distT="0" distB="0" distL="0" distR="0">
                  <wp:extent cx="1524000" cy="1524000"/>
                  <wp:effectExtent l="0" t="0" r="0" b="0"/>
                  <wp:docPr id="13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8" descr=""/>
                          <pic:cNvPicPr>
                            <a:picLocks noChangeAspect="1" noChangeArrowheads="1"/>
                          </pic:cNvPicPr>
                        </pic:nvPicPr>
                        <pic:blipFill>
                          <a:blip r:embed="rId43"/>
                          <a:stretch>
                            <a:fillRect/>
                          </a:stretch>
                        </pic:blipFill>
                        <pic:spPr bwMode="auto">
                          <a:xfrm>
                            <a:off x="0" y="0"/>
                            <a:ext cx="1524000" cy="1524000"/>
                          </a:xfrm>
                          <a:prstGeom prst="rect">
                            <a:avLst/>
                          </a:prstGeom>
                        </pic:spPr>
                      </pic:pic>
                    </a:graphicData>
                  </a:graphic>
                </wp:inline>
              </w:drawing>
            </w:r>
            <w:r>
              <w:rPr/>
              <w:t xml:space="preserve"> </w:t>
            </w:r>
          </w:p>
          <w:p>
            <w:pPr>
              <w:pStyle w:val="TableContents"/>
              <w:bidi w:val="0"/>
              <w:spacing w:lineRule="atLeast" w:line="260" w:before="200" w:after="283"/>
              <w:jc w:val="left"/>
              <w:rPr>
                <w:b/>
                <w:sz w:val="24"/>
              </w:rPr>
            </w:pPr>
            <w:r>
              <w:rPr>
                <w:b/>
                <w:sz w:val="24"/>
              </w:rPr>
              <w:t>Taoufiq Boussaid</w:t>
            </w:r>
          </w:p>
          <w:p>
            <w:pPr>
              <w:pStyle w:val="TableContents"/>
              <w:bidi w:val="0"/>
              <w:spacing w:lineRule="atLeast" w:line="180" w:before="120" w:after="283"/>
              <w:jc w:val="left"/>
              <w:rPr>
                <w:b/>
                <w:sz w:val="16"/>
              </w:rPr>
            </w:pPr>
            <w:r>
              <w:rPr>
                <w:b/>
                <w:caps/>
                <w:sz w:val="16"/>
              </w:rPr>
              <w:t>Chief Financial Officer</w:t>
            </w:r>
            <w:r>
              <w:rPr>
                <w:b/>
                <w:sz w:val="16"/>
              </w:rPr>
              <w:t xml:space="preserve"> </w:t>
            </w:r>
          </w:p>
          <w:p>
            <w:pPr>
              <w:pStyle w:val="TableContents"/>
              <w:bidi w:val="0"/>
              <w:spacing w:lineRule="atLeast" w:line="180" w:before="120" w:after="283"/>
              <w:jc w:val="left"/>
              <w:rPr>
                <w:sz w:val="16"/>
              </w:rPr>
            </w:pPr>
            <w:r>
              <w:rPr>
                <w:sz w:val="16"/>
              </w:rPr>
              <w:t xml:space="preserve">Age: 54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500" w:type="dxa"/>
            <w:tcBorders>
              <w:bottom w:val="single" w:sz="6" w:space="0" w:color="000000"/>
            </w:tcBorders>
            <w:tcMar>
              <w:bottom w:w="360" w:type="dxa"/>
            </w:tcMar>
            <w:vAlign w:val="center"/>
          </w:tcPr>
          <w:p>
            <w:pPr>
              <w:pStyle w:val="TableContents"/>
              <w:bidi w:val="0"/>
              <w:spacing w:lineRule="atLeast" w:line="220" w:before="0" w:after="0"/>
              <w:jc w:val="left"/>
              <w:rPr/>
            </w:pPr>
            <w:r>
              <w:rPr>
                <w:b/>
              </w:rPr>
              <w:t>Taoufiq Boussaid</w:t>
            </w:r>
            <w:r>
              <w:rPr/>
              <w:t xml:space="preserve"> is our Chief Financial Officer since February 2025. Before joining Lucid in January 2025 as our incoming Chief Financial Officer, Mr. Boussaid was an advisor for N.V.Bekaert S.A., a Belgium-listed industrial steel and coatings technology group, from October 2024 to December 2024 and was the group’s Chief Financial Officer from July 2019 through October 2024. From 2007 to 2019, Mr. Boussaid was employed at Bombardier Transportation, a rolling stock and rail transport manufacturing company, where he served multiple leadership roles within its finance organization in different geographies with his most recent position as Vice President Finance for Western Europe, Asia Pacific, Middle East and Africa. From 2004 to 2007, he held several finance roles with United Technologies Corporation, a multinational conglomerate, including as Corporate Controller EMEA and Chief Financial Officer for their Carrier Heating Systems business in Europe. Mr. Boussaid started his career in international finance as an audit manager with Ernst &amp; Young Global Limited in France and The Coca-Cola Company in the United States.</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124"/>
        <w:gridCol w:w="2689"/>
        <w:gridCol w:w="109"/>
        <w:gridCol w:w="109"/>
        <w:gridCol w:w="6299"/>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689" w:type="dxa"/>
            <w:tcBorders>
              <w:bottom w:val="single" w:sz="6" w:space="0" w:color="000000"/>
            </w:tcBorders>
            <w:tcMar>
              <w:bottom w:w="360" w:type="dxa"/>
            </w:tcMar>
            <w:vAlign w:val="center"/>
          </w:tcPr>
          <w:p>
            <w:pPr>
              <w:pStyle w:val="TableContents"/>
              <w:bidi w:val="0"/>
              <w:spacing w:before="0" w:after="0"/>
              <w:jc w:val="center"/>
              <w:rPr/>
            </w:pPr>
            <w:r>
              <w:rPr/>
              <w:drawing>
                <wp:inline distT="0" distB="0" distL="0" distR="0">
                  <wp:extent cx="1552575" cy="1552575"/>
                  <wp:effectExtent l="0" t="0" r="0" b="0"/>
                  <wp:docPr id="13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9" descr=""/>
                          <pic:cNvPicPr>
                            <a:picLocks noChangeAspect="1" noChangeArrowheads="1"/>
                          </pic:cNvPicPr>
                        </pic:nvPicPr>
                        <pic:blipFill>
                          <a:blip r:embed="rId44"/>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260" w:after="283"/>
              <w:jc w:val="left"/>
              <w:rPr>
                <w:b/>
                <w:sz w:val="24"/>
              </w:rPr>
            </w:pPr>
            <w:r>
              <w:rPr>
                <w:b/>
                <w:sz w:val="24"/>
              </w:rPr>
              <w:t>Eric Bach</w:t>
            </w:r>
          </w:p>
          <w:p>
            <w:pPr>
              <w:pStyle w:val="TableContents"/>
              <w:bidi w:val="0"/>
              <w:spacing w:lineRule="atLeast" w:line="180" w:before="180" w:after="283"/>
              <w:jc w:val="left"/>
              <w:rPr>
                <w:b/>
                <w:sz w:val="16"/>
              </w:rPr>
            </w:pPr>
            <w:r>
              <w:rPr>
                <w:b/>
                <w:caps/>
                <w:sz w:val="16"/>
              </w:rPr>
              <w:t>Senior Vice President, Product and Chief Engineer</w:t>
            </w:r>
            <w:r>
              <w:rPr>
                <w:b/>
                <w:sz w:val="16"/>
              </w:rPr>
              <w:t xml:space="preserve"> </w:t>
            </w:r>
          </w:p>
          <w:p>
            <w:pPr>
              <w:pStyle w:val="TableContents"/>
              <w:bidi w:val="0"/>
              <w:spacing w:lineRule="atLeast" w:line="180" w:before="180" w:after="283"/>
              <w:jc w:val="left"/>
              <w:rPr>
                <w:sz w:val="16"/>
              </w:rPr>
            </w:pPr>
            <w:r>
              <w:rPr>
                <w:sz w:val="16"/>
              </w:rPr>
              <w:t xml:space="preserve">Age: 52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299" w:type="dxa"/>
            <w:tcBorders>
              <w:bottom w:val="single" w:sz="6" w:space="0" w:color="000000"/>
            </w:tcBorders>
            <w:tcMar>
              <w:bottom w:w="360" w:type="dxa"/>
            </w:tcMar>
            <w:vAlign w:val="center"/>
          </w:tcPr>
          <w:p>
            <w:pPr>
              <w:pStyle w:val="TableContents"/>
              <w:bidi w:val="0"/>
              <w:spacing w:lineRule="atLeast" w:line="190" w:before="0" w:after="0"/>
              <w:jc w:val="left"/>
              <w:rPr/>
            </w:pPr>
            <w:r>
              <w:rPr>
                <w:b/>
              </w:rPr>
              <w:t>Eric Bach</w:t>
            </w:r>
            <w:r>
              <w:rPr/>
              <w:t xml:space="preserve"> has served as our Senior Vice President, Product and Chief Engineer since March 2021. Mr. Bach previously served as our Vice President, Hardware Engineering from September 2018 to February 2021 and as Senior Director, Body Engineering from April 2015 to August 2018. Prior to joining us, Mr. Bach was Director of Engineering at Tesla, Inc., an electric vehicle company, from January 2012 to March 2015. From 2000 to December 2011, he served in a variety of engineering and program leadership roles at Volkswagen AG, a vehicle manufacturing company, in both Germany and the United States. Mr. Bach holds a Diplom-Ingenieur degree from Friedrich-Alexander University in Erlangen, Germany.</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Message to Stockholders From the Compensation and Human Capital Committee of the Board of Directors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3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(the “Committee”) has reviewed and approved the executive compensation actions described in this report.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strong focus of the Company and the Committee is to drive a performance-based culture, deliver on the plans and commitments to our stockholders and hold our executives accountable accordingly. We have therefore been focused on the design, administration, and implementation of our pay-for-performance compensation philosophy and ensuring our compensation programs are aligned with our Company’s strategic imperatives and with our stockholders’ interests.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designed our executive compensation program to ensure alignment with our annual growth objectives as well as our long-term business plan. At the time we set the 2024 performance metrics, we believed that achieving them would require a high level of effort and skilled execution from our executives to achieve strong sales and operational success. This approach reinforces our performance-based culture by holding our executives accountable for delivering quantifiable results against measurable performance metrics and individual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2024, we continued to emphasize performance-based equity awards as a crucial element of our long-term incentive plan for executives, including our named executive officers, while adjusting the mix of equity compensation elements offered. Additionally, we restructured our performance-based equity awards to emphasize multi-year performance, which, combined with our Annual Incentive Plan Program, balances long-term and short-term objectives. The successful execution of key corporate performance metrics allows our named executive officers to be appropriately rewarded, ensuring alignment between pay and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summarized below and detailed in the “Business Highlights and Key Accomplishments for 2024” section, we achieved several important milestones in 2024, spearheaded by the unique talent and sustained effort of our executive team: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Started production of the Lucid Gravity before end of December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59">
                <wp:simplePos x="0" y="0"/>
                <wp:positionH relativeFrom="column">
                  <wp:align>left</wp:align>
                </wp:positionH>
                <wp:positionV relativeFrom="line">
                  <wp:align>top</wp:align>
                </wp:positionV>
                <wp:extent cx="114300" cy="525780"/>
                <wp:effectExtent l="0" t="0" r="0" b="0"/>
                <wp:wrapSquare wrapText="right"/>
                <wp:docPr id="134" name="Frame9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Achieved four consecutive quarters of record deliveries, with 71% year-over-year growth in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60">
                <wp:simplePos x="0" y="0"/>
                <wp:positionH relativeFrom="column">
                  <wp:align>left</wp:align>
                </wp:positionH>
                <wp:positionV relativeFrom="line">
                  <wp:align>top</wp:align>
                </wp:positionV>
                <wp:extent cx="114300" cy="525780"/>
                <wp:effectExtent l="0" t="0" r="0" b="0"/>
                <wp:wrapSquare wrapText="right"/>
                <wp:docPr id="135" name="Frame9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Significantly improved key financial metrics: enhanced gross margin and working capital, and strengthened the balance sheet with approximately $6.13 billion in total liquidity at the end of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61">
                <wp:simplePos x="0" y="0"/>
                <wp:positionH relativeFrom="column">
                  <wp:align>left</wp:align>
                </wp:positionH>
                <wp:positionV relativeFrom="line">
                  <wp:align>top</wp:align>
                </wp:positionV>
                <wp:extent cx="114300" cy="525780"/>
                <wp:effectExtent l="0" t="0" r="0" b="0"/>
                <wp:wrapSquare wrapText="right"/>
                <wp:docPr id="136" name="Frame9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Achieved a landmark 5.0 miles per kilowatt hour (mi/kWh) and a record 146 MPGe EPA-estimated range rating for the most energy-efficient mass production car ever, the Air Pure.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62">
                <wp:simplePos x="0" y="0"/>
                <wp:positionH relativeFrom="column">
                  <wp:align>left</wp:align>
                </wp:positionH>
                <wp:positionV relativeFrom="line">
                  <wp:align>top</wp:align>
                </wp:positionV>
                <wp:extent cx="114300" cy="525780"/>
                <wp:effectExtent l="0" t="0" r="0" b="0"/>
                <wp:wrapSquare wrapText="right"/>
                <wp:docPr id="137" name="Frame9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Completed key expansion activities to bring installed capacity at Advanced Manufacturing Plant-1 to 90,000 vehicles per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63">
                <wp:simplePos x="0" y="0"/>
                <wp:positionH relativeFrom="column">
                  <wp:align>left</wp:align>
                </wp:positionH>
                <wp:positionV relativeFrom="line">
                  <wp:align>top</wp:align>
                </wp:positionV>
                <wp:extent cx="114300" cy="525780"/>
                <wp:effectExtent l="0" t="0" r="0" b="0"/>
                <wp:wrapSquare wrapText="right"/>
                <wp:docPr id="138" name="Frame9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Began expansion at Advanced Manufacturing Plant-2 in Saudi Arabia to enable completely-built-up unit production, adding an additional installed annual capacity of 150,000 vehicles.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164">
                <wp:simplePos x="0" y="0"/>
                <wp:positionH relativeFrom="column">
                  <wp:align>left</wp:align>
                </wp:positionH>
                <wp:positionV relativeFrom="line">
                  <wp:align>top</wp:align>
                </wp:positionV>
                <wp:extent cx="114300" cy="525780"/>
                <wp:effectExtent l="0" t="0" r="0" b="0"/>
                <wp:wrapSquare wrapText="right"/>
                <wp:docPr id="139" name="Frame9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have a robust and exciting series of additional milestones expected from this leadership team in 2025 and we will continue to endeavor to make the best decisions possible for both the present and future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are also very aware that we are in an enterprise-building phase of our growth story. And we firmly believe that the people at Lucid are a big reason to be optimistic about our future. Therefore, we strive to attract and retain industry leading talent to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thank you for being on this journey with us and we are committed to ensuring this journey is a rewarding one for all of our stakeholders.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4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Andrew Liveris, Chair </w:t>
        <w:br/>
        <w:t xml:space="preserve">Nichelle Maynard-Elliott </w:t>
        <w:br/>
        <w:t>Ori Winitzer</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DA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C</w:t>
      </w:r>
      <w:r>
        <w:rPr>
          <w:rFonts w:ascii="Times New Roman;Times;serif" w:hAnsi="Times New Roman;Times;serif"/>
          <w:b w:val="false"/>
          <w:i w:val="false"/>
          <w:caps w:val="false"/>
          <w:smallCaps w:val="false"/>
          <w:color w:val="000000"/>
          <w:sz w:val="40"/>
        </w:rPr>
        <w:t>OMPENSATION</w:t>
      </w:r>
      <w:r>
        <w:rPr>
          <w:rFonts w:ascii="Times New Roman;Times;serif" w:hAnsi="Times New Roman;Times;serif"/>
          <w:b w:val="false"/>
          <w:i w:val="false"/>
          <w:caps w:val="false"/>
          <w:smallCaps w:val="false"/>
          <w:color w:val="000000"/>
          <w:sz w:val="40"/>
        </w:rPr>
        <w:t xml:space="preserve"> D</w:t>
      </w:r>
      <w:r>
        <w:rPr>
          <w:rFonts w:ascii="Times New Roman;Times;serif" w:hAnsi="Times New Roman;Times;serif"/>
          <w:b w:val="false"/>
          <w:i w:val="false"/>
          <w:caps w:val="false"/>
          <w:smallCaps w:val="false"/>
          <w:color w:val="000000"/>
          <w:sz w:val="40"/>
        </w:rPr>
        <w:t>ISCUSSION AND</w:t>
      </w:r>
      <w:r>
        <w:rPr>
          <w:rFonts w:ascii="Times New Roman;Times;serif" w:hAnsi="Times New Roman;Times;serif"/>
          <w:b w:val="false"/>
          <w:i w:val="false"/>
          <w:caps w:val="false"/>
          <w:smallCaps w:val="false"/>
          <w:color w:val="000000"/>
          <w:sz w:val="40"/>
        </w:rPr>
        <w:t xml:space="preserve"> A</w:t>
      </w:r>
      <w:r>
        <w:rPr>
          <w:rFonts w:ascii="Times New Roman;Times;serif" w:hAnsi="Times New Roman;Times;serif"/>
          <w:b w:val="false"/>
          <w:i w:val="false"/>
          <w:caps w:val="false"/>
          <w:smallCaps w:val="false"/>
          <w:color w:val="000000"/>
          <w:sz w:val="40"/>
        </w:rPr>
        <w:t>NALYSIS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00" w:before="40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Overview</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Compensation Discussion and Analysis (“CD&amp;A”) describes our executive compensation program in 2024 for our named executive officers (“NEOs”), including our compensation philosophy and process, the objectives and elements of the program, and the material factors considered in making compensation decisions.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NEOs for 2024 included: (i) Peter Rawlinson, who stepped aside as our Chief Executive Officer (“CEO”) and Chief Technology Officer and was appointed as Strategic Technical Advisor to the Chairman of the Board on February 21, 2025, (ii) Gagan Dhingra, who served as our Interim Chief Financial Officer and was promoted from Vice President of Accounting to Senior Vice President, Finance and Accounting on February 25, 2025, (iii) Marc Winterhoff, who served as our Chief Operating Officer in 2024 and was appointed as Interim CEO on February 21, 2025, (iv) Eric Bach, our Senior Vice President, Product and Chief Engineer, and (v) Michael Bell, our former Senior Vice President, Digital, who stepped down from the position on May 3, 2024. Each individual who was serving as an executive officer (as defined under Rule 3b-7 of the Exchange Act) of the Company as of December 31, 2024 is included as a NEO.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Business Highlights and Key Accomplishments for 2024</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During fiscal year 2024, we significantly advanced our strategic initiatives and continued to set new standards and achieve recognition for our luxury electric vehicles.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3664"/>
        <w:gridCol w:w="109"/>
        <w:gridCol w:w="109"/>
        <w:gridCol w:w="5324"/>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3664"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1028700" cy="1295400"/>
                  <wp:effectExtent l="0" t="0" r="0" b="0"/>
                  <wp:docPr id="1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0" descr=""/>
                          <pic:cNvPicPr>
                            <a:picLocks noChangeAspect="1" noChangeArrowheads="1"/>
                          </pic:cNvPicPr>
                        </pic:nvPicPr>
                        <pic:blipFill>
                          <a:blip r:embed="rId45"/>
                          <a:stretch>
                            <a:fillRect/>
                          </a:stretch>
                        </pic:blipFill>
                        <pic:spPr bwMode="auto">
                          <a:xfrm>
                            <a:off x="0" y="0"/>
                            <a:ext cx="1028700" cy="1295400"/>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Awards</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324"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The Lucid Air was selected to Car and Driver’s highly anticipated and esteemed annual ranking, 10Best Cars for 2025, for the second consecutive year. The Lucid Air Pure and Touring trims were both included in 2025 and impressed editors with their modern design, stylish interface, impressive packaging and outstanding driving dynamics.</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101600" cy="525780"/>
                      <wp:effectExtent l="0" t="0" r="0" b="0"/>
                      <wp:wrapSquare wrapText="right"/>
                      <wp:docPr id="141" name="Frame9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The Lucid Air secured the Best Luxury Electric Car award for the third consecutive year, for its unmatched range and outstanding driving performance.</w:t>
            </w:r>
            <w:r>
              <mc:AlternateContent>
                <mc:Choice Requires="wps">
                  <w:drawing>
                    <wp:anchor behindDoc="0" distT="88900" distB="0" distL="0" distR="0" simplePos="0" locked="0" layoutInCell="1" allowOverlap="1" relativeHeight="166">
                      <wp:simplePos x="0" y="0"/>
                      <wp:positionH relativeFrom="column">
                        <wp:align>left</wp:align>
                      </wp:positionH>
                      <wp:positionV relativeFrom="line">
                        <wp:align>top</wp:align>
                      </wp:positionV>
                      <wp:extent cx="101600" cy="525780"/>
                      <wp:effectExtent l="0" t="0" r="0" b="0"/>
                      <wp:wrapSquare wrapText="right"/>
                      <wp:docPr id="142" name="Frame98"/>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We received the prestigious Top Gear Electric Award for Best Luxury EV for Lucid Air Sapphire. </w:t>
            </w:r>
            <w:r>
              <mc:AlternateContent>
                <mc:Choice Requires="wps">
                  <w:drawing>
                    <wp:anchor behindDoc="0" distT="88900" distB="0" distL="0" distR="0" simplePos="0" locked="0" layoutInCell="1" allowOverlap="1" relativeHeight="167">
                      <wp:simplePos x="0" y="0"/>
                      <wp:positionH relativeFrom="column">
                        <wp:align>left</wp:align>
                      </wp:positionH>
                      <wp:positionV relativeFrom="line">
                        <wp:align>top</wp:align>
                      </wp:positionV>
                      <wp:extent cx="101600" cy="525780"/>
                      <wp:effectExtent l="0" t="0" r="0" b="0"/>
                      <wp:wrapSquare wrapText="right"/>
                      <wp:docPr id="143" name="Frame9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664"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2162175" cy="847725"/>
                  <wp:effectExtent l="0" t="0" r="0" b="0"/>
                  <wp:docPr id="1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1" descr=""/>
                          <pic:cNvPicPr>
                            <a:picLocks noChangeAspect="1" noChangeArrowheads="1"/>
                          </pic:cNvPicPr>
                        </pic:nvPicPr>
                        <pic:blipFill>
                          <a:blip r:embed="rId46"/>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Four Consecutive Quarter of Record Deliveries</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324"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In the four consecutive quarters of 2024, we delivered 1,967, 2,394, 2,781, and 3,099 vehicles, respectively, achieving an impressive 71% year-over-year growth.</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101600" cy="525780"/>
                      <wp:effectExtent l="0" t="0" r="0" b="0"/>
                      <wp:wrapSquare wrapText="right"/>
                      <wp:docPr id="145" name="Frame10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We also significantly improved our gross margin and working capital, as well as strengthened our balance sheet, ending 2024 with approximately $6.13 billion in total liquidity. </w:t>
            </w:r>
            <w:r>
              <mc:AlternateContent>
                <mc:Choice Requires="wps">
                  <w:drawing>
                    <wp:anchor behindDoc="0" distT="88900" distB="0" distL="0" distR="0" simplePos="0" locked="0" layoutInCell="1" allowOverlap="1" relativeHeight="169">
                      <wp:simplePos x="0" y="0"/>
                      <wp:positionH relativeFrom="column">
                        <wp:align>left</wp:align>
                      </wp:positionH>
                      <wp:positionV relativeFrom="line">
                        <wp:align>top</wp:align>
                      </wp:positionV>
                      <wp:extent cx="101600" cy="525780"/>
                      <wp:effectExtent l="0" t="0" r="0" b="0"/>
                      <wp:wrapSquare wrapText="right"/>
                      <wp:docPr id="146" name="Frame10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664"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2162175" cy="847725"/>
                  <wp:effectExtent l="0" t="0" r="0" b="0"/>
                  <wp:docPr id="1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2" descr=""/>
                          <pic:cNvPicPr>
                            <a:picLocks noChangeAspect="1" noChangeArrowheads="1"/>
                          </pic:cNvPicPr>
                        </pic:nvPicPr>
                        <pic:blipFill>
                          <a:blip r:embed="rId47"/>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Started the Production of the Lucid Gravity</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324"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We started the production of the Lucid Gravity at our Advanced Manufacturing Plant-1 (“AMP-1”) factory in Arizona and delivered to customers (employees, friends and families) before end of December 2024.</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101600" cy="525780"/>
                      <wp:effectExtent l="0" t="0" r="0" b="0"/>
                      <wp:wrapSquare wrapText="right"/>
                      <wp:docPr id="148" name="Frame10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The Lucid Gravity provides a space for up to seven adults, game-changing versatility, and an unparalleled driving experience. Leveraging Lucid’s in-house powertrain technology, we engineered the Lucid Gravity to deliver up to 450 miles of EPA-estimated range. </w:t>
            </w:r>
            <w:r>
              <mc:AlternateContent>
                <mc:Choice Requires="wps">
                  <w:drawing>
                    <wp:anchor behindDoc="0" distT="88900" distB="0" distL="0" distR="0" simplePos="0" locked="0" layoutInCell="1" allowOverlap="1" relativeHeight="171">
                      <wp:simplePos x="0" y="0"/>
                      <wp:positionH relativeFrom="column">
                        <wp:align>left</wp:align>
                      </wp:positionH>
                      <wp:positionV relativeFrom="line">
                        <wp:align>top</wp:align>
                      </wp:positionV>
                      <wp:extent cx="101600" cy="525780"/>
                      <wp:effectExtent l="0" t="0" r="0" b="0"/>
                      <wp:wrapSquare wrapText="right"/>
                      <wp:docPr id="149" name="Frame10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124"/>
        <w:gridCol w:w="3786"/>
        <w:gridCol w:w="109"/>
        <w:gridCol w:w="109"/>
        <w:gridCol w:w="5202"/>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3786"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2162175" cy="847725"/>
                  <wp:effectExtent l="0" t="0" r="0" b="0"/>
                  <wp:docPr id="1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3" descr=""/>
                          <pic:cNvPicPr>
                            <a:picLocks noChangeAspect="1" noChangeArrowheads="1"/>
                          </pic:cNvPicPr>
                        </pic:nvPicPr>
                        <pic:blipFill>
                          <a:blip r:embed="rId48"/>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Unparalleled Range</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202"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The 2025 Air Pure offers a remarkable 420 miles of EPA-estimated range, with just an 84-kWh battery pack, and thus achieves a landmark 5.0 miles per kilowatt hour of energy, making it the most efficient vehicle on the market today.</w:t>
            </w:r>
            <w:r>
              <w:rPr>
                <w:sz w:val="10"/>
              </w:rPr>
              <w:t>(1)</w:t>
            </w:r>
            <w:r>
              <w:rPr/>
              <w:t xml:space="preserve">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01600" cy="525780"/>
                      <wp:effectExtent l="0" t="0" r="0" b="0"/>
                      <wp:wrapSquare wrapText="right"/>
                      <wp:docPr id="151" name="Frame10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86"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2162175" cy="847725"/>
                  <wp:effectExtent l="0" t="0" r="0" b="0"/>
                  <wp:docPr id="1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4" descr=""/>
                          <pic:cNvPicPr>
                            <a:picLocks noChangeAspect="1" noChangeArrowheads="1"/>
                          </pic:cNvPicPr>
                        </pic:nvPicPr>
                        <pic:blipFill>
                          <a:blip r:embed="rId49"/>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 xml:space="preserve">Advancements in Lucid’s Vertically </w:t>
              <w:br/>
              <w:t>Integrated Production Capabilities</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202"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The Lucid Air and the Lucid Gravity are assembled at AMP-1. In 2024, we completed key expansion activities to bring installed capacity at AMP-1 to 90,000 vehicles per year.</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01600" cy="525780"/>
                      <wp:effectExtent l="0" t="0" r="0" b="0"/>
                      <wp:wrapSquare wrapText="right"/>
                      <wp:docPr id="153" name="Frame10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We also broke ground on the Advanced Manufacturing Plant-2 in Saudi Arabia (“AMP-2”). In 2024, we started an expansion at AMP-2 to enable completely-built-up unit production with an additional installed annual capacity of 150,000 vehicles.</w:t>
            </w:r>
            <w:r>
              <mc:AlternateContent>
                <mc:Choice Requires="wps">
                  <w:drawing>
                    <wp:anchor behindDoc="0" distT="88900" distB="0" distL="0" distR="0" simplePos="0" locked="0" layoutInCell="1" allowOverlap="1" relativeHeight="174">
                      <wp:simplePos x="0" y="0"/>
                      <wp:positionH relativeFrom="column">
                        <wp:align>left</wp:align>
                      </wp:positionH>
                      <wp:positionV relativeFrom="line">
                        <wp:align>top</wp:align>
                      </wp:positionV>
                      <wp:extent cx="101600" cy="525780"/>
                      <wp:effectExtent l="0" t="0" r="0" b="0"/>
                      <wp:wrapSquare wrapText="right"/>
                      <wp:docPr id="154" name="Frame10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In addition, we achieved ISO 14001 / 45001 certification for AMP-2 manufacturing operations. </w:t>
            </w:r>
            <w:r>
              <mc:AlternateContent>
                <mc:Choice Requires="wps">
                  <w:drawing>
                    <wp:anchor behindDoc="0" distT="88900" distB="0" distL="0" distR="0" simplePos="0" locked="0" layoutInCell="1" allowOverlap="1" relativeHeight="175">
                      <wp:simplePos x="0" y="0"/>
                      <wp:positionH relativeFrom="column">
                        <wp:align>left</wp:align>
                      </wp:positionH>
                      <wp:positionV relativeFrom="line">
                        <wp:align>top</wp:align>
                      </wp:positionV>
                      <wp:extent cx="101600" cy="525780"/>
                      <wp:effectExtent l="0" t="0" r="0" b="0"/>
                      <wp:wrapSquare wrapText="right"/>
                      <wp:docPr id="155" name="Frame10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86"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2162175" cy="847725"/>
                  <wp:effectExtent l="0" t="0" r="0" b="0"/>
                  <wp:docPr id="1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5" descr=""/>
                          <pic:cNvPicPr>
                            <a:picLocks noChangeAspect="1" noChangeArrowheads="1"/>
                          </pic:cNvPicPr>
                        </pic:nvPicPr>
                        <pic:blipFill>
                          <a:blip r:embed="rId50"/>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Technological Advances for Customer Convenience and Safety</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202"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Lucid Gravity, sold with a NACS charge port, gains wide access to the most available and convenient charging network without an adapter.</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101600" cy="525780"/>
                      <wp:effectExtent l="0" t="0" r="0" b="0"/>
                      <wp:wrapSquare wrapText="right"/>
                      <wp:docPr id="157" name="Frame108"/>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The Lucid Air earned the highest possible overall safety rating from the National Highway Traffic Safety Administration for 2025, with the entire Lucid Air lineup receiving the maximum five-star scores for overall safety in frontal crash, side crash, and rollover testing. </w:t>
            </w:r>
            <w:r>
              <mc:AlternateContent>
                <mc:Choice Requires="wps">
                  <w:drawing>
                    <wp:anchor behindDoc="0" distT="88900" distB="0" distL="0" distR="0" simplePos="0" locked="0" layoutInCell="1" allowOverlap="1" relativeHeight="177">
                      <wp:simplePos x="0" y="0"/>
                      <wp:positionH relativeFrom="column">
                        <wp:align>left</wp:align>
                      </wp:positionH>
                      <wp:positionV relativeFrom="line">
                        <wp:align>top</wp:align>
                      </wp:positionV>
                      <wp:extent cx="101600" cy="525780"/>
                      <wp:effectExtent l="0" t="0" r="0" b="0"/>
                      <wp:wrapSquare wrapText="right"/>
                      <wp:docPr id="158" name="Frame10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86" w:type="dxa"/>
            <w:tcBorders>
              <w:bottom w:val="single" w:sz="6" w:space="0" w:color="000000"/>
            </w:tcBorders>
            <w:tcMar>
              <w:bottom w:w="141" w:type="dxa"/>
            </w:tcMar>
            <w:vAlign w:val="center"/>
          </w:tcPr>
          <w:p>
            <w:pPr>
              <w:pStyle w:val="TableContents"/>
              <w:bidi w:val="0"/>
              <w:spacing w:before="0" w:after="0"/>
              <w:jc w:val="left"/>
              <w:rPr/>
            </w:pPr>
            <w:r>
              <w:rPr/>
              <w:drawing>
                <wp:inline distT="0" distB="0" distL="0" distR="0">
                  <wp:extent cx="2162175" cy="847725"/>
                  <wp:effectExtent l="0" t="0" r="0" b="0"/>
                  <wp:docPr id="15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46" descr=""/>
                          <pic:cNvPicPr>
                            <a:picLocks noChangeAspect="1" noChangeArrowheads="1"/>
                          </pic:cNvPicPr>
                        </pic:nvPicPr>
                        <pic:blipFill>
                          <a:blip r:embed="rId51"/>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Superior In-House Developed Software</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202"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The Lucid Air and the Lucid Gravity are true software-defined vehicles, designed to improve over time, with over-the-air software updates and key hardware already in place in the vehicle. This holistic systems approach to the integration of hardware and software is what allows us to provide these value-add updates and is what sets us apart in the automotive industry.</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101600" cy="525780"/>
                      <wp:effectExtent l="0" t="0" r="0" b="0"/>
                      <wp:wrapSquare wrapText="right"/>
                      <wp:docPr id="160" name="Frame11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When equipped with 19” wheels; range and battery power vary with temperature, driving habits, charging and battery condition and actual results will vary.</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179">
                <wp:simplePos x="0" y="0"/>
                <wp:positionH relativeFrom="column">
                  <wp:align>left</wp:align>
                </wp:positionH>
                <wp:positionV relativeFrom="line">
                  <wp:align>top</wp:align>
                </wp:positionV>
                <wp:extent cx="91440" cy="180340"/>
                <wp:effectExtent l="0" t="0" r="0" b="0"/>
                <wp:wrapSquare wrapText="right"/>
                <wp:docPr id="161" name="Frame11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2024 Pay Actions Related to Target Compensation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believe our executive compensation program provides effective incentives for our NEOs to lead us to achieve significant future growth, thereby producing long-term value for our stockholders. In light of our key accomplishments through 2024, our Compensation and Human Capital Committee approved the following pay actions for our NEOs, each of which is more fully described below in this CD&amp;A:</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208"/>
        <w:gridCol w:w="109"/>
        <w:gridCol w:w="109"/>
        <w:gridCol w:w="7780"/>
        <w:gridCol w:w="155"/>
      </w:tblGrid>
      <w:tr>
        <w:trPr/>
        <w:tc>
          <w:tcPr>
            <w:tcW w:w="124" w:type="dxa"/>
            <w:tcBorders/>
            <w:shd w:fill="000000" w:val="clear"/>
            <w:vAlign w:val="center"/>
          </w:tcPr>
          <w:p>
            <w:pPr>
              <w:pStyle w:val="TableContents"/>
              <w:bidi w:val="0"/>
              <w:spacing w:before="0" w:after="283"/>
              <w:jc w:val="left"/>
              <w:rPr/>
            </w:pPr>
            <w:r>
              <w:rPr/>
              <w:t>​</w:t>
            </w:r>
          </w:p>
        </w:tc>
        <w:tc>
          <w:tcPr>
            <w:tcW w:w="1208" w:type="dxa"/>
            <w:tcBorders/>
            <w:shd w:fill="000000" w:val="clear"/>
            <w:vAlign w:val="center"/>
          </w:tcPr>
          <w:p>
            <w:pPr>
              <w:pStyle w:val="TableContents"/>
              <w:bidi w:val="0"/>
              <w:spacing w:before="0" w:after="0"/>
              <w:jc w:val="left"/>
              <w:rPr/>
            </w:pPr>
            <w:r>
              <w:rPr/>
              <w:t xml:space="preserve">Pay Element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780" w:type="dxa"/>
            <w:tcBorders/>
            <w:shd w:fill="000000" w:val="clear"/>
            <w:vAlign w:val="center"/>
          </w:tcPr>
          <w:p>
            <w:pPr>
              <w:pStyle w:val="TableContents"/>
              <w:bidi w:val="0"/>
              <w:spacing w:before="0" w:after="0"/>
              <w:jc w:val="left"/>
              <w:rPr/>
            </w:pPr>
            <w:r>
              <w:rPr/>
              <w:t xml:space="preserve">Pay Action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61" w:type="dxa"/>
            </w:tcMar>
            <w:vAlign w:val="center"/>
          </w:tcPr>
          <w:p>
            <w:pPr>
              <w:pStyle w:val="TableContents"/>
              <w:bidi w:val="0"/>
              <w:spacing w:before="0" w:after="0"/>
              <w:jc w:val="left"/>
              <w:rPr>
                <w:b/>
              </w:rPr>
            </w:pPr>
            <w:r>
              <w:rPr>
                <w:b/>
              </w:rPr>
              <w:t>Base Salary</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80" w:type="dxa"/>
            <w:tcBorders>
              <w:bottom w:val="single" w:sz="6" w:space="0" w:color="000000"/>
            </w:tcBorders>
            <w:tcMar>
              <w:bottom w:w="61" w:type="dxa"/>
            </w:tcMar>
            <w:vAlign w:val="center"/>
          </w:tcPr>
          <w:p>
            <w:pPr>
              <w:pStyle w:val="TableContents"/>
              <w:bidi w:val="0"/>
              <w:spacing w:lineRule="atLeast" w:line="180" w:before="0" w:after="0"/>
              <w:ind w:left="160" w:right="0" w:hanging="0"/>
              <w:jc w:val="left"/>
              <w:rPr/>
            </w:pPr>
            <w:r>
              <w:rPr/>
              <w:t xml:space="preserve">In January 2024, the Compensation and Human Capital Committee increased the base salaries by approximately 5% for Mr. Dhingra and 8% for Mr. Bach. Such increases were primarily based on executive performance, competitive peer group data, and internal pay equity.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101600" cy="525780"/>
                      <wp:effectExtent l="0" t="0" r="0" b="0"/>
                      <wp:wrapSquare wrapText="right"/>
                      <wp:docPr id="162" name="Frame11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61" w:type="dxa"/>
            </w:tcMar>
            <w:vAlign w:val="center"/>
          </w:tcPr>
          <w:p>
            <w:pPr>
              <w:pStyle w:val="TableContents"/>
              <w:bidi w:val="0"/>
              <w:spacing w:before="0" w:after="0"/>
              <w:jc w:val="left"/>
              <w:rPr>
                <w:b/>
              </w:rPr>
            </w:pPr>
            <w:r>
              <w:rPr>
                <w:b/>
              </w:rPr>
              <w:t>Annual Cash Incentive</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80" w:type="dxa"/>
            <w:tcBorders>
              <w:bottom w:val="single" w:sz="6" w:space="0" w:color="000000"/>
            </w:tcBorders>
            <w:tcMar>
              <w:bottom w:w="61" w:type="dxa"/>
            </w:tcMar>
            <w:vAlign w:val="center"/>
          </w:tcPr>
          <w:p>
            <w:pPr>
              <w:pStyle w:val="TableContents"/>
              <w:bidi w:val="0"/>
              <w:spacing w:lineRule="atLeast" w:line="180" w:before="0" w:after="0"/>
              <w:ind w:left="160" w:right="0" w:hanging="0"/>
              <w:jc w:val="left"/>
              <w:rPr/>
            </w:pPr>
            <w:r>
              <w:rPr/>
              <w:t xml:space="preserve">In June 2024, the Board approved our annual cash incentive program for 2024, under which the target incentives were 100% of base salary for Mr. Rawlinson, 90% of base salary for Mr. Winterhoff, 75% of base salary for Mr. Bach, and 50% of base salary for Mr. Dhingra. Mr. Bell, who departed in May 2024, was not eligible for an annual bonus opportunity that year. The annual cash incentive program metrics were deliveries, gross margin, free cash flow, and start of production of the Lucid Gravity, with an individual performance modifier.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101600" cy="525780"/>
                      <wp:effectExtent l="0" t="0" r="0" b="0"/>
                      <wp:wrapSquare wrapText="right"/>
                      <wp:docPr id="163" name="Frame11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1722"/>
        <w:gridCol w:w="109"/>
        <w:gridCol w:w="109"/>
        <w:gridCol w:w="7266"/>
        <w:gridCol w:w="155"/>
      </w:tblGrid>
      <w:tr>
        <w:trPr/>
        <w:tc>
          <w:tcPr>
            <w:tcW w:w="124" w:type="dxa"/>
            <w:tcBorders/>
            <w:shd w:fill="000000" w:val="clear"/>
            <w:vAlign w:val="center"/>
          </w:tcPr>
          <w:p>
            <w:pPr>
              <w:pStyle w:val="TableContents"/>
              <w:bidi w:val="0"/>
              <w:spacing w:before="0" w:after="283"/>
              <w:jc w:val="left"/>
              <w:rPr/>
            </w:pPr>
            <w:r>
              <w:rPr/>
              <w:t>​</w:t>
            </w:r>
          </w:p>
        </w:tc>
        <w:tc>
          <w:tcPr>
            <w:tcW w:w="1722" w:type="dxa"/>
            <w:tcBorders/>
            <w:shd w:fill="000000" w:val="clear"/>
            <w:vAlign w:val="center"/>
          </w:tcPr>
          <w:p>
            <w:pPr>
              <w:pStyle w:val="TableContents"/>
              <w:bidi w:val="0"/>
              <w:spacing w:before="0" w:after="0"/>
              <w:jc w:val="left"/>
              <w:rPr/>
            </w:pPr>
            <w:r>
              <w:rPr/>
              <w:t xml:space="preserve">Pay Element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266" w:type="dxa"/>
            <w:tcBorders/>
            <w:shd w:fill="000000" w:val="clear"/>
            <w:vAlign w:val="center"/>
          </w:tcPr>
          <w:p>
            <w:pPr>
              <w:pStyle w:val="TableContents"/>
              <w:bidi w:val="0"/>
              <w:spacing w:before="0" w:after="0"/>
              <w:jc w:val="left"/>
              <w:rPr/>
            </w:pPr>
            <w:r>
              <w:rPr/>
              <w:t xml:space="preserve">Pay Action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22" w:type="dxa"/>
            <w:tcBorders>
              <w:bottom w:val="single" w:sz="6" w:space="0" w:color="000000"/>
            </w:tcBorders>
            <w:tcMar>
              <w:bottom w:w="80" w:type="dxa"/>
            </w:tcMar>
            <w:vAlign w:val="center"/>
          </w:tcPr>
          <w:p>
            <w:pPr>
              <w:pStyle w:val="TableContents"/>
              <w:bidi w:val="0"/>
              <w:spacing w:before="0" w:after="0"/>
              <w:jc w:val="left"/>
              <w:rPr>
                <w:b/>
              </w:rPr>
            </w:pPr>
            <w:r>
              <w:rPr>
                <w:b/>
              </w:rPr>
              <w:t>Long-Term Equity Incentives and 2024 Equity Award Mix</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266" w:type="dxa"/>
            <w:tcBorders>
              <w:bottom w:val="single" w:sz="6" w:space="0" w:color="000000"/>
            </w:tcBorders>
            <w:tcMar>
              <w:bottom w:w="80" w:type="dxa"/>
            </w:tcMar>
            <w:vAlign w:val="center"/>
          </w:tcPr>
          <w:p>
            <w:pPr>
              <w:pStyle w:val="TableContents"/>
              <w:bidi w:val="0"/>
              <w:spacing w:lineRule="atLeast" w:line="180" w:before="0" w:after="0"/>
              <w:ind w:left="160" w:right="0" w:hanging="0"/>
              <w:jc w:val="left"/>
              <w:rPr/>
            </w:pPr>
            <w:r>
              <w:rPr/>
              <w:t>In an ongoing effort to achieve strong support for our executive compensation program and to further align executive incentives with stockholder interests, the Compensation and Human Capital Committee considered and evaluated modifications to the long-term equity incentive component effective for 2024. Based on the feedback received from stockholder engagement and consistent with our pay-for-performance compensation philosophy, we maintained performance-based equity awards as a significant component of the equity awards program for our executive leaders (including our NEOs).</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101600" cy="525780"/>
                      <wp:effectExtent l="0" t="0" r="0" b="0"/>
                      <wp:wrapSquare wrapText="right"/>
                      <wp:docPr id="164" name="Frame11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For 2024, we continued to utilize performance-based restricted stock units (“PSUs”) as a core component of annual equity delivery, which are aligned with our financial, operational, and strategic goals. The Board, upon the recommendation of the Compensation and Human Capital Committee, also elected not to grant premium-priced stock options in 2024 and instead increased the weighting of PSUs to maintain linkage to stock price performance, while further aligning executive compensation with our financial, operational, and strategic objectives.</w:t>
            </w:r>
            <w:r>
              <mc:AlternateContent>
                <mc:Choice Requires="wps">
                  <w:drawing>
                    <wp:anchor behindDoc="0" distT="88900" distB="0" distL="0" distR="0" simplePos="0" locked="0" layoutInCell="1" allowOverlap="1" relativeHeight="183">
                      <wp:simplePos x="0" y="0"/>
                      <wp:positionH relativeFrom="column">
                        <wp:align>left</wp:align>
                      </wp:positionH>
                      <wp:positionV relativeFrom="line">
                        <wp:align>top</wp:align>
                      </wp:positionV>
                      <wp:extent cx="101600" cy="525780"/>
                      <wp:effectExtent l="0" t="0" r="0" b="0"/>
                      <wp:wrapSquare wrapText="right"/>
                      <wp:docPr id="165" name="Frame11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We also restructured our long-term incentive plan to feature two one-year performance periods, each aligned with key corporate performance metrics for the respective years, in order to balance long-term and short-term objectives. Additionally, we have eliminated the individual performance modifier to underscore our commitment to collective effort and teamwork.</w:t>
            </w:r>
            <w:r>
              <mc:AlternateContent>
                <mc:Choice Requires="wps">
                  <w:drawing>
                    <wp:anchor behindDoc="0" distT="88900" distB="0" distL="0" distR="0" simplePos="0" locked="0" layoutInCell="1" allowOverlap="1" relativeHeight="184">
                      <wp:simplePos x="0" y="0"/>
                      <wp:positionH relativeFrom="column">
                        <wp:align>left</wp:align>
                      </wp:positionH>
                      <wp:positionV relativeFrom="line">
                        <wp:align>top</wp:align>
                      </wp:positionV>
                      <wp:extent cx="101600" cy="525780"/>
                      <wp:effectExtent l="0" t="0" r="0" b="0"/>
                      <wp:wrapSquare wrapText="right"/>
                      <wp:docPr id="166" name="Frame11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For 2024, in accordance with the Company’s grant guidelines under its 2024 long-term incentive plan, the 2024 equity award mix for our NEOs was as follows: (1) for Mr. Bach, the 2024 equity award mix was allocated 60% to PSUs and 40% to time-based vesting restricted stock units (“RSUs”); (2) for Mr. Dhingra, the 2024 equity award mix was allocated 50% to PSUs and 50% to RSUs. For Mr. Winterhoff, 100% of the equity awards granted in 2024 were in the form of PSUs pursuant to his new hire compensation referenced in his offer letter. Mr. Bell, who departed in May 2024, was not eligible for an equity award in 2024.</w:t>
            </w:r>
            <w:r>
              <mc:AlternateContent>
                <mc:Choice Requires="wps">
                  <w:drawing>
                    <wp:anchor behindDoc="0" distT="88900" distB="0" distL="0" distR="0" simplePos="0" locked="0" layoutInCell="1" allowOverlap="1" relativeHeight="185">
                      <wp:simplePos x="0" y="0"/>
                      <wp:positionH relativeFrom="column">
                        <wp:align>left</wp:align>
                      </wp:positionH>
                      <wp:positionV relativeFrom="line">
                        <wp:align>top</wp:align>
                      </wp:positionV>
                      <wp:extent cx="101600" cy="525780"/>
                      <wp:effectExtent l="0" t="0" r="0" b="0"/>
                      <wp:wrapSquare wrapText="right"/>
                      <wp:docPr id="167" name="Frame11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Following a review provided by the independent consultant, Pay Governance LLC (“Pay Governance”), and in view of still-outstanding value from the 2021 CEO Grant (defined below), the Compensation and Human Capital Committee determined not to grant Mr. Rawlinson an equity award in 2024, as confirmed by the Board.</w:t>
            </w:r>
            <w:r>
              <mc:AlternateContent>
                <mc:Choice Requires="wps">
                  <w:drawing>
                    <wp:anchor behindDoc="0" distT="88900" distB="0" distL="0" distR="0" simplePos="0" locked="0" layoutInCell="1" allowOverlap="1" relativeHeight="186">
                      <wp:simplePos x="0" y="0"/>
                      <wp:positionH relativeFrom="column">
                        <wp:align>left</wp:align>
                      </wp:positionH>
                      <wp:positionV relativeFrom="line">
                        <wp:align>top</wp:align>
                      </wp:positionV>
                      <wp:extent cx="101600" cy="525780"/>
                      <wp:effectExtent l="0" t="0" r="0" b="0"/>
                      <wp:wrapSquare wrapText="right"/>
                      <wp:docPr id="168" name="Frame118"/>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274"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Compensation Governance Best Practices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maintain strong corporate governance standards with respect to our executive and director compensation programs and are mindful of the perspectives of our stockholders. Our executive compensation program is guided by the following corporate governance best practices designed to protect the interests of our stockholders: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26"/>
        <w:gridCol w:w="109"/>
        <w:gridCol w:w="109"/>
        <w:gridCol w:w="4350"/>
        <w:gridCol w:w="109"/>
        <w:gridCol w:w="109"/>
        <w:gridCol w:w="226"/>
        <w:gridCol w:w="109"/>
        <w:gridCol w:w="109"/>
        <w:gridCol w:w="3750"/>
        <w:gridCol w:w="155"/>
      </w:tblGrid>
      <w:tr>
        <w:trPr/>
        <w:tc>
          <w:tcPr>
            <w:tcW w:w="124" w:type="dxa"/>
            <w:tcBorders/>
            <w:shd w:fill="000000" w:val="clear"/>
            <w:vAlign w:val="center"/>
          </w:tcPr>
          <w:p>
            <w:pPr>
              <w:pStyle w:val="TableContents"/>
              <w:bidi w:val="0"/>
              <w:spacing w:before="0" w:after="283"/>
              <w:jc w:val="left"/>
              <w:rPr/>
            </w:pPr>
            <w:r>
              <w:rPr/>
              <w:t>​</w:t>
            </w:r>
          </w:p>
        </w:tc>
        <w:tc>
          <w:tcPr>
            <w:tcW w:w="4794" w:type="dxa"/>
            <w:gridSpan w:val="4"/>
            <w:tcBorders/>
            <w:shd w:fill="000000" w:val="clear"/>
            <w:vAlign w:val="center"/>
          </w:tcPr>
          <w:p>
            <w:pPr>
              <w:pStyle w:val="TableContents"/>
              <w:bidi w:val="0"/>
              <w:spacing w:before="0" w:after="0"/>
              <w:jc w:val="left"/>
              <w:rPr/>
            </w:pPr>
            <w:r>
              <w:rPr/>
              <w:t xml:space="preserve">What We Do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194" w:type="dxa"/>
            <w:gridSpan w:val="4"/>
            <w:tcBorders/>
            <w:shd w:fill="000000" w:val="clear"/>
            <w:vAlign w:val="center"/>
          </w:tcPr>
          <w:p>
            <w:pPr>
              <w:pStyle w:val="TableContents"/>
              <w:bidi w:val="0"/>
              <w:spacing w:before="0" w:after="0"/>
              <w:jc w:val="left"/>
              <w:rPr/>
            </w:pPr>
            <w:r>
              <w:rPr/>
              <w:t xml:space="preserve">What We Don’t Do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7" descr=""/>
                          <pic:cNvPicPr>
                            <a:picLocks noChangeAspect="1" noChangeArrowheads="1"/>
                          </pic:cNvPicPr>
                        </pic:nvPicPr>
                        <pic:blipFill>
                          <a:blip r:embed="rId5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3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Annual Compensation Review.</w:t>
            </w:r>
            <w:r>
              <w:rPr/>
              <w:t xml:space="preserve"> The Compensation and Human Capital Committee conducts a review at least annually of our executive compensation philosophy and strategy, including a market assessment of executive pay practices at peer companies.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8" descr=""/>
                          <pic:cNvPicPr>
                            <a:picLocks noChangeAspect="1" noChangeArrowheads="1"/>
                          </pic:cNvPicPr>
                        </pic:nvPicPr>
                        <pic:blipFill>
                          <a:blip r:embed="rId5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No Option/SAR Repricing or Buy Outs.</w:t>
            </w:r>
            <w:r>
              <w:rPr/>
              <w:t xml:space="preserve"> Our Amended and Restated 2021 Stock Incentive Plan prohibits, without stockholder approval, repricing of stock options and stock appreciation rights, and buyouts of underwater stock options and stock appreciation rights.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9" descr=""/>
                          <pic:cNvPicPr>
                            <a:picLocks noChangeAspect="1" noChangeArrowheads="1"/>
                          </pic:cNvPicPr>
                        </pic:nvPicPr>
                        <pic:blipFill>
                          <a:blip r:embed="rId5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3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Annual Compensation-Related Risk Assessment.</w:t>
            </w:r>
            <w:r>
              <w:rPr/>
              <w:t xml:space="preserve"> We have strong risk and control policies, consider risk management when making executive compensation decisions, and conduct an annual risk assessment of our compensation programs to promote prudent risk management.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0" descr=""/>
                          <pic:cNvPicPr>
                            <a:picLocks noChangeAspect="1" noChangeArrowheads="1"/>
                          </pic:cNvPicPr>
                        </pic:nvPicPr>
                        <pic:blipFill>
                          <a:blip r:embed="rId5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No Dividends on Unvested Awards.</w:t>
            </w:r>
            <w:r>
              <w:rPr/>
              <w:t xml:space="preserve"> We do not pay dividends on unvested equity awards.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1" descr=""/>
                          <pic:cNvPicPr>
                            <a:picLocks noChangeAspect="1" noChangeArrowheads="1"/>
                          </pic:cNvPicPr>
                        </pic:nvPicPr>
                        <pic:blipFill>
                          <a:blip r:embed="rId56"/>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3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Balanced Short-Term and Long-Term Compensation.</w:t>
            </w:r>
            <w:r>
              <w:rPr/>
              <w:t xml:space="preserve"> We balance short- and long-term incentives to discourage short-term risk-taking at the expense of long-term results.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2" descr=""/>
                          <pic:cNvPicPr>
                            <a:picLocks noChangeAspect="1" noChangeArrowheads="1"/>
                          </pic:cNvPicPr>
                        </pic:nvPicPr>
                        <pic:blipFill>
                          <a:blip r:embed="rId5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No “Single-Trigger” Change in Control Arrangements.</w:t>
            </w:r>
            <w:r>
              <w:rPr/>
              <w:t xml:space="preserve"> We do not provide for “single-trigger” acceleration of equity or other compensation or benefits solely upon a change in control.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3" descr=""/>
                          <pic:cNvPicPr>
                            <a:picLocks noChangeAspect="1" noChangeArrowheads="1"/>
                          </pic:cNvPicPr>
                        </pic:nvPicPr>
                        <pic:blipFill>
                          <a:blip r:embed="rId58"/>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3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Independent Compensation and Human Capital Committee Advisor.</w:t>
            </w:r>
            <w:r>
              <w:rPr/>
              <w:t xml:space="preserve"> The Compensation and Human Capital Committee engages an independent compensation consultant.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4" descr=""/>
                          <pic:cNvPicPr>
                            <a:picLocks noChangeAspect="1" noChangeArrowheads="1"/>
                          </pic:cNvPicPr>
                        </pic:nvPicPr>
                        <pic:blipFill>
                          <a:blip r:embed="rId5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50" w:type="dxa"/>
            <w:tcBorders>
              <w:bottom w:val="single" w:sz="6" w:space="0" w:color="000000"/>
            </w:tcBorders>
            <w:tcMar>
              <w:bottom w:w="67" w:type="dxa"/>
            </w:tcMar>
            <w:vAlign w:val="center"/>
          </w:tcPr>
          <w:p>
            <w:pPr>
              <w:pStyle w:val="TableContents"/>
              <w:bidi w:val="0"/>
              <w:spacing w:lineRule="atLeast" w:line="180" w:before="0" w:after="0"/>
              <w:jc w:val="left"/>
              <w:rPr/>
            </w:pPr>
            <w:r>
              <w:rPr>
                <w:b/>
                <w:i/>
              </w:rPr>
              <w:t>No Excise Tax “Gross-Ups.”</w:t>
            </w:r>
            <w:r>
              <w:rPr/>
              <w:t xml:space="preserve"> We do not provide any excise tax “gross-ups” on severance or other payments in connection with a change in control.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29"/>
        <w:gridCol w:w="109"/>
        <w:gridCol w:w="109"/>
        <w:gridCol w:w="5289"/>
        <w:gridCol w:w="109"/>
        <w:gridCol w:w="109"/>
        <w:gridCol w:w="229"/>
        <w:gridCol w:w="109"/>
        <w:gridCol w:w="109"/>
        <w:gridCol w:w="2804"/>
        <w:gridCol w:w="156"/>
      </w:tblGrid>
      <w:tr>
        <w:trPr/>
        <w:tc>
          <w:tcPr>
            <w:tcW w:w="124" w:type="dxa"/>
            <w:tcBorders/>
            <w:shd w:fill="000000" w:val="clear"/>
            <w:vAlign w:val="center"/>
          </w:tcPr>
          <w:p>
            <w:pPr>
              <w:pStyle w:val="TableContents"/>
              <w:bidi w:val="0"/>
              <w:spacing w:before="0" w:after="283"/>
              <w:jc w:val="left"/>
              <w:rPr/>
            </w:pPr>
            <w:r>
              <w:rPr/>
              <w:t>​</w:t>
            </w:r>
          </w:p>
        </w:tc>
        <w:tc>
          <w:tcPr>
            <w:tcW w:w="5736" w:type="dxa"/>
            <w:gridSpan w:val="4"/>
            <w:tcBorders/>
            <w:shd w:fill="000000" w:val="clear"/>
            <w:vAlign w:val="center"/>
          </w:tcPr>
          <w:p>
            <w:pPr>
              <w:pStyle w:val="TableContents"/>
              <w:bidi w:val="0"/>
              <w:spacing w:before="0" w:after="0"/>
              <w:jc w:val="left"/>
              <w:rPr/>
            </w:pPr>
            <w:r>
              <w:rPr/>
              <w:t xml:space="preserve">What We Do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251" w:type="dxa"/>
            <w:gridSpan w:val="4"/>
            <w:tcBorders/>
            <w:shd w:fill="000000" w:val="clear"/>
            <w:vAlign w:val="center"/>
          </w:tcPr>
          <w:p>
            <w:pPr>
              <w:pStyle w:val="TableContents"/>
              <w:bidi w:val="0"/>
              <w:spacing w:before="0" w:after="0"/>
              <w:jc w:val="left"/>
              <w:rPr/>
            </w:pPr>
            <w:r>
              <w:rPr/>
              <w:t xml:space="preserve">What We Don’t Do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9" w:type="dxa"/>
            <w:tcBorders>
              <w:bottom w:val="single" w:sz="6" w:space="0" w:color="000000"/>
            </w:tcBorders>
            <w:tcMar>
              <w:bottom w:w="79" w:type="dxa"/>
            </w:tcMar>
            <w:vAlign w:val="center"/>
          </w:tcPr>
          <w:p>
            <w:pPr>
              <w:pStyle w:val="TableContents"/>
              <w:bidi w:val="0"/>
              <w:spacing w:before="0" w:after="0"/>
              <w:jc w:val="left"/>
              <w:rPr/>
            </w:pPr>
            <w:r>
              <w:rPr/>
              <w:drawing>
                <wp:inline distT="0" distB="0" distL="0" distR="0">
                  <wp:extent cx="85725" cy="85725"/>
                  <wp:effectExtent l="0" t="0" r="0" b="0"/>
                  <wp:docPr id="1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5" descr=""/>
                          <pic:cNvPicPr>
                            <a:picLocks noChangeAspect="1" noChangeArrowheads="1"/>
                          </pic:cNvPicPr>
                        </pic:nvPicPr>
                        <pic:blipFill>
                          <a:blip r:embed="rId6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289" w:type="dxa"/>
            <w:tcBorders>
              <w:bottom w:val="single" w:sz="6" w:space="0" w:color="000000"/>
            </w:tcBorders>
            <w:tcMar>
              <w:bottom w:w="140" w:type="dxa"/>
            </w:tcMar>
            <w:vAlign w:val="center"/>
          </w:tcPr>
          <w:p>
            <w:pPr>
              <w:pStyle w:val="TableContents"/>
              <w:bidi w:val="0"/>
              <w:spacing w:lineRule="atLeast" w:line="180" w:before="0" w:after="0"/>
              <w:jc w:val="left"/>
              <w:rPr/>
            </w:pPr>
            <w:r>
              <w:rPr>
                <w:b/>
                <w:i/>
              </w:rPr>
              <w:t>Independent Compensation and Human Capital Committee.</w:t>
            </w:r>
            <w:r>
              <w:rPr/>
              <w:t xml:space="preserve"> The Compensation and Human Capital Committee consists only of independent directors under Nasdaq rules, even though, as a controlled company, we are not required to have an independent compensation committee under Nasdaq rules.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9" w:type="dxa"/>
            <w:tcBorders>
              <w:bottom w:val="single" w:sz="6" w:space="0" w:color="000000"/>
            </w:tcBorders>
            <w:tcMar>
              <w:bottom w:w="79" w:type="dxa"/>
            </w:tcMar>
            <w:vAlign w:val="center"/>
          </w:tcPr>
          <w:p>
            <w:pPr>
              <w:pStyle w:val="TableContents"/>
              <w:bidi w:val="0"/>
              <w:spacing w:before="0" w:after="0"/>
              <w:jc w:val="left"/>
              <w:rPr/>
            </w:pPr>
            <w:r>
              <w:rPr/>
              <w:drawing>
                <wp:inline distT="0" distB="0" distL="0" distR="0">
                  <wp:extent cx="85725" cy="85725"/>
                  <wp:effectExtent l="0" t="0" r="0" b="0"/>
                  <wp:docPr id="1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6" descr=""/>
                          <pic:cNvPicPr>
                            <a:picLocks noChangeAspect="1" noChangeArrowheads="1"/>
                          </pic:cNvPicPr>
                        </pic:nvPicPr>
                        <pic:blipFill>
                          <a:blip r:embed="rId6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804" w:type="dxa"/>
            <w:tcBorders>
              <w:bottom w:val="single" w:sz="6" w:space="0" w:color="000000"/>
            </w:tcBorders>
            <w:tcMar>
              <w:bottom w:w="140" w:type="dxa"/>
            </w:tcMar>
            <w:vAlign w:val="center"/>
          </w:tcPr>
          <w:p>
            <w:pPr>
              <w:pStyle w:val="TableContents"/>
              <w:bidi w:val="0"/>
              <w:spacing w:lineRule="atLeast" w:line="180" w:before="0" w:after="0"/>
              <w:jc w:val="left"/>
              <w:rPr/>
            </w:pPr>
            <w:r>
              <w:rPr>
                <w:b/>
                <w:i/>
              </w:rPr>
              <w:t>No Hedging or Pledging Permitted.</w:t>
            </w:r>
            <w:r>
              <w:rPr/>
              <w:t xml:space="preserve"> We prohibit directors and employees (including our NEOs) from hedging or pledging Lucid securities.</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244"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Compensation Philosophy and Objectives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with the emphasis of performance-based equity awards, linking a significant portion of equity compensation to performance-based results; and (iii) appropriately aligning compensation with both short-term and long-term Company performance measures and strategic objectives. Being a technology and automotive company that is setting new standards with the world’s most advanced electric vehicles, we seek to hire and retain experienced talent from the competitive technology sector who have the ability to lead across multiple disciplines and through our highly regulated industries.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executive compensation program design reflects our pay-for-performance philosophy and includes a mix of three key compensation elements — base salary, annual cash incentive awards, and long-term equity incentive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annually reviews and analyzes market trends (including compensation market data from an approved peer group of companies) and adjusts the design and operation of our executive compensation program from time to time as it deems appropriate. As we continue to grow as a public company, the Compensation and Human Capital Committee continues to consider the extent to which the equity compensation of our NEOs should be linked to performance-based results, and the Compensation and Human Capital Committee has recently taken action to further link equity compensation to performance-based results by approving performance-based equity awards, as briefly described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Recruitment Philosophy and Objectives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Lucid’s mission is to advance the state-of-the-art of EV technology for the benefit of all. At Lucid, we strongly believe in the power of our talented employees and partners to create, build, and support the most advanced EVs available in the global market. We seek to attract and retain employees whose respective professional backgrounds and individual skill sets can help craft an unparalleled suite of state-of-the-art, technologically advanced, California-inspired vehicles for consumers worldwide.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recognize the critical importance of attracting, recruiting, developing, and retaining top talent at all levels of the organization through a comprehensive global human capital management strategy. The Compensation and Human Capital Committee oversees this strategy and receives regular updates from management, led by our Senior Vice President of People, on our global talent initiatives. Since 2024, we have successfully continued to strengthen our next-generation executive leadership team by hiring seasoned executives across key roles, including Mr. Taoufiq Boussaid, who joined as our Chief Financial Officer in the first quarter of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Executive Compensation Process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Roles of the Compensation and Human Capital Committee and Management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Our executive compensation program is administered primarily by the Compensation and Human Capital Committee, which is comprised entirely of independent directors under Nasdaq rules (even though, as a controlled company, we are not required to have an independent compensation committee under Nasdaq rules). The Compensation and Human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Capital Committee establishes our overall compensation philosophy and objectives and is responsible for establishing, overseeing, and evaluating our executive compensation program. The Compensation and Human Capital Committee reviews and assesses whether our executive compensation program aligns with our compensation philosophy and objectives and generally approves the cash compensation of our NEOs (other than the CEO), and recommends to the Board for approval, the cash compensation for our CEO and equity grants to our NEOs (including the CEO).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also consults with and reviews feedback from members of our management team, including our CEO and Human Resources senior leadership, when making compensation decisions (other than for their own). Our CEO works closely with the Compensation and Human Capital Committee and provides the Compensation and Human Capital Committee with performance assessments and compensation recommendations for each NEO (other than himself), based on each NEO’s level of performance and overall Company performance. While the Compensation and Human Capital Committee considers our CEO’s recommendations, the Compensation and Human Capital Committee ultimately uses its own business judgment and experience in making compensation decisions and recommendations.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Role of Compensation Consultant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is directly responsible for the appointment, compensation and oversight of the work of any compensation advisor and has sole authority to approve all such advisors’ fees and other retention terms.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has retained Pay Governance as its independent compensation consultant since November 2021 to provide the committee with advice and guidance on the design of our executive compensation program. The Nominating and Corporate Governance Committee also has retained Pay Governance as an independent consultant to assist with evaluating non-employee director compensation. Pay Governance provides the committees with market data and analysis on competitive compensation levels, practices and trends and provides recommendations when requested. Pay Governance has not provided any other services to us and has not received any compensation from us other than with respect to such services to the Compensation and Human Capital Committee and the Nominating and Corporate Governance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year, the Compensation and Human Capital Committee reviews the independence of the compensation consultant and other advisors who provide advice to the Compensation and Human Capital Committee, utilizing the independence criteria and factors specified under Nasdaq rules.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has determined that Pay Governance is independent within the meaning of the Nasdaq rules, and Pay Governance’s work for the committee has not raised any conflicts of interest.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Executive Compensation Peer Group</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September 2023, based on input from management and Pay Governance, the Compensation and Human Capital Committee approved an executive compensation peer group to define external benchmarks to help inform compensation decision-making for 2024. While external benchmarks are not the only factor used in the Compensation and Human Capital Committee’s decision process, the Compensation and Human Capital Committee believes external benchmarks to be a valuable tool in understanding the competitive market as it develops compensation policies and practices intended to attract, motivate, and retain top-level talent.</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developing the peer group, consideration was given to our unique combination of key attributes—high price-to-sales ratio, large-scale manufacturing, and a technology-heavy workforce. Our 2024 compensation peer group included the following companies based on the aforementioned criteria:</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1456"/>
        <w:gridCol w:w="109"/>
        <w:gridCol w:w="109"/>
        <w:gridCol w:w="2076"/>
        <w:gridCol w:w="109"/>
        <w:gridCol w:w="109"/>
        <w:gridCol w:w="1377"/>
        <w:gridCol w:w="109"/>
        <w:gridCol w:w="109"/>
        <w:gridCol w:w="1658"/>
        <w:gridCol w:w="109"/>
        <w:gridCol w:w="109"/>
        <w:gridCol w:w="1766"/>
        <w:gridCol w:w="156"/>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Airbnb, Inc.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101600" cy="525780"/>
                      <wp:effectExtent l="0" t="0" r="0" b="0"/>
                      <wp:wrapSquare wrapText="right"/>
                      <wp:docPr id="179" name="Frame11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76"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 xml:space="preserve">Magna International Inc.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101600" cy="525780"/>
                      <wp:effectExtent l="0" t="0" r="0" b="0"/>
                      <wp:wrapSquare wrapText="right"/>
                      <wp:docPr id="180" name="Frame12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77"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Mobileye Global Inc.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101600" cy="525780"/>
                      <wp:effectExtent l="0" t="0" r="0" b="0"/>
                      <wp:wrapSquare wrapText="right"/>
                      <wp:docPr id="181" name="Frame12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58"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Tesla, Inc.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101600" cy="525780"/>
                      <wp:effectExtent l="0" t="0" r="0" b="0"/>
                      <wp:wrapSquare wrapText="right"/>
                      <wp:docPr id="182" name="Frame12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 xml:space="preserve">Uber Technologies, Inc.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101600" cy="525780"/>
                      <wp:effectExtent l="0" t="0" r="0" b="0"/>
                      <wp:wrapSquare wrapText="right"/>
                      <wp:docPr id="183" name="Frame12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Aptiv PLC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101600" cy="525780"/>
                      <wp:effectExtent l="0" t="0" r="0" b="0"/>
                      <wp:wrapSquare wrapText="right"/>
                      <wp:docPr id="184" name="Frame12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76"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Ford Motor Company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101600" cy="525780"/>
                      <wp:effectExtent l="0" t="0" r="0" b="0"/>
                      <wp:wrapSquare wrapText="right"/>
                      <wp:docPr id="185" name="Frame12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77"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Joby Aviation, Inc.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101600" cy="525780"/>
                      <wp:effectExtent l="0" t="0" r="0" b="0"/>
                      <wp:wrapSquare wrapText="right"/>
                      <wp:docPr id="186" name="Frame12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58"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 xml:space="preserve">Rivian Automotive, Inc.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101600" cy="525780"/>
                      <wp:effectExtent l="0" t="0" r="0" b="0"/>
                      <wp:wrapSquare wrapText="right"/>
                      <wp:docPr id="187" name="Frame12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Zscaler, Inc.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101600" cy="525780"/>
                      <wp:effectExtent l="0" t="0" r="0" b="0"/>
                      <wp:wrapSquare wrapText="right"/>
                      <wp:docPr id="188" name="Frame128"/>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Cloudflare, Inc.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101600" cy="525780"/>
                      <wp:effectExtent l="0" t="0" r="0" b="0"/>
                      <wp:wrapSquare wrapText="right"/>
                      <wp:docPr id="189" name="Frame12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76"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 xml:space="preserve">General Motors Company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101600" cy="525780"/>
                      <wp:effectExtent l="0" t="0" r="0" b="0"/>
                      <wp:wrapSquare wrapText="right"/>
                      <wp:docPr id="190" name="Frame13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77"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Lyft, Inc.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101600" cy="525780"/>
                      <wp:effectExtent l="0" t="0" r="0" b="0"/>
                      <wp:wrapSquare wrapText="right"/>
                      <wp:docPr id="191" name="Frame13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58"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Snowflake Inc.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101600" cy="525780"/>
                      <wp:effectExtent l="0" t="0" r="0" b="0"/>
                      <wp:wrapSquare wrapText="right"/>
                      <wp:docPr id="192" name="Frame13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vAlign w:val="center"/>
          </w:tcPr>
          <w:p>
            <w:pPr>
              <w:pStyle w:val="TableContents"/>
              <w:bidi w:val="0"/>
              <w:spacing w:before="0" w:after="283"/>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141" w:type="dxa"/>
            </w:tcMar>
            <w:vAlign w:val="center"/>
          </w:tcPr>
          <w:p>
            <w:pPr>
              <w:pStyle w:val="TableContents"/>
              <w:bidi w:val="0"/>
              <w:spacing w:lineRule="atLeast" w:line="180" w:before="0" w:after="0"/>
              <w:ind w:left="160" w:right="0" w:hanging="0"/>
              <w:jc w:val="left"/>
              <w:rPr/>
            </w:pPr>
            <w:r>
              <w:rPr/>
              <w:t xml:space="preserve">CrowdStrike </w:t>
              <w:br/>
              <w:t xml:space="preserve">Holdings, Inc.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101600" cy="525780"/>
                      <wp:effectExtent l="0" t="0" r="0" b="0"/>
                      <wp:wrapSquare wrapText="right"/>
                      <wp:docPr id="193" name="Frame13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76" w:type="dxa"/>
            <w:tcBorders>
              <w:bottom w:val="single" w:sz="6" w:space="0" w:color="000000"/>
            </w:tcBorders>
            <w:tcMar>
              <w:bottom w:w="141" w:type="dxa"/>
            </w:tcMar>
            <w:vAlign w:val="center"/>
          </w:tcPr>
          <w:p>
            <w:pPr>
              <w:pStyle w:val="TableContents"/>
              <w:bidi w:val="0"/>
              <w:spacing w:lineRule="atLeast" w:line="160" w:before="0" w:after="0"/>
              <w:ind w:left="160" w:right="0" w:hanging="0"/>
              <w:jc w:val="left"/>
              <w:rPr/>
            </w:pPr>
            <w:r>
              <w:rPr/>
              <w:t xml:space="preserve">Harley-Davidson, Inc.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101600" cy="525780"/>
                      <wp:effectExtent l="0" t="0" r="0" b="0"/>
                      <wp:wrapSquare wrapText="right"/>
                      <wp:docPr id="194" name="Frame13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77"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58"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tcMar>
              <w:bottom w:w="180" w:type="dxa"/>
            </w:tcMar>
            <w:vAlign w:val="center"/>
          </w:tcPr>
          <w:p>
            <w:pPr>
              <w:pStyle w:val="TableContents"/>
              <w:bidi w:val="0"/>
              <w:spacing w:before="0" w:after="283"/>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30" w:before="224"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reviews the compensation peer group annually to ensure continued appropriateness. The peer group companies are intended to be a reasonable frame of reference for compensation benchmarking, aligned with the Company’s business attributes, and size appropriate, taking into account changes in both our business and the businesses of the companies in the peer group. For 2024, the Committee approved the removal of Boeing, Deere, Intel and RTX due to their market capitalizations relative to Lucid, as well as Proterra, which filed for bankruptcy. Additionally, the Committee approved the inclusion of Magna International and Mobileye Global due to their strong automotive and electric vehicle industry linkage. The addition of Mobileye Global and the removal of Intel are also related to Mobileye Global’s independent IPO in 2023, following its acquisition by Intel in 2017.</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Analysis of 2024 Compensation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Compensation Elements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2024 executive compensation program consisted of the following elements: base salary, annual cash incentive awards, and long-term equity incentive awards. Each element, which is further discussed below, is intended to reward and motivate executives in different ways consistent with our overall compensation philosophy.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Compensation-Setting Process and Competitive Positioning</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the first half of 2024, the Compensation and Human Capital Committee reviewed the base salaries, target annual cash incentive opportunities, and annual long-term equity incentive values for our NEOs at that time, as compared to similarly situated executives in the peer group. Pay Governance provided data at the 25th, 50th, and 75th percentiles for such compensation, which the committee used as a reference. The Compensation and Human Capital Committee considers such data relevant to, but not determinative of, its consideration of overall executive compensation matters. The Compensation and Human Capital Committee did not benchmark any compensation element to a specific percentile, and the committee instead established our NEOs’ compensation at levels it deemed appropriate after considering such data in conjunction with other factors, including our overall financial and operating performance and each NEO’s experience, performance, contributions and responsibilities, internal pay equity, our short-term and long-term objectives, retention considerations, prevailing market conditions, and feedback from stockholder engagement.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Base Salary</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Base salaries provide a fixed source of compensation to our NEOs and are intended to drive short-term performance. We believe that a competitive base salary is a necessary element of our executive compensation program and is critical in attracting and retaining executive talent, including our NEOs. Base salaries for our NEOs are also intended to be competitive with those received by other individuals in similar positions at the companies with which we compete for talent, as well as equitable internally across our executive team.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annually reviews the base salaries of our NEOs and makes adjustments as it deems necessary or appropriate based on peer group data and the other factors described above in “Compensation-Setting Process and Competitive Positioning.” For each NEO, other than the CEO, the Compensation and Human Capital Committee receives a performance assessment and salary adjustment recommendation from the CEO.</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reviewed the base salaries of our NEOs and considered the recommendations of our former CEO, Mr. Rawlinson (except with respect to his own base salary). Consistent with our intended approach to provide compensation competitive with a benchmark group of companies and in recognition of their performance, the Compensation and Human Capital Committee approved increases in the annual base salaries for Messrs. Dhingra and Bach in January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NEOs’ base salaries for 2024, both immediately preceding and after the increase, are set forth in the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2024 Base Salary</w:t>
      </w:r>
      <w:r>
        <w:rPr>
          <w:rFonts w:ascii="Arial;Helvetica;sans-serif" w:hAnsi="Arial;Helvetica;sans-serif"/>
          <w:b/>
          <w:i w:val="false"/>
          <w:caps w:val="false"/>
          <w:smallCaps w:val="false"/>
          <w:color w:val="000000"/>
          <w:spacing w:val="4"/>
          <w:sz w:val="18"/>
        </w:rPr>
        <w:t xml:space="preserve"> </w:t>
      </w:r>
    </w:p>
    <w:tbl>
      <w:tblPr>
        <w:tblW w:w="6387" w:type="dxa"/>
        <w:jc w:val="left"/>
        <w:tblInd w:w="720" w:type="dxa"/>
        <w:tblLayout w:type="fixed"/>
        <w:tblCellMar>
          <w:top w:w="0" w:type="dxa"/>
          <w:left w:w="0" w:type="dxa"/>
          <w:bottom w:w="0" w:type="dxa"/>
          <w:right w:w="0" w:type="dxa"/>
        </w:tblCellMar>
      </w:tblPr>
      <w:tblGrid>
        <w:gridCol w:w="124"/>
        <w:gridCol w:w="2596"/>
        <w:gridCol w:w="109"/>
        <w:gridCol w:w="109"/>
        <w:gridCol w:w="1651"/>
        <w:gridCol w:w="109"/>
        <w:gridCol w:w="109"/>
        <w:gridCol w:w="1426"/>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51" w:type="dxa"/>
            <w:tcBorders/>
            <w:shd w:fill="000000" w:val="clear"/>
            <w:vAlign w:val="center"/>
          </w:tcPr>
          <w:p>
            <w:pPr>
              <w:pStyle w:val="TableContents"/>
              <w:bidi w:val="0"/>
              <w:spacing w:before="0" w:after="283"/>
              <w:jc w:val="left"/>
              <w:rPr/>
            </w:pPr>
            <w:r>
              <w:rPr/>
              <w:t xml:space="preserve">Base Salary </w:t>
              <w:br/>
              <w:t xml:space="preserve">Before Increase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6" w:type="dxa"/>
            <w:tcBorders/>
            <w:shd w:fill="000000" w:val="clear"/>
            <w:vAlign w:val="center"/>
          </w:tcPr>
          <w:p>
            <w:pPr>
              <w:pStyle w:val="TableContents"/>
              <w:bidi w:val="0"/>
              <w:spacing w:before="0" w:after="283"/>
              <w:jc w:val="left"/>
              <w:rPr/>
            </w:pPr>
            <w:r>
              <w:rPr/>
              <w:t xml:space="preserve">Base Salary </w:t>
              <w:br/>
              <w:t xml:space="preserve">Post-Increase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148" w:type="dxa"/>
            </w:tcMar>
            <w:vAlign w:val="center"/>
          </w:tcPr>
          <w:p>
            <w:pPr>
              <w:pStyle w:val="TableContents"/>
              <w:bidi w:val="0"/>
              <w:spacing w:before="0" w:after="283"/>
              <w:jc w:val="left"/>
              <w:rPr/>
            </w:pPr>
            <w:r>
              <w:rPr/>
              <w:t xml:space="preserve">$625,000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26" w:type="dxa"/>
            <w:tcBorders>
              <w:bottom w:val="single" w:sz="6" w:space="0" w:color="000000"/>
            </w:tcBorders>
            <w:tcMar>
              <w:bottom w:w="148" w:type="dxa"/>
            </w:tcMar>
            <w:vAlign w:val="center"/>
          </w:tcPr>
          <w:p>
            <w:pPr>
              <w:pStyle w:val="TableContents"/>
              <w:bidi w:val="0"/>
              <w:spacing w:before="0" w:after="283"/>
              <w:jc w:val="left"/>
              <w:rPr/>
            </w:pPr>
            <w:r>
              <w:rPr/>
              <w:t xml:space="preserve">$625,000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148" w:type="dxa"/>
            </w:tcMar>
            <w:vAlign w:val="center"/>
          </w:tcPr>
          <w:p>
            <w:pPr>
              <w:pStyle w:val="TableContents"/>
              <w:bidi w:val="0"/>
              <w:spacing w:before="0" w:after="283"/>
              <w:jc w:val="left"/>
              <w:rPr/>
            </w:pPr>
            <w:r>
              <w:rPr/>
              <w:t xml:space="preserve">$382,000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26" w:type="dxa"/>
            <w:tcBorders>
              <w:bottom w:val="single" w:sz="6" w:space="0" w:color="000000"/>
            </w:tcBorders>
            <w:tcMar>
              <w:bottom w:w="148" w:type="dxa"/>
            </w:tcMar>
            <w:vAlign w:val="center"/>
          </w:tcPr>
          <w:p>
            <w:pPr>
              <w:pStyle w:val="TableContents"/>
              <w:bidi w:val="0"/>
              <w:spacing w:before="0" w:after="283"/>
              <w:jc w:val="left"/>
              <w:rPr/>
            </w:pPr>
            <w:r>
              <w:rPr/>
              <w:t xml:space="preserve">$400,000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Marc Winterhoff</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148" w:type="dxa"/>
            </w:tcMar>
            <w:vAlign w:val="center"/>
          </w:tcPr>
          <w:p>
            <w:pPr>
              <w:pStyle w:val="TableContents"/>
              <w:bidi w:val="0"/>
              <w:spacing w:before="0" w:after="283"/>
              <w:jc w:val="left"/>
              <w:rPr/>
            </w:pPr>
            <w:r>
              <w:rPr/>
              <w:t xml:space="preserve">$595,000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26" w:type="dxa"/>
            <w:tcBorders>
              <w:bottom w:val="single" w:sz="6" w:space="0" w:color="000000"/>
            </w:tcBorders>
            <w:tcMar>
              <w:bottom w:w="148" w:type="dxa"/>
            </w:tcMar>
            <w:vAlign w:val="center"/>
          </w:tcPr>
          <w:p>
            <w:pPr>
              <w:pStyle w:val="TableContents"/>
              <w:bidi w:val="0"/>
              <w:spacing w:before="0" w:after="283"/>
              <w:jc w:val="left"/>
              <w:rPr/>
            </w:pPr>
            <w:r>
              <w:rPr/>
              <w:t xml:space="preserve">$595,000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148" w:type="dxa"/>
            </w:tcMar>
            <w:vAlign w:val="center"/>
          </w:tcPr>
          <w:p>
            <w:pPr>
              <w:pStyle w:val="TableContents"/>
              <w:bidi w:val="0"/>
              <w:spacing w:before="0" w:after="283"/>
              <w:jc w:val="left"/>
              <w:rPr/>
            </w:pPr>
            <w:r>
              <w:rPr/>
              <w:t xml:space="preserve">$560,000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26" w:type="dxa"/>
            <w:tcBorders>
              <w:bottom w:val="single" w:sz="6" w:space="0" w:color="000000"/>
            </w:tcBorders>
            <w:tcMar>
              <w:bottom w:w="148" w:type="dxa"/>
            </w:tcMar>
            <w:vAlign w:val="center"/>
          </w:tcPr>
          <w:p>
            <w:pPr>
              <w:pStyle w:val="TableContents"/>
              <w:bidi w:val="0"/>
              <w:spacing w:before="0" w:after="283"/>
              <w:jc w:val="left"/>
              <w:rPr/>
            </w:pPr>
            <w:r>
              <w:rPr/>
              <w:t xml:space="preserve">$605,000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148" w:type="dxa"/>
            </w:tcMar>
            <w:vAlign w:val="center"/>
          </w:tcPr>
          <w:p>
            <w:pPr>
              <w:pStyle w:val="TableContents"/>
              <w:bidi w:val="0"/>
              <w:spacing w:before="0" w:after="283"/>
              <w:jc w:val="left"/>
              <w:rPr/>
            </w:pPr>
            <w:r>
              <w:rPr/>
              <w:t xml:space="preserve">$525,000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26" w:type="dxa"/>
            <w:tcBorders>
              <w:bottom w:val="single" w:sz="6" w:space="0" w:color="000000"/>
            </w:tcBorders>
            <w:tcMar>
              <w:bottom w:w="148" w:type="dxa"/>
            </w:tcMar>
            <w:vAlign w:val="center"/>
          </w:tcPr>
          <w:p>
            <w:pPr>
              <w:pStyle w:val="TableContents"/>
              <w:bidi w:val="0"/>
              <w:spacing w:before="0" w:after="283"/>
              <w:jc w:val="left"/>
              <w:rPr/>
            </w:pPr>
            <w:r>
              <w:rPr/>
              <w:t>$525,000</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2024, there was no base salary adjustment for Mr. Winterhoff, who commenced employment with us in December 2023 and was therefore not eligible for an increase in the annual base salary.</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196850" distB="0" distL="0" distR="0" simplePos="0" locked="0" layoutInCell="1" allowOverlap="1" relativeHeight="203">
                <wp:simplePos x="0" y="0"/>
                <wp:positionH relativeFrom="column">
                  <wp:align>left</wp:align>
                </wp:positionH>
                <wp:positionV relativeFrom="line">
                  <wp:align>top</wp:align>
                </wp:positionV>
                <wp:extent cx="91440" cy="180340"/>
                <wp:effectExtent l="0" t="0" r="0" b="0"/>
                <wp:wrapSquare wrapText="right"/>
                <wp:docPr id="195" name="Frame135"/>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5.5pt;mso-wrap-distance-bottom:0pt;margin-top:1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Annual Cash Incentive Compensation</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annual cash incentive program (the “Annual Incentive Plan Program” or “AIP”) is intended to motivate our employees, including our NEOs, to achieve exceptionally challenging short-term strategic and operational objectives, while also enhancing our ability to attract and retain highly talented individuals. Under our AIP, NEOs are eligible to receive an annual performance-based cash bonus award, the amount of which is based on a pre-set target percentage of the NEO’s annual base salary for that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is responsible for establishing the target annual incentive opportunity, as well as the corporate performance metrics and criteria, the latter of which are measured against for assessing the individual performance modifier. For each NEO, the amount of such cash incentive award for each fiscal year depends on our overall Company Payout Factor, which is based on the combined performance of the underlying Company Performance Metrics (see following section for additional details) and their respective individual performance modifier.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June 2024, the Board, upon the recommendation of the Compensation and Human Capital Committee, approved the Annual Incentive Plan Program for fiscal year 2024 (the “2024 AIP”), based on the following formula:</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324" w:after="283"/>
        <w:jc w:val="center"/>
        <w:rPr>
          <w:caps w:val="false"/>
          <w:smallCaps w:val="false"/>
          <w:color w:val="000000"/>
        </w:rPr>
      </w:pPr>
      <w:r>
        <w:rPr>
          <w:caps w:val="false"/>
          <w:smallCaps w:val="false"/>
          <w:color w:val="000000"/>
        </w:rPr>
        <w:drawing>
          <wp:inline distT="0" distB="0" distL="0" distR="0">
            <wp:extent cx="4791075" cy="685800"/>
            <wp:effectExtent l="0" t="0" r="0" b="0"/>
            <wp:docPr id="19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57" descr=""/>
                    <pic:cNvPicPr>
                      <a:picLocks noChangeAspect="1" noChangeArrowheads="1"/>
                    </pic:cNvPicPr>
                  </pic:nvPicPr>
                  <pic:blipFill>
                    <a:blip r:embed="rId62"/>
                    <a:stretch>
                      <a:fillRect/>
                    </a:stretch>
                  </pic:blipFill>
                  <pic:spPr bwMode="auto">
                    <a:xfrm>
                      <a:off x="0" y="0"/>
                      <a:ext cx="4791075" cy="6858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39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Target Annual Incentive Opportunity.</w:t>
      </w:r>
      <w:r>
        <w:rPr>
          <w:rFonts w:ascii="Arial;Helvetica;sans-serif" w:hAnsi="Arial;Helvetica;sans-serif"/>
          <w:b w:val="false"/>
          <w:i w:val="false"/>
          <w:caps w:val="false"/>
          <w:smallCaps w:val="false"/>
          <w:color w:val="000000"/>
          <w:sz w:val="18"/>
        </w:rPr>
        <w:t xml:space="preserve"> The target annual incentive opportunity is a specified percentage of base salary in effect at the end of the year for each of our executives (including our NEOs) (the “Target Annual Incentive Opportunity”). The Compensation and Human Capital Committee reviewed Target Annual Incentive Opportunities for our NEOs under the 2024 AIP, taking into consideration a competitive market analysis performed by its compensation consultant, Pay Governance. The Compensation and Human Capital Committee did not increase the Target Annual Incentive Opportunities, as a percentage of base salary, for any of the NEOs from the prior year.</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NEOs’ Target Annual Incentive Opportunities for 2024 are set forth in the table below:</w:t>
      </w:r>
      <w:r>
        <w:rPr>
          <w:rFonts w:ascii="Arial;Helvetica;sans-serif" w:hAnsi="Arial;Helvetica;sans-serif"/>
          <w:b w:val="false"/>
          <w:i w:val="false"/>
          <w:caps w:val="false"/>
          <w:smallCaps w:val="false"/>
          <w:color w:val="000000"/>
          <w:spacing w:val="4"/>
          <w:sz w:val="18"/>
        </w:rPr>
        <w:t xml:space="preserve"> </w:t>
      </w:r>
    </w:p>
    <w:tbl>
      <w:tblPr>
        <w:tblW w:w="6781" w:type="dxa"/>
        <w:jc w:val="left"/>
        <w:tblInd w:w="720" w:type="dxa"/>
        <w:tblLayout w:type="fixed"/>
        <w:tblCellMar>
          <w:top w:w="0" w:type="dxa"/>
          <w:left w:w="0" w:type="dxa"/>
          <w:bottom w:w="28" w:type="dxa"/>
          <w:right w:w="0" w:type="dxa"/>
        </w:tblCellMar>
      </w:tblPr>
      <w:tblGrid>
        <w:gridCol w:w="124"/>
        <w:gridCol w:w="2596"/>
        <w:gridCol w:w="109"/>
        <w:gridCol w:w="109"/>
        <w:gridCol w:w="2154"/>
        <w:gridCol w:w="130"/>
        <w:gridCol w:w="130"/>
        <w:gridCol w:w="1275"/>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259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689" w:type="dxa"/>
            <w:gridSpan w:val="4"/>
            <w:tcBorders>
              <w:bottom w:val="single" w:sz="2" w:space="0" w:color="FEFEFE"/>
            </w:tcBorders>
            <w:shd w:fill="000000" w:val="clear"/>
            <w:tcMar>
              <w:bottom w:w="110" w:type="dxa"/>
            </w:tcMar>
            <w:vAlign w:val="center"/>
          </w:tcPr>
          <w:p>
            <w:pPr>
              <w:pStyle w:val="TableContents"/>
              <w:bidi w:val="0"/>
              <w:spacing w:before="0" w:after="0"/>
              <w:jc w:val="left"/>
              <w:rPr/>
            </w:pPr>
            <w:r>
              <w:rPr/>
              <w:t xml:space="preserve">Target Annual Incentive Opportunity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2596" w:type="dxa"/>
            <w:tcBorders/>
            <w:shd w:fill="000000" w:val="clear"/>
            <w:tcMar>
              <w:bottom w:w="0" w:type="dxa"/>
            </w:tcMar>
            <w:vAlign w:val="center"/>
          </w:tcPr>
          <w:p>
            <w:pPr>
              <w:pStyle w:val="TableContents"/>
              <w:bidi w:val="0"/>
              <w:spacing w:before="0" w:after="0"/>
              <w:jc w:val="left"/>
              <w:rPr/>
            </w:pPr>
            <w:r>
              <w:rPr/>
              <w:t xml:space="preserve">Named Executive Officer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2154" w:type="dxa"/>
            <w:tcBorders/>
            <w:shd w:fill="000000" w:val="clear"/>
            <w:tcMar>
              <w:bottom w:w="0" w:type="dxa"/>
            </w:tcMar>
            <w:vAlign w:val="center"/>
          </w:tcPr>
          <w:p>
            <w:pPr>
              <w:pStyle w:val="TableContents"/>
              <w:bidi w:val="0"/>
              <w:spacing w:before="0" w:after="0"/>
              <w:jc w:val="left"/>
              <w:rPr/>
            </w:pPr>
            <w:r>
              <w:rPr/>
              <w:t xml:space="preserve">% of Base Salary </w:t>
            </w:r>
          </w:p>
        </w:tc>
        <w:tc>
          <w:tcPr>
            <w:tcW w:w="130" w:type="dxa"/>
            <w:tcBorders/>
            <w:shd w:fill="000000" w:val="clear"/>
            <w:tcMar>
              <w:bottom w:w="0" w:type="dxa"/>
            </w:tcMar>
            <w:vAlign w:val="center"/>
          </w:tcPr>
          <w:p>
            <w:pPr>
              <w:pStyle w:val="TableContents"/>
              <w:bidi w:val="0"/>
              <w:spacing w:before="0" w:after="283"/>
              <w:jc w:val="left"/>
              <w:rPr/>
            </w:pPr>
            <w:r>
              <w:rPr/>
              <w:t>​</w:t>
            </w:r>
          </w:p>
        </w:tc>
        <w:tc>
          <w:tcPr>
            <w:tcW w:w="130" w:type="dxa"/>
            <w:tcBorders/>
            <w:shd w:fill="000000" w:val="clear"/>
            <w:tcMar>
              <w:bottom w:w="0" w:type="dxa"/>
            </w:tcMar>
            <w:vAlign w:val="center"/>
          </w:tcPr>
          <w:p>
            <w:pPr>
              <w:pStyle w:val="TableContents"/>
              <w:bidi w:val="0"/>
              <w:spacing w:before="0" w:after="283"/>
              <w:jc w:val="left"/>
              <w:rPr/>
            </w:pPr>
            <w:r>
              <w:rPr/>
              <w:t>​</w:t>
            </w:r>
          </w:p>
        </w:tc>
        <w:tc>
          <w:tcPr>
            <w:tcW w:w="1275" w:type="dxa"/>
            <w:tcBorders/>
            <w:shd w:fill="000000" w:val="clear"/>
            <w:tcMar>
              <w:bottom w:w="0" w:type="dxa"/>
            </w:tcMar>
            <w:vAlign w:val="center"/>
          </w:tcPr>
          <w:p>
            <w:pPr>
              <w:pStyle w:val="TableContents"/>
              <w:bidi w:val="0"/>
              <w:spacing w:before="0" w:after="0"/>
              <w:jc w:val="left"/>
              <w:rPr/>
            </w:pPr>
            <w:r>
              <w:rPr/>
              <w:t xml:space="preserve">Amount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54" w:type="dxa"/>
            <w:tcBorders>
              <w:bottom w:val="single" w:sz="6" w:space="0" w:color="000000"/>
            </w:tcBorders>
            <w:tcMar>
              <w:bottom w:w="98" w:type="dxa"/>
            </w:tcMar>
            <w:vAlign w:val="center"/>
          </w:tcPr>
          <w:p>
            <w:pPr>
              <w:pStyle w:val="TableContents"/>
              <w:bidi w:val="0"/>
              <w:spacing w:before="0" w:after="283"/>
              <w:jc w:val="left"/>
              <w:rPr/>
            </w:pPr>
            <w:r>
              <w:rPr/>
              <w:t xml:space="preserve">100% </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275" w:type="dxa"/>
            <w:tcBorders>
              <w:bottom w:val="single" w:sz="6" w:space="0" w:color="000000"/>
            </w:tcBorders>
            <w:tcMar>
              <w:bottom w:w="98" w:type="dxa"/>
            </w:tcMar>
            <w:vAlign w:val="center"/>
          </w:tcPr>
          <w:p>
            <w:pPr>
              <w:pStyle w:val="TableContents"/>
              <w:bidi w:val="0"/>
              <w:spacing w:before="0" w:after="283"/>
              <w:jc w:val="left"/>
              <w:rPr/>
            </w:pPr>
            <w:r>
              <w:rPr/>
              <w:t xml:space="preserve">$625,000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54" w:type="dxa"/>
            <w:tcBorders>
              <w:bottom w:val="single" w:sz="6" w:space="0" w:color="000000"/>
            </w:tcBorders>
            <w:tcMar>
              <w:bottom w:w="98" w:type="dxa"/>
            </w:tcMar>
            <w:vAlign w:val="center"/>
          </w:tcPr>
          <w:p>
            <w:pPr>
              <w:pStyle w:val="TableContents"/>
              <w:bidi w:val="0"/>
              <w:spacing w:before="0" w:after="283"/>
              <w:jc w:val="left"/>
              <w:rPr/>
            </w:pPr>
            <w:r>
              <w:rPr/>
              <w:t xml:space="preserve">50% </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275" w:type="dxa"/>
            <w:tcBorders>
              <w:bottom w:val="single" w:sz="6" w:space="0" w:color="000000"/>
            </w:tcBorders>
            <w:tcMar>
              <w:bottom w:w="98" w:type="dxa"/>
            </w:tcMar>
            <w:vAlign w:val="center"/>
          </w:tcPr>
          <w:p>
            <w:pPr>
              <w:pStyle w:val="TableContents"/>
              <w:bidi w:val="0"/>
              <w:spacing w:before="0" w:after="283"/>
              <w:jc w:val="left"/>
              <w:rPr/>
            </w:pPr>
            <w:r>
              <w:rPr/>
              <w:t xml:space="preserve">$200,000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54" w:type="dxa"/>
            <w:tcBorders>
              <w:bottom w:val="single" w:sz="6" w:space="0" w:color="000000"/>
            </w:tcBorders>
            <w:tcMar>
              <w:bottom w:w="98" w:type="dxa"/>
            </w:tcMar>
            <w:vAlign w:val="center"/>
          </w:tcPr>
          <w:p>
            <w:pPr>
              <w:pStyle w:val="TableContents"/>
              <w:bidi w:val="0"/>
              <w:spacing w:before="0" w:after="283"/>
              <w:jc w:val="left"/>
              <w:rPr/>
            </w:pPr>
            <w:r>
              <w:rPr/>
              <w:t xml:space="preserve">90% </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275" w:type="dxa"/>
            <w:tcBorders>
              <w:bottom w:val="single" w:sz="6" w:space="0" w:color="000000"/>
            </w:tcBorders>
            <w:tcMar>
              <w:bottom w:w="98" w:type="dxa"/>
            </w:tcMar>
            <w:vAlign w:val="center"/>
          </w:tcPr>
          <w:p>
            <w:pPr>
              <w:pStyle w:val="TableContents"/>
              <w:bidi w:val="0"/>
              <w:spacing w:before="0" w:after="283"/>
              <w:jc w:val="left"/>
              <w:rPr/>
            </w:pPr>
            <w:r>
              <w:rPr/>
              <w:t xml:space="preserve">$535,500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54" w:type="dxa"/>
            <w:tcBorders>
              <w:bottom w:val="single" w:sz="6" w:space="0" w:color="000000"/>
            </w:tcBorders>
            <w:tcMar>
              <w:bottom w:w="98" w:type="dxa"/>
            </w:tcMar>
            <w:vAlign w:val="center"/>
          </w:tcPr>
          <w:p>
            <w:pPr>
              <w:pStyle w:val="TableContents"/>
              <w:bidi w:val="0"/>
              <w:spacing w:before="0" w:after="283"/>
              <w:jc w:val="left"/>
              <w:rPr/>
            </w:pPr>
            <w:r>
              <w:rPr/>
              <w:t xml:space="preserve">75% </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275" w:type="dxa"/>
            <w:tcBorders>
              <w:bottom w:val="single" w:sz="6" w:space="0" w:color="000000"/>
            </w:tcBorders>
            <w:tcMar>
              <w:bottom w:w="98" w:type="dxa"/>
            </w:tcMar>
            <w:vAlign w:val="center"/>
          </w:tcPr>
          <w:p>
            <w:pPr>
              <w:pStyle w:val="TableContents"/>
              <w:bidi w:val="0"/>
              <w:spacing w:before="0" w:after="283"/>
              <w:jc w:val="left"/>
              <w:rPr/>
            </w:pPr>
            <w:r>
              <w:rPr/>
              <w:t xml:space="preserve">$453,750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Michael Bell</w:t>
            </w:r>
            <w:r>
              <w:rPr>
                <w:sz w:val="10"/>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54" w:type="dxa"/>
            <w:tcBorders>
              <w:bottom w:val="single" w:sz="6" w:space="0" w:color="000000"/>
            </w:tcBorders>
            <w:tcMar>
              <w:bottom w:w="98" w:type="dxa"/>
            </w:tcMar>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275"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Due to Mr. Bell’s separation on May 3, 2024, he was not eligible for annual incentive opportunity for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4">
                <wp:simplePos x="0" y="0"/>
                <wp:positionH relativeFrom="column">
                  <wp:align>left</wp:align>
                </wp:positionH>
                <wp:positionV relativeFrom="line">
                  <wp:align>top</wp:align>
                </wp:positionV>
                <wp:extent cx="91440" cy="180340"/>
                <wp:effectExtent l="0" t="0" r="0" b="0"/>
                <wp:wrapSquare wrapText="right"/>
                <wp:docPr id="197" name="Frame13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Company Performance Metrics. For 2024, the Board, upon recommendation of the Compensation and Human Capital Committee, selected deliveries, gross margin, free cash flow, and the Lucid Gravity start of production as corporate performance metrics (the “Company Performance Metrics”). The Company Performance Metrics and their respective targets reflect a balanced approach, focusing on key performance metrics that align with our annual growth objectives as well as our long-term business plan. At the time the Company Performance Metrics were established for 2024, the Board, upon the recommendation of the Compensation and Human Capital Committee, believed that attaining such goals would require a high level of effort and skilled execution on the part of our executives, including our NEOs, to achieve strong sales and operational success. For example, the 2024 delivery target would require a significant increase over the number of vehicles delivered in the prior year, demanding strong execution from the executive team. The introduction of the Lucid Gravity Start of Production as a performance metric also helped ensure alignment between executive compensation and the achievement of a critical strategic milestone under a challenging timeline. Additionally, the Free Cash Flow and Gross Margin targets reflect the increased production levels necessary to meet the delivery target, while also accounting for the associated costs of achieving the Lucid Gravity Start of Production.</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225"/>
        <w:gridCol w:w="109"/>
        <w:gridCol w:w="109"/>
        <w:gridCol w:w="818"/>
        <w:gridCol w:w="109"/>
        <w:gridCol w:w="109"/>
        <w:gridCol w:w="5727"/>
        <w:gridCol w:w="155"/>
      </w:tblGrid>
      <w:tr>
        <w:trPr/>
        <w:tc>
          <w:tcPr>
            <w:tcW w:w="124" w:type="dxa"/>
            <w:tcBorders/>
            <w:shd w:fill="000000" w:val="clear"/>
            <w:vAlign w:val="center"/>
          </w:tcPr>
          <w:p>
            <w:pPr>
              <w:pStyle w:val="TableContents"/>
              <w:bidi w:val="0"/>
              <w:spacing w:before="0" w:after="283"/>
              <w:jc w:val="left"/>
              <w:rPr/>
            </w:pPr>
            <w:r>
              <w:rPr/>
              <w:t>​</w:t>
            </w:r>
          </w:p>
        </w:tc>
        <w:tc>
          <w:tcPr>
            <w:tcW w:w="2225" w:type="dxa"/>
            <w:tcBorders/>
            <w:shd w:fill="000000" w:val="clear"/>
            <w:vAlign w:val="center"/>
          </w:tcPr>
          <w:p>
            <w:pPr>
              <w:pStyle w:val="TableContents"/>
              <w:bidi w:val="0"/>
              <w:spacing w:before="0" w:after="0"/>
              <w:jc w:val="left"/>
              <w:rPr/>
            </w:pPr>
            <w:r>
              <w:rPr/>
              <w:t>Company Performance Metrics</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18" w:type="dxa"/>
            <w:tcBorders/>
            <w:shd w:fill="000000" w:val="clear"/>
            <w:vAlign w:val="center"/>
          </w:tcPr>
          <w:p>
            <w:pPr>
              <w:pStyle w:val="TableContents"/>
              <w:bidi w:val="0"/>
              <w:spacing w:before="0" w:after="0"/>
              <w:jc w:val="left"/>
              <w:rPr/>
            </w:pPr>
            <w:r>
              <w:rPr/>
              <w:t xml:space="preserve">Weight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727" w:type="dxa"/>
            <w:tcBorders/>
            <w:shd w:fill="000000" w:val="clear"/>
            <w:vAlign w:val="center"/>
          </w:tcPr>
          <w:p>
            <w:pPr>
              <w:pStyle w:val="TableContents"/>
              <w:bidi w:val="0"/>
              <w:spacing w:before="0" w:after="0"/>
              <w:jc w:val="left"/>
              <w:rPr/>
            </w:pPr>
            <w:r>
              <w:rPr/>
              <w:t xml:space="preserve">Metric Description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25" w:type="dxa"/>
            <w:tcBorders>
              <w:bottom w:val="single" w:sz="6" w:space="0" w:color="000000"/>
            </w:tcBorders>
            <w:tcMar>
              <w:bottom w:w="141" w:type="dxa"/>
            </w:tcMar>
            <w:vAlign w:val="center"/>
          </w:tcPr>
          <w:p>
            <w:pPr>
              <w:pStyle w:val="TableContents"/>
              <w:bidi w:val="0"/>
              <w:spacing w:before="0" w:after="283"/>
              <w:jc w:val="left"/>
              <w:rPr/>
            </w:pPr>
            <w:r>
              <w:rPr/>
              <w:t xml:space="preserve">Deliveries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18" w:type="dxa"/>
            <w:tcBorders>
              <w:bottom w:val="single" w:sz="6" w:space="0" w:color="000000"/>
            </w:tcBorders>
            <w:tcMar>
              <w:bottom w:w="141" w:type="dxa"/>
            </w:tcMar>
            <w:vAlign w:val="center"/>
          </w:tcPr>
          <w:p>
            <w:pPr>
              <w:pStyle w:val="TableContents"/>
              <w:bidi w:val="0"/>
              <w:spacing w:before="0" w:after="283"/>
              <w:jc w:val="left"/>
              <w:rPr/>
            </w:pPr>
            <w:r>
              <w:rPr/>
              <w:t xml:space="preserve">30%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7" w:type="dxa"/>
            <w:tcBorders>
              <w:bottom w:val="single" w:sz="6" w:space="0" w:color="000000"/>
            </w:tcBorders>
            <w:tcMar>
              <w:bottom w:w="141" w:type="dxa"/>
            </w:tcMar>
            <w:vAlign w:val="center"/>
          </w:tcPr>
          <w:p>
            <w:pPr>
              <w:pStyle w:val="TableContents"/>
              <w:bidi w:val="0"/>
              <w:spacing w:before="0" w:after="283"/>
              <w:jc w:val="left"/>
              <w:rPr/>
            </w:pPr>
            <w:r>
              <w:rPr/>
              <w:t xml:space="preserve">The number of Lucid vehicles transferred to customers for the full fiscal year ended December 31, 2024.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25" w:type="dxa"/>
            <w:tcBorders>
              <w:bottom w:val="single" w:sz="6" w:space="0" w:color="000000"/>
            </w:tcBorders>
            <w:tcMar>
              <w:bottom w:w="141" w:type="dxa"/>
            </w:tcMar>
            <w:vAlign w:val="center"/>
          </w:tcPr>
          <w:p>
            <w:pPr>
              <w:pStyle w:val="TableContents"/>
              <w:bidi w:val="0"/>
              <w:spacing w:before="0" w:after="283"/>
              <w:jc w:val="left"/>
              <w:rPr/>
            </w:pPr>
            <w:r>
              <w:rPr/>
              <w:t>Free Cash Flow</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18" w:type="dxa"/>
            <w:tcBorders>
              <w:bottom w:val="single" w:sz="6" w:space="0" w:color="000000"/>
            </w:tcBorders>
            <w:tcMar>
              <w:bottom w:w="141" w:type="dxa"/>
            </w:tcMar>
            <w:vAlign w:val="center"/>
          </w:tcPr>
          <w:p>
            <w:pPr>
              <w:pStyle w:val="TableContents"/>
              <w:bidi w:val="0"/>
              <w:spacing w:before="0" w:after="283"/>
              <w:jc w:val="left"/>
              <w:rPr/>
            </w:pPr>
            <w:r>
              <w:rPr/>
              <w:t xml:space="preserve">30%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7" w:type="dxa"/>
            <w:tcBorders>
              <w:bottom w:val="single" w:sz="6" w:space="0" w:color="000000"/>
            </w:tcBorders>
            <w:tcMar>
              <w:bottom w:w="141" w:type="dxa"/>
            </w:tcMar>
            <w:vAlign w:val="center"/>
          </w:tcPr>
          <w:p>
            <w:pPr>
              <w:pStyle w:val="TableContents"/>
              <w:bidi w:val="0"/>
              <w:spacing w:before="0" w:after="283"/>
              <w:jc w:val="left"/>
              <w:rPr/>
            </w:pPr>
            <w:r>
              <w:rPr/>
              <w:t xml:space="preserve">The Company’s net cash from operations less capital expenditures, subject to any cash balance adjustments not connected to operations.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25" w:type="dxa"/>
            <w:tcBorders>
              <w:bottom w:val="single" w:sz="6" w:space="0" w:color="000000"/>
            </w:tcBorders>
            <w:tcMar>
              <w:bottom w:w="141" w:type="dxa"/>
            </w:tcMar>
            <w:vAlign w:val="center"/>
          </w:tcPr>
          <w:p>
            <w:pPr>
              <w:pStyle w:val="TableContents"/>
              <w:bidi w:val="0"/>
              <w:spacing w:before="0" w:after="283"/>
              <w:jc w:val="left"/>
              <w:rPr/>
            </w:pPr>
            <w:r>
              <w:rPr/>
              <w:t xml:space="preserve">Gross Margin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18" w:type="dxa"/>
            <w:tcBorders>
              <w:bottom w:val="single" w:sz="6" w:space="0" w:color="000000"/>
            </w:tcBorders>
            <w:tcMar>
              <w:bottom w:w="141" w:type="dxa"/>
            </w:tcMar>
            <w:vAlign w:val="center"/>
          </w:tcPr>
          <w:p>
            <w:pPr>
              <w:pStyle w:val="TableContents"/>
              <w:bidi w:val="0"/>
              <w:spacing w:before="0" w:after="283"/>
              <w:jc w:val="left"/>
              <w:rPr/>
            </w:pPr>
            <w:r>
              <w:rPr/>
              <w:t xml:space="preserve">20%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7" w:type="dxa"/>
            <w:tcBorders>
              <w:bottom w:val="single" w:sz="6" w:space="0" w:color="000000"/>
            </w:tcBorders>
            <w:tcMar>
              <w:bottom w:w="141" w:type="dxa"/>
            </w:tcMar>
            <w:vAlign w:val="center"/>
          </w:tcPr>
          <w:p>
            <w:pPr>
              <w:pStyle w:val="TableContents"/>
              <w:bidi w:val="0"/>
              <w:spacing w:before="0" w:after="283"/>
              <w:jc w:val="left"/>
              <w:rPr/>
            </w:pPr>
            <w:r>
              <w:rPr/>
              <w:t xml:space="preserve">The Company’s sales minus its cost of goods sold, expressed as a percentage of sales.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25" w:type="dxa"/>
            <w:tcBorders>
              <w:bottom w:val="single" w:sz="6" w:space="0" w:color="000000"/>
            </w:tcBorders>
            <w:tcMar>
              <w:bottom w:w="141" w:type="dxa"/>
            </w:tcMar>
            <w:vAlign w:val="center"/>
          </w:tcPr>
          <w:p>
            <w:pPr>
              <w:pStyle w:val="TableContents"/>
              <w:bidi w:val="0"/>
              <w:spacing w:before="0" w:after="283"/>
              <w:jc w:val="left"/>
              <w:rPr/>
            </w:pPr>
            <w:r>
              <w:rPr/>
              <w:t xml:space="preserve">The Lucid Gravity Start of Production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18" w:type="dxa"/>
            <w:tcBorders>
              <w:bottom w:val="single" w:sz="6" w:space="0" w:color="000000"/>
            </w:tcBorders>
            <w:tcMar>
              <w:bottom w:w="141" w:type="dxa"/>
            </w:tcMar>
            <w:vAlign w:val="center"/>
          </w:tcPr>
          <w:p>
            <w:pPr>
              <w:pStyle w:val="TableContents"/>
              <w:bidi w:val="0"/>
              <w:spacing w:before="0" w:after="283"/>
              <w:jc w:val="left"/>
              <w:rPr/>
            </w:pPr>
            <w:r>
              <w:rPr/>
              <w:t xml:space="preserve">20%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7" w:type="dxa"/>
            <w:tcBorders>
              <w:bottom w:val="single" w:sz="6" w:space="0" w:color="000000"/>
            </w:tcBorders>
            <w:tcMar>
              <w:bottom w:w="141" w:type="dxa"/>
            </w:tcMar>
            <w:vAlign w:val="center"/>
          </w:tcPr>
          <w:p>
            <w:pPr>
              <w:pStyle w:val="TableContents"/>
              <w:bidi w:val="0"/>
              <w:spacing w:before="0" w:after="283"/>
              <w:jc w:val="left"/>
              <w:rPr/>
            </w:pPr>
            <w:r>
              <w:rPr/>
              <w:t>Start the production of the Lucid Gravity no later than December 31, 2024.</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08"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Free Cash Flow is not a financial measure prepared in accordance with generally accepted accounting principles (“GAAP”). For information on how we compute these non-GAAP financial measures and a reconciliation to the most directly comparable financial measures prepared in accordance with GAAP, please refer to “Annex B: Reconciliation of Non-GAAP Financial Measures” in this Proxy Statement.</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195580" distB="0" distL="0" distR="0" simplePos="0" locked="0" layoutInCell="1" allowOverlap="1" relativeHeight="205">
                <wp:simplePos x="0" y="0"/>
                <wp:positionH relativeFrom="column">
                  <wp:align>left</wp:align>
                </wp:positionH>
                <wp:positionV relativeFrom="line">
                  <wp:align>top</wp:align>
                </wp:positionV>
                <wp:extent cx="91440" cy="180340"/>
                <wp:effectExtent l="0" t="0" r="0" b="0"/>
                <wp:wrapSquare wrapText="right"/>
                <wp:docPr id="198" name="Frame13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5.4pt;mso-wrap-distance-bottom:0pt;margin-top:1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2024 Individual Performance Modifier.</w:t>
      </w:r>
      <w:r>
        <w:rPr>
          <w:rFonts w:ascii="Arial;Helvetica;sans-serif" w:hAnsi="Arial;Helvetica;sans-serif"/>
          <w:b w:val="false"/>
          <w:i w:val="false"/>
          <w:caps w:val="false"/>
          <w:smallCaps w:val="false"/>
          <w:color w:val="000000"/>
          <w:sz w:val="18"/>
        </w:rPr>
        <w:t xml:space="preserve"> The Compensation and Human Capital Committee reviewed and evaluated individual performance of our NEOs against the Company’s objectives and key results as well as key accomplishments for 2024, based on the recommendation from our former CEO, Mr. Rawlinson (other than for his own performance). While the Compensation and Human Capital Committee considered Mr. Rawlinson’s recommendations, the Compensation and Human Capital Committee ultimately was responsible for determining the final individual performance ratings and individual performance modifiers. In the case of Mr. Rawlinson’s performance, the Compensation and Human Capital Committee reviewed and recommended to the Board, and the Board ultimately approved his performance rating and individual performance modifier.</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2024 AIP Actual Performance and Payouts.</w:t>
      </w:r>
      <w:r>
        <w:rPr>
          <w:rFonts w:ascii="Arial;Helvetica;sans-serif" w:hAnsi="Arial;Helvetica;sans-serif"/>
          <w:b w:val="false"/>
          <w:i w:val="false"/>
          <w:caps w:val="false"/>
          <w:smallCaps w:val="false"/>
          <w:color w:val="000000"/>
          <w:sz w:val="18"/>
        </w:rPr>
        <w:t xml:space="preserve"> In March 2025, the Compensation and Human Capital Committee evaluated the Company’s performance in relation to the Company Performance Metrics, as well as the individual contributions of each NEO (other than Mr. Bell, who departed in May 2024) toward the achievement of those metrics. In light of certain operational change, and to better reflect the intent and assumptions under which the target of the Company Performance Metrics were initially set, the Compensation and Human Capital Committee determined it was necessary and appropriate to adjust the manner in which actual performance was calculated for the Free Cash Flow metric for 2024 and 2025 and the Board approved such adjustment in the first quarter of 2025. Specifically, actual Free Cash Flow results for 2024 were reduced by $740 million for purposes of the 2024 AIP and the 2024 Tranche of the 2024 PSU awards, reducing payout under the 2024 AIP and 2024 Tranche of the 2024 PSU awards (with 2024 Tranche defined below under the heading “Long-Term Incentive Compensation-PSUs”). For fiscal year 2024, the Company achieved and exceeded target performance for each of its four Company Performance Metrics with 10,241 deliveries (target 9,000), $(923) million in gross margin (target $(1,027) million), $(3,644) million in free cash flow (target ($4,136) million), and started production of the Lucid Gravity before December 31, 2024, resulting in a Company Payout Factor of 130.3%. As discussed above, actual result of free cash flow incorporates the adjustments approved by the Compensation and Human Capital Committee and the Board in the first quarter of 2025. If no such adjustments had been made, actual Free Cash Flow result for 2024 would have been ($2,904) million, resulting in an overall Company Payout Factor of 136.4%, rather than 130.3%. Taken together, the Target Annual Incentive Opportunity, Company Payout Factor, and any individual performance modifier resulted in the following 2024 AIP payouts for our NEOs: $814,375 for Mr. Rawlinson, $390,900 for Mr. Dhingra, $697,757 for Mr. Winterhoff, and $591,236 for Mr. Bach. Due to his separation in May 2024, Mr. Bell was not eligible for annual incentive opportunity in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Long-Term Incentive Compensation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believe that providing long-term incentive compensation in the form of equity-based awards is a critical element of our executive compensation program as it encourages our NEOs to take a long-term outlook and reinforces our pay-for-performance culture. By providing opportunities for our employees (including our NEOs) to benefit from future successes in Lucid through the appreciation of the value of their equity awards, the Compensation and Human Capital Committee and the Board believe that equity awards align employees’ and our NEOs’ interests and contributions with our critical business objectives as well as the long-term interests of Lucid’s stockholders. Offering meaningful equity ownership in Lucid is also helpful in retaining our NEOs and other key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Based on peer group data and the feedback received from stockholder engagement, the Compensation and Human Capital Committee determined that a combination of PSUs and RSUs would be the most appropriate incentive structure for our executive leaders to reward performance over time and achieve our retention objectives. In determining such combination, the Compensation and Human Capital Committee considered market trends, retention needs, and internal equity considerations, and concluded such combination would provide a substantial retention incentive, further align our long-term incentive program with market trends, and align the interests of our NEOs with those of our stockholders by encouraging them to focus on the Company’s long-term performance and success. For additional detail about our NEO equity award mix for 2024, please see above under the heading “2024 Pay Actions Related to Target Compensation —  Long-Term Equity Incentives and 2024 Equity Award Mix.”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2024 Equity Grants.</w:t>
      </w:r>
      <w:r>
        <w:rPr>
          <w:rFonts w:ascii="Arial;Helvetica;sans-serif" w:hAnsi="Arial;Helvetica;sans-serif"/>
          <w:b w:val="false"/>
          <w:i w:val="false"/>
          <w:caps w:val="false"/>
          <w:smallCaps w:val="false"/>
          <w:color w:val="000000"/>
          <w:sz w:val="18"/>
        </w:rPr>
        <w:t xml:space="preserve"> In 2024, our executive officers (including our NEOs, other than Messrs. Rawlinson and Bell), received equity awards. In addition to further incentivizing their continued employment with the Company and aligning their interests with our critical business objectives and those of our stockholders, awards were informed by competitive benchmark information from the peer group, individual performance, and internal equity considerations. After review of peer group data provided by Pay Governance, and in view of the still-outstanding value from the 2021 CEO Grant, the Board determined not to grant Mr. Rawlinson an equity award in 2024.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total value (at target) of equity awards granted to each of our NEOs in 2024 is set forth in the table below:</w:t>
      </w:r>
      <w:r>
        <w:rPr>
          <w:rFonts w:ascii="Arial;Helvetica;sans-serif" w:hAnsi="Arial;Helvetica;sans-serif"/>
          <w:b w:val="false"/>
          <w:i w:val="false"/>
          <w:caps w:val="false"/>
          <w:smallCaps w:val="false"/>
          <w:color w:val="000000"/>
          <w:spacing w:val="4"/>
          <w:sz w:val="18"/>
        </w:rPr>
        <w:t xml:space="preserve"> </w:t>
      </w:r>
    </w:p>
    <w:tbl>
      <w:tblPr>
        <w:tblW w:w="7356" w:type="dxa"/>
        <w:jc w:val="left"/>
        <w:tblInd w:w="720" w:type="dxa"/>
        <w:tblLayout w:type="fixed"/>
        <w:tblCellMar>
          <w:top w:w="0" w:type="dxa"/>
          <w:left w:w="0" w:type="dxa"/>
          <w:bottom w:w="0" w:type="dxa"/>
          <w:right w:w="0" w:type="dxa"/>
        </w:tblCellMar>
      </w:tblPr>
      <w:tblGrid>
        <w:gridCol w:w="124"/>
        <w:gridCol w:w="2596"/>
        <w:gridCol w:w="109"/>
        <w:gridCol w:w="109"/>
        <w:gridCol w:w="1336"/>
        <w:gridCol w:w="109"/>
        <w:gridCol w:w="109"/>
        <w:gridCol w:w="1246"/>
        <w:gridCol w:w="109"/>
        <w:gridCol w:w="109"/>
        <w:gridCol w:w="1246"/>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6" w:type="dxa"/>
            <w:tcBorders/>
            <w:shd w:fill="000000" w:val="clear"/>
            <w:vAlign w:val="center"/>
          </w:tcPr>
          <w:p>
            <w:pPr>
              <w:pStyle w:val="TableContents"/>
              <w:bidi w:val="0"/>
              <w:spacing w:before="0" w:after="283"/>
              <w:jc w:val="left"/>
              <w:rPr/>
            </w:pPr>
            <w:r>
              <w:rPr/>
              <w:t xml:space="preserve">Total </w:t>
              <w:br/>
              <w:t xml:space="preserve">Grant Value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tcBorders/>
            <w:shd w:fill="000000" w:val="clear"/>
            <w:vAlign w:val="center"/>
          </w:tcPr>
          <w:p>
            <w:pPr>
              <w:pStyle w:val="TableContents"/>
              <w:bidi w:val="0"/>
              <w:spacing w:before="0" w:after="0"/>
              <w:jc w:val="left"/>
              <w:rPr/>
            </w:pPr>
            <w:r>
              <w:rPr/>
              <w:t xml:space="preserve">RSUs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tcBorders/>
            <w:shd w:fill="000000" w:val="clear"/>
            <w:vAlign w:val="center"/>
          </w:tcPr>
          <w:p>
            <w:pPr>
              <w:pStyle w:val="TableContents"/>
              <w:bidi w:val="0"/>
              <w:spacing w:before="0" w:after="283"/>
              <w:jc w:val="left"/>
              <w:rPr/>
            </w:pPr>
            <w:r>
              <w:rPr/>
              <w:t>PSUs</w:t>
              <w:br/>
              <w:t xml:space="preserve">(at target)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6" w:type="dxa"/>
            <w:tcBorders>
              <w:bottom w:val="single" w:sz="6" w:space="0" w:color="000000"/>
            </w:tcBorders>
            <w:tcMar>
              <w:bottom w:w="98" w:type="dxa"/>
            </w:tcMar>
            <w:vAlign w:val="center"/>
          </w:tcPr>
          <w:p>
            <w:pPr>
              <w:pStyle w:val="TableContents"/>
              <w:bidi w:val="0"/>
              <w:spacing w:before="0" w:after="283"/>
              <w:jc w:val="left"/>
              <w:rPr/>
            </w:pPr>
            <w:r>
              <w:rPr/>
              <w:t xml:space="preserve">$3,000,000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$1,500,000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$1,500,000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Marc Winterhoff</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6" w:type="dxa"/>
            <w:tcBorders>
              <w:bottom w:val="single" w:sz="6" w:space="0" w:color="000000"/>
            </w:tcBorders>
            <w:tcMar>
              <w:bottom w:w="98" w:type="dxa"/>
            </w:tcMar>
            <w:vAlign w:val="center"/>
          </w:tcPr>
          <w:p>
            <w:pPr>
              <w:pStyle w:val="TableContents"/>
              <w:bidi w:val="0"/>
              <w:spacing w:before="0" w:after="283"/>
              <w:jc w:val="left"/>
              <w:rPr/>
            </w:pPr>
            <w:r>
              <w:rPr/>
              <w:t xml:space="preserve">$6,000,000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$6,000,000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6" w:type="dxa"/>
            <w:tcBorders>
              <w:bottom w:val="single" w:sz="6" w:space="0" w:color="000000"/>
            </w:tcBorders>
            <w:tcMar>
              <w:bottom w:w="98" w:type="dxa"/>
            </w:tcMar>
            <w:vAlign w:val="center"/>
          </w:tcPr>
          <w:p>
            <w:pPr>
              <w:pStyle w:val="TableContents"/>
              <w:bidi w:val="0"/>
              <w:spacing w:before="0" w:after="283"/>
              <w:jc w:val="left"/>
              <w:rPr/>
            </w:pPr>
            <w:r>
              <w:rPr/>
              <w:t xml:space="preserve">$9,000,000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$3,600,000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$5,400,000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Michael Bell</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3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view of still-outstanding value from the 2021 CEO Grant, the Board determined not to grant Mr. Rawlinson an equity award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6">
                <wp:simplePos x="0" y="0"/>
                <wp:positionH relativeFrom="column">
                  <wp:align>left</wp:align>
                </wp:positionH>
                <wp:positionV relativeFrom="line">
                  <wp:align>top</wp:align>
                </wp:positionV>
                <wp:extent cx="91440" cy="180340"/>
                <wp:effectExtent l="0" t="0" r="0" b="0"/>
                <wp:wrapSquare wrapText="right"/>
                <wp:docPr id="199" name="Frame138"/>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connection with the commencement of Mr. Winterhoff’s employment with the Company on December 4, 2023, the Board granted Mr. Winterhoff a PSU award in 2024 pursuant to his offer letter.</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7310" distB="0" distL="0" distR="0" simplePos="0" locked="0" layoutInCell="1" allowOverlap="1" relativeHeight="207">
                <wp:simplePos x="0" y="0"/>
                <wp:positionH relativeFrom="column">
                  <wp:align>left</wp:align>
                </wp:positionH>
                <wp:positionV relativeFrom="line">
                  <wp:align>top</wp:align>
                </wp:positionV>
                <wp:extent cx="91440" cy="180340"/>
                <wp:effectExtent l="0" t="0" r="0" b="0"/>
                <wp:wrapSquare wrapText="right"/>
                <wp:docPr id="200" name="Frame13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Due to Mr. Bell’s separation on May 3, 2024, he was not eligible for any equity awards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7310" distB="0" distL="0" distR="0" simplePos="0" locked="0" layoutInCell="1" allowOverlap="1" relativeHeight="208">
                <wp:simplePos x="0" y="0"/>
                <wp:positionH relativeFrom="column">
                  <wp:align>left</wp:align>
                </wp:positionH>
                <wp:positionV relativeFrom="line">
                  <wp:align>top</wp:align>
                </wp:positionV>
                <wp:extent cx="91440" cy="180340"/>
                <wp:effectExtent l="0" t="0" r="0" b="0"/>
                <wp:wrapSquare wrapText="right"/>
                <wp:docPr id="201" name="Frame140"/>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total grant value of each RSU and PSU award is converted into a number of shares of our Common Stock, as discussed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RSUs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Number of RSUs Granted.</w:t>
      </w:r>
      <w:r>
        <w:rPr>
          <w:rFonts w:ascii="Arial;Helvetica;sans-serif" w:hAnsi="Arial;Helvetica;sans-serif"/>
          <w:b w:val="false"/>
          <w:i w:val="false"/>
          <w:caps w:val="false"/>
          <w:smallCaps w:val="false"/>
          <w:color w:val="000000"/>
          <w:sz w:val="18"/>
        </w:rPr>
        <w:t xml:space="preserve"> The total number of shares of our Common Stock subject to each RSU award granted to our employees (including our NEOs) is determined by dividing the total dollar value of the award by the volume-weighted average price of the Company’s Common Stock during the 30 consecutive trading day period ending on the grant date (the “30-day VWAP”). Such average is determined based upon the closing price for each such trading day and the number of shares traded on such day.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NEOs’ RSU awards in 2024 are set forth in the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2024 RSU Awards to NEOs</w:t>
      </w:r>
      <w:r>
        <w:rPr>
          <w:rFonts w:ascii="Arial;Helvetica;sans-serif" w:hAnsi="Arial;Helvetica;sans-serif"/>
          <w:b/>
          <w:i w:val="false"/>
          <w:caps w:val="false"/>
          <w:smallCaps w:val="false"/>
          <w:color w:val="000000"/>
          <w:spacing w:val="4"/>
          <w:sz w:val="18"/>
        </w:rPr>
        <w:t xml:space="preserve"> </w:t>
      </w:r>
    </w:p>
    <w:tbl>
      <w:tblPr>
        <w:tblW w:w="7551" w:type="dxa"/>
        <w:jc w:val="left"/>
        <w:tblInd w:w="720" w:type="dxa"/>
        <w:tblLayout w:type="fixed"/>
        <w:tblCellMar>
          <w:top w:w="0" w:type="dxa"/>
          <w:left w:w="0" w:type="dxa"/>
          <w:bottom w:w="0" w:type="dxa"/>
          <w:right w:w="0" w:type="dxa"/>
        </w:tblCellMar>
      </w:tblPr>
      <w:tblGrid>
        <w:gridCol w:w="124"/>
        <w:gridCol w:w="2596"/>
        <w:gridCol w:w="109"/>
        <w:gridCol w:w="109"/>
        <w:gridCol w:w="1246"/>
        <w:gridCol w:w="109"/>
        <w:gridCol w:w="109"/>
        <w:gridCol w:w="946"/>
        <w:gridCol w:w="109"/>
        <w:gridCol w:w="109"/>
        <w:gridCol w:w="1831"/>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tcBorders/>
            <w:shd w:fill="000000" w:val="clear"/>
            <w:vAlign w:val="center"/>
          </w:tcPr>
          <w:p>
            <w:pPr>
              <w:pStyle w:val="TableContents"/>
              <w:bidi w:val="0"/>
              <w:spacing w:before="0" w:after="283"/>
              <w:jc w:val="left"/>
              <w:rPr/>
            </w:pPr>
            <w:r>
              <w:rPr/>
              <w:t>RSUs</w:t>
              <w:br/>
              <w:t xml:space="preserve">(Value)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46" w:type="dxa"/>
            <w:tcBorders/>
            <w:shd w:fill="000000" w:val="clear"/>
            <w:vAlign w:val="center"/>
          </w:tcPr>
          <w:p>
            <w:pPr>
              <w:pStyle w:val="TableContents"/>
              <w:bidi w:val="0"/>
              <w:spacing w:before="0" w:after="283"/>
              <w:jc w:val="left"/>
              <w:rPr/>
            </w:pPr>
            <w:r>
              <w:rPr/>
              <w:t>30-Day</w:t>
              <w:br/>
              <w:t xml:space="preserve">VWAP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31" w:type="dxa"/>
            <w:tcBorders/>
            <w:shd w:fill="000000" w:val="clear"/>
            <w:vAlign w:val="center"/>
          </w:tcPr>
          <w:p>
            <w:pPr>
              <w:pStyle w:val="TableContents"/>
              <w:bidi w:val="0"/>
              <w:spacing w:before="0" w:after="0"/>
              <w:jc w:val="left"/>
              <w:rPr/>
            </w:pPr>
            <w:r>
              <w:rPr/>
              <w:t xml:space="preserve">Number of RSUs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31"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$1,500,000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98" w:type="dxa"/>
            </w:tcMar>
            <w:vAlign w:val="center"/>
          </w:tcPr>
          <w:p>
            <w:pPr>
              <w:pStyle w:val="TableContents"/>
              <w:bidi w:val="0"/>
              <w:spacing w:before="0" w:after="283"/>
              <w:jc w:val="left"/>
              <w:rPr/>
            </w:pPr>
            <w:r>
              <w:rPr/>
              <w:t xml:space="preserve">$3.5958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31" w:type="dxa"/>
            <w:tcBorders>
              <w:bottom w:val="single" w:sz="6" w:space="0" w:color="000000"/>
            </w:tcBorders>
            <w:tcMar>
              <w:bottom w:w="98" w:type="dxa"/>
            </w:tcMar>
            <w:vAlign w:val="center"/>
          </w:tcPr>
          <w:p>
            <w:pPr>
              <w:pStyle w:val="TableContents"/>
              <w:bidi w:val="0"/>
              <w:spacing w:before="0" w:after="283"/>
              <w:jc w:val="left"/>
              <w:rPr/>
            </w:pPr>
            <w:r>
              <w:rPr/>
              <w:t xml:space="preserve">417,153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Marc Winterhoff</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31"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 xml:space="preserve">$3,600,000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98" w:type="dxa"/>
            </w:tcMar>
            <w:vAlign w:val="center"/>
          </w:tcPr>
          <w:p>
            <w:pPr>
              <w:pStyle w:val="TableContents"/>
              <w:bidi w:val="0"/>
              <w:spacing w:before="0" w:after="283"/>
              <w:jc w:val="left"/>
              <w:rPr/>
            </w:pPr>
            <w:r>
              <w:rPr/>
              <w:t xml:space="preserve">$3.5958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31" w:type="dxa"/>
            <w:tcBorders>
              <w:bottom w:val="single" w:sz="6" w:space="0" w:color="000000"/>
            </w:tcBorders>
            <w:tcMar>
              <w:bottom w:w="98" w:type="dxa"/>
            </w:tcMar>
            <w:vAlign w:val="center"/>
          </w:tcPr>
          <w:p>
            <w:pPr>
              <w:pStyle w:val="TableContents"/>
              <w:bidi w:val="0"/>
              <w:spacing w:before="0" w:after="283"/>
              <w:jc w:val="left"/>
              <w:rPr/>
            </w:pPr>
            <w:r>
              <w:rPr/>
              <w:t xml:space="preserve">1,001,168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8" w:type="dxa"/>
            </w:tcMar>
            <w:vAlign w:val="center"/>
          </w:tcPr>
          <w:p>
            <w:pPr>
              <w:pStyle w:val="TableContents"/>
              <w:bidi w:val="0"/>
              <w:spacing w:before="0" w:after="283"/>
              <w:jc w:val="left"/>
              <w:rPr/>
            </w:pPr>
            <w:r>
              <w:rPr/>
              <w:t>Michael Bell</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31"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view of still-outstanding value from the 2021 CEO Grant, the Board determined not to grant Mr. Rawlinson an equity award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9">
                <wp:simplePos x="0" y="0"/>
                <wp:positionH relativeFrom="column">
                  <wp:align>left</wp:align>
                </wp:positionH>
                <wp:positionV relativeFrom="line">
                  <wp:align>top</wp:align>
                </wp:positionV>
                <wp:extent cx="91440" cy="180340"/>
                <wp:effectExtent l="0" t="0" r="0" b="0"/>
                <wp:wrapSquare wrapText="right"/>
                <wp:docPr id="202" name="Frame14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view of the equity grants pursuant to Mr. Winterhoff’s offer letter, the Board did not grant Mr. Winterhoff an RSU award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7310" distB="0" distL="0" distR="0" simplePos="0" locked="0" layoutInCell="1" allowOverlap="1" relativeHeight="210">
                <wp:simplePos x="0" y="0"/>
                <wp:positionH relativeFrom="column">
                  <wp:align>left</wp:align>
                </wp:positionH>
                <wp:positionV relativeFrom="line">
                  <wp:align>top</wp:align>
                </wp:positionV>
                <wp:extent cx="91440" cy="180340"/>
                <wp:effectExtent l="0" t="0" r="0" b="0"/>
                <wp:wrapSquare wrapText="right"/>
                <wp:docPr id="203" name="Frame142"/>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Due to Mr. Bell’s separation on May 3, 2024, he was not eligible for any equity awards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7310" distB="0" distL="0" distR="0" simplePos="0" locked="0" layoutInCell="1" allowOverlap="1" relativeHeight="211">
                <wp:simplePos x="0" y="0"/>
                <wp:positionH relativeFrom="column">
                  <wp:align>left</wp:align>
                </wp:positionH>
                <wp:positionV relativeFrom="line">
                  <wp:align>top</wp:align>
                </wp:positionV>
                <wp:extent cx="91440" cy="180340"/>
                <wp:effectExtent l="0" t="0" r="0" b="0"/>
                <wp:wrapSquare wrapText="right"/>
                <wp:docPr id="204" name="Frame143"/>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RSUs for Messrs. Dhingra and Bach vest over four years, with 1/8</w:t>
      </w:r>
      <w:r>
        <w:rPr>
          <w:rFonts w:ascii="Arial;Helvetica;sans-serif" w:hAnsi="Arial;Helvetica;sans-serif"/>
          <w:b w:val="false"/>
          <w:i w:val="false"/>
          <w:caps w:val="false"/>
          <w:smallCaps w:val="false"/>
          <w:color w:val="000000"/>
          <w:sz w:val="14"/>
        </w:rPr>
        <w:t>th</w:t>
      </w:r>
      <w:r>
        <w:rPr>
          <w:rFonts w:ascii="Arial;Helvetica;sans-serif" w:hAnsi="Arial;Helvetica;sans-serif"/>
          <w:b w:val="false"/>
          <w:i w:val="false"/>
          <w:caps w:val="false"/>
          <w:smallCaps w:val="false"/>
          <w:color w:val="000000"/>
          <w:sz w:val="18"/>
        </w:rPr>
        <w:t xml:space="preserve"> vesting on September 15, 2024, the date of the grant, and the remainder vesting in substantially equal quarterly installments beginning on December 5, 2024, and ending on March 5, 2028, subject to the NEO’s continued employment through the applicable vesting dates.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PSUs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Number of PSUs Granted.</w:t>
      </w:r>
      <w:r>
        <w:rPr>
          <w:rFonts w:ascii="Arial;Helvetica;sans-serif" w:hAnsi="Arial;Helvetica;sans-serif"/>
          <w:b w:val="false"/>
          <w:i w:val="false"/>
          <w:caps w:val="false"/>
          <w:smallCaps w:val="false"/>
          <w:color w:val="000000"/>
          <w:sz w:val="18"/>
        </w:rPr>
        <w:t xml:space="preserve"> The target number of shares of our Common Stock subject to each PSU award granted to our executives (including our NEOs) is determined by dividing the total dollar value of the award by the 30-day VWAP. Our NEOs’ 2024 target PSU awards are set forth in the table below:</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746" w:type="dxa"/>
        <w:jc w:val="left"/>
        <w:tblInd w:w="720" w:type="dxa"/>
        <w:tblLayout w:type="fixed"/>
        <w:tblCellMar>
          <w:top w:w="0" w:type="dxa"/>
          <w:left w:w="0" w:type="dxa"/>
          <w:bottom w:w="0" w:type="dxa"/>
          <w:right w:w="0" w:type="dxa"/>
        </w:tblCellMar>
      </w:tblPr>
      <w:tblGrid>
        <w:gridCol w:w="124"/>
        <w:gridCol w:w="2596"/>
        <w:gridCol w:w="109"/>
        <w:gridCol w:w="109"/>
        <w:gridCol w:w="1531"/>
        <w:gridCol w:w="109"/>
        <w:gridCol w:w="109"/>
        <w:gridCol w:w="946"/>
        <w:gridCol w:w="109"/>
        <w:gridCol w:w="109"/>
        <w:gridCol w:w="1741"/>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31" w:type="dxa"/>
            <w:tcBorders/>
            <w:shd w:fill="000000" w:val="clear"/>
            <w:vAlign w:val="center"/>
          </w:tcPr>
          <w:p>
            <w:pPr>
              <w:pStyle w:val="TableContents"/>
              <w:bidi w:val="0"/>
              <w:spacing w:before="0" w:after="283"/>
              <w:jc w:val="left"/>
              <w:rPr/>
            </w:pPr>
            <w:r>
              <w:rPr/>
              <w:t>Value of PSUs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46" w:type="dxa"/>
            <w:tcBorders/>
            <w:shd w:fill="000000" w:val="clear"/>
            <w:vAlign w:val="center"/>
          </w:tcPr>
          <w:p>
            <w:pPr>
              <w:pStyle w:val="TableContents"/>
              <w:bidi w:val="0"/>
              <w:spacing w:before="0" w:after="283"/>
              <w:jc w:val="left"/>
              <w:rPr/>
            </w:pPr>
            <w:r>
              <w:rPr/>
              <w:t>30-Day</w:t>
              <w:br/>
              <w:t xml:space="preserve">VWAP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41" w:type="dxa"/>
            <w:tcBorders/>
            <w:shd w:fill="000000" w:val="clear"/>
            <w:vAlign w:val="center"/>
          </w:tcPr>
          <w:p>
            <w:pPr>
              <w:pStyle w:val="TableContents"/>
              <w:bidi w:val="0"/>
              <w:spacing w:before="0" w:after="283"/>
              <w:jc w:val="left"/>
              <w:rPr/>
            </w:pPr>
            <w:r>
              <w:rPr/>
              <w:t>Number of PSUs</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3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1" w:type="dxa"/>
            <w:tcBorders>
              <w:bottom w:val="single" w:sz="6" w:space="0" w:color="000000"/>
            </w:tcBorders>
            <w:tcMar>
              <w:bottom w:w="14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31" w:type="dxa"/>
            <w:tcBorders>
              <w:bottom w:val="single" w:sz="6" w:space="0" w:color="000000"/>
            </w:tcBorders>
            <w:tcMar>
              <w:bottom w:w="148" w:type="dxa"/>
            </w:tcMar>
            <w:vAlign w:val="center"/>
          </w:tcPr>
          <w:p>
            <w:pPr>
              <w:pStyle w:val="TableContents"/>
              <w:bidi w:val="0"/>
              <w:spacing w:before="0" w:after="283"/>
              <w:jc w:val="left"/>
              <w:rPr/>
            </w:pPr>
            <w:r>
              <w:rPr/>
              <w:t xml:space="preserve">$1,500,000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148" w:type="dxa"/>
            </w:tcMar>
            <w:vAlign w:val="center"/>
          </w:tcPr>
          <w:p>
            <w:pPr>
              <w:pStyle w:val="TableContents"/>
              <w:bidi w:val="0"/>
              <w:spacing w:before="0" w:after="283"/>
              <w:jc w:val="left"/>
              <w:rPr/>
            </w:pPr>
            <w:r>
              <w:rPr/>
              <w:t xml:space="preserve">$3.5958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1" w:type="dxa"/>
            <w:tcBorders>
              <w:bottom w:val="single" w:sz="6" w:space="0" w:color="000000"/>
            </w:tcBorders>
            <w:tcMar>
              <w:bottom w:w="148" w:type="dxa"/>
            </w:tcMar>
            <w:vAlign w:val="center"/>
          </w:tcPr>
          <w:p>
            <w:pPr>
              <w:pStyle w:val="TableContents"/>
              <w:bidi w:val="0"/>
              <w:spacing w:before="0" w:after="283"/>
              <w:jc w:val="left"/>
              <w:rPr/>
            </w:pPr>
            <w:r>
              <w:rPr/>
              <w:t xml:space="preserve">417,153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Marc Winterhoff</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31" w:type="dxa"/>
            <w:tcBorders>
              <w:bottom w:val="single" w:sz="6" w:space="0" w:color="000000"/>
            </w:tcBorders>
            <w:tcMar>
              <w:bottom w:w="148" w:type="dxa"/>
            </w:tcMar>
            <w:vAlign w:val="center"/>
          </w:tcPr>
          <w:p>
            <w:pPr>
              <w:pStyle w:val="TableContents"/>
              <w:bidi w:val="0"/>
              <w:spacing w:before="0" w:after="283"/>
              <w:jc w:val="left"/>
              <w:rPr/>
            </w:pPr>
            <w:r>
              <w:rPr/>
              <w:t xml:space="preserve">$6,000,000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148" w:type="dxa"/>
            </w:tcMar>
            <w:vAlign w:val="center"/>
          </w:tcPr>
          <w:p>
            <w:pPr>
              <w:pStyle w:val="TableContents"/>
              <w:bidi w:val="0"/>
              <w:spacing w:before="0" w:after="283"/>
              <w:jc w:val="left"/>
              <w:rPr/>
            </w:pPr>
            <w:r>
              <w:rPr/>
              <w:t xml:space="preserve">$2.8081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1" w:type="dxa"/>
            <w:tcBorders>
              <w:bottom w:val="single" w:sz="6" w:space="0" w:color="000000"/>
            </w:tcBorders>
            <w:tcMar>
              <w:bottom w:w="148" w:type="dxa"/>
            </w:tcMar>
            <w:vAlign w:val="center"/>
          </w:tcPr>
          <w:p>
            <w:pPr>
              <w:pStyle w:val="TableContents"/>
              <w:bidi w:val="0"/>
              <w:spacing w:before="0" w:after="283"/>
              <w:jc w:val="left"/>
              <w:rPr/>
            </w:pPr>
            <w:r>
              <w:rPr/>
              <w:t xml:space="preserve">2,136,676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31" w:type="dxa"/>
            <w:tcBorders>
              <w:bottom w:val="single" w:sz="6" w:space="0" w:color="000000"/>
            </w:tcBorders>
            <w:tcMar>
              <w:bottom w:w="148" w:type="dxa"/>
            </w:tcMar>
            <w:vAlign w:val="center"/>
          </w:tcPr>
          <w:p>
            <w:pPr>
              <w:pStyle w:val="TableContents"/>
              <w:bidi w:val="0"/>
              <w:spacing w:before="0" w:after="283"/>
              <w:jc w:val="left"/>
              <w:rPr/>
            </w:pPr>
            <w:r>
              <w:rPr/>
              <w:t xml:space="preserve">$5,400,000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148" w:type="dxa"/>
            </w:tcMar>
            <w:vAlign w:val="center"/>
          </w:tcPr>
          <w:p>
            <w:pPr>
              <w:pStyle w:val="TableContents"/>
              <w:bidi w:val="0"/>
              <w:spacing w:before="0" w:after="283"/>
              <w:jc w:val="left"/>
              <w:rPr/>
            </w:pPr>
            <w:r>
              <w:rPr/>
              <w:t xml:space="preserve">$3.5958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1" w:type="dxa"/>
            <w:tcBorders>
              <w:bottom w:val="single" w:sz="6" w:space="0" w:color="000000"/>
            </w:tcBorders>
            <w:tcMar>
              <w:bottom w:w="148" w:type="dxa"/>
            </w:tcMar>
            <w:vAlign w:val="center"/>
          </w:tcPr>
          <w:p>
            <w:pPr>
              <w:pStyle w:val="TableContents"/>
              <w:bidi w:val="0"/>
              <w:spacing w:before="0" w:after="283"/>
              <w:jc w:val="left"/>
              <w:rPr/>
            </w:pPr>
            <w:r>
              <w:rPr/>
              <w:t xml:space="preserve">1,501,752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8" w:type="dxa"/>
            </w:tcMar>
            <w:vAlign w:val="center"/>
          </w:tcPr>
          <w:p>
            <w:pPr>
              <w:pStyle w:val="TableContents"/>
              <w:bidi w:val="0"/>
              <w:spacing w:before="0" w:after="283"/>
              <w:jc w:val="left"/>
              <w:rPr/>
            </w:pPr>
            <w:r>
              <w:rPr/>
              <w:t>Michael Bell</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3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4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1" w:type="dxa"/>
            <w:tcBorders>
              <w:bottom w:val="single" w:sz="6" w:space="0" w:color="000000"/>
            </w:tcBorders>
            <w:tcMar>
              <w:bottom w:w="14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view of still-outstanding value from the 2021 CEO Grant, the Board determined not to grant Mr. Rawlinson an equity award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12">
                <wp:simplePos x="0" y="0"/>
                <wp:positionH relativeFrom="column">
                  <wp:align>left</wp:align>
                </wp:positionH>
                <wp:positionV relativeFrom="line">
                  <wp:align>top</wp:align>
                </wp:positionV>
                <wp:extent cx="91440" cy="180340"/>
                <wp:effectExtent l="0" t="0" r="0" b="0"/>
                <wp:wrapSquare wrapText="right"/>
                <wp:docPr id="205" name="Frame144"/>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connection with the commencement of Mr. Winterhoff’s employment with the Company on December 4, 2023, the Board granted Mr. Winterhoff a PSU award in June 2024 pursuant to his offer letter. The target number of PSUs subject to this award is determined on the basis of the 30-day VWAP ending on the grant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7310" distB="0" distL="0" distR="0" simplePos="0" locked="0" layoutInCell="1" allowOverlap="1" relativeHeight="213">
                <wp:simplePos x="0" y="0"/>
                <wp:positionH relativeFrom="column">
                  <wp:align>left</wp:align>
                </wp:positionH>
                <wp:positionV relativeFrom="line">
                  <wp:align>top</wp:align>
                </wp:positionV>
                <wp:extent cx="91440" cy="180340"/>
                <wp:effectExtent l="0" t="0" r="0" b="0"/>
                <wp:wrapSquare wrapText="right"/>
                <wp:docPr id="206" name="Frame145"/>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Due to Mr. Bell’s separation on May 3, 2024, he was not eligible for any equity awards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7310" distB="0" distL="0" distR="0" simplePos="0" locked="0" layoutInCell="1" allowOverlap="1" relativeHeight="214">
                <wp:simplePos x="0" y="0"/>
                <wp:positionH relativeFrom="column">
                  <wp:align>left</wp:align>
                </wp:positionH>
                <wp:positionV relativeFrom="line">
                  <wp:align>top</wp:align>
                </wp:positionV>
                <wp:extent cx="91440" cy="180340"/>
                <wp:effectExtent l="0" t="0" r="0" b="0"/>
                <wp:wrapSquare wrapText="right"/>
                <wp:docPr id="207" name="Frame14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Overview of 2024 PSU Award Structure.</w:t>
      </w:r>
      <w:r>
        <w:rPr>
          <w:rFonts w:ascii="Arial;Helvetica;sans-serif" w:hAnsi="Arial;Helvetica;sans-serif"/>
          <w:b w:val="false"/>
          <w:i w:val="false"/>
          <w:caps w:val="false"/>
          <w:smallCaps w:val="false"/>
          <w:color w:val="000000"/>
          <w:sz w:val="18"/>
        </w:rPr>
        <w:t xml:space="preserve"> Consistent with our pay-for-performance philosophy and our focus on achieving critical business objectives and creating long-term stockholder value, our Compensation and Human Capital Committee determined that the design of the 2024 PSU awards (including those granted to our NEOs) would be structured into a two-year performance period, segmented into two equal tranches (2024 and 2025, respectively). The 2024 tranche (the “2024 Tranche”) uses deliveries, gross margin and free cash flow as the performance metrics. The 2025 tranche (the “2025 Tranche”) uses deliveries and free cash flow as the performance metrics (“2025 Tranche Company Performance Metrics”). For each tranche, a minimum of 50% weighted-average performance achievement, measured against the performance goals for that year, is required to certify any earning of the PSUs. Vesting of earned PSUs under each tranche is as follows: (1) For the 2024 Tranche: 50% of earned shares vest upon the later of March 5, 2025, or the certification of achievement which occurred in the first quarter of 2025. The remaining 50% of earned shares vest in equal quarterly installments over the following four quarters, subject to the NEO’s continued service through the applicable vesting dates; (2) For the 2025 Tranche: 50% of earned shares vest upon the later of March 5, 2026, or the certification of achievement which is expected to occur in the first quarter 2026. The remaining 50% of earned shares vest in equal quarterly installments over the following four quarters, subject to the NEO’s continued service through the applicable vesting dates.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2024 Tranche Performance Metrics.</w:t>
      </w:r>
      <w:r>
        <w:rPr>
          <w:rFonts w:ascii="Arial;Helvetica;sans-serif" w:hAnsi="Arial;Helvetica;sans-serif"/>
          <w:b w:val="false"/>
          <w:i w:val="false"/>
          <w:caps w:val="false"/>
          <w:smallCaps w:val="false"/>
          <w:color w:val="000000"/>
          <w:sz w:val="18"/>
        </w:rPr>
        <w:t xml:space="preserve"> For the 2024 Tranche, the Board, upon the recommendation of the Compensation and Human Capital Committee, selected deliveries, gross margin and free cash flow as performance metrics (“2024 Tranche Company Performance Metrics”). As explained above under the heading Annual Cash Incentive Compensation, these metrics and their respective target performance levels reflect a balanced approach, focusing on key performance metrics that align with our annual growth objectives as well as our long-term business plan. At the time the performance metrics were established for the 2024 Tranche, the Board, upon the recommendation of the Compensation and Human Capital Committee, believed that attaining such goals would require a high level of effort and skilled execution on the part of our executives, including our NEOs, to achieve strong sales and operational success.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87"/>
        <w:gridCol w:w="109"/>
        <w:gridCol w:w="109"/>
        <w:gridCol w:w="820"/>
        <w:gridCol w:w="109"/>
        <w:gridCol w:w="109"/>
        <w:gridCol w:w="6162"/>
        <w:gridCol w:w="156"/>
      </w:tblGrid>
      <w:tr>
        <w:trPr/>
        <w:tc>
          <w:tcPr>
            <w:tcW w:w="124" w:type="dxa"/>
            <w:tcBorders/>
            <w:shd w:fill="000000" w:val="clear"/>
            <w:vAlign w:val="center"/>
          </w:tcPr>
          <w:p>
            <w:pPr>
              <w:pStyle w:val="TableContents"/>
              <w:bidi w:val="0"/>
              <w:spacing w:before="0" w:after="283"/>
              <w:jc w:val="left"/>
              <w:rPr/>
            </w:pPr>
            <w:r>
              <w:rPr/>
              <w:t>​</w:t>
            </w:r>
          </w:p>
        </w:tc>
        <w:tc>
          <w:tcPr>
            <w:tcW w:w="1787" w:type="dxa"/>
            <w:tcBorders/>
            <w:shd w:fill="000000" w:val="clear"/>
            <w:vAlign w:val="center"/>
          </w:tcPr>
          <w:p>
            <w:pPr>
              <w:pStyle w:val="TableContents"/>
              <w:bidi w:val="0"/>
              <w:spacing w:before="0" w:after="283"/>
              <w:jc w:val="left"/>
              <w:rPr/>
            </w:pPr>
            <w:r>
              <w:rPr/>
              <w:t xml:space="preserve">2024 Tranche Company </w:t>
              <w:br/>
              <w:t xml:space="preserve">Performance Metrics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20" w:type="dxa"/>
            <w:tcBorders/>
            <w:shd w:fill="000000" w:val="clear"/>
            <w:vAlign w:val="center"/>
          </w:tcPr>
          <w:p>
            <w:pPr>
              <w:pStyle w:val="TableContents"/>
              <w:bidi w:val="0"/>
              <w:spacing w:before="0" w:after="0"/>
              <w:jc w:val="center"/>
              <w:rPr/>
            </w:pPr>
            <w:r>
              <w:rPr/>
              <w:t xml:space="preserve">Weight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162" w:type="dxa"/>
            <w:tcBorders/>
            <w:shd w:fill="000000" w:val="clear"/>
            <w:vAlign w:val="center"/>
          </w:tcPr>
          <w:p>
            <w:pPr>
              <w:pStyle w:val="TableContents"/>
              <w:bidi w:val="0"/>
              <w:spacing w:before="0" w:after="0"/>
              <w:jc w:val="left"/>
              <w:rPr/>
            </w:pPr>
            <w:r>
              <w:rPr/>
              <w:t xml:space="preserve">Metric Description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87" w:type="dxa"/>
            <w:tcBorders>
              <w:bottom w:val="single" w:sz="6" w:space="0" w:color="000000"/>
            </w:tcBorders>
            <w:tcMar>
              <w:bottom w:w="141" w:type="dxa"/>
            </w:tcMar>
            <w:vAlign w:val="center"/>
          </w:tcPr>
          <w:p>
            <w:pPr>
              <w:pStyle w:val="TableContents"/>
              <w:bidi w:val="0"/>
              <w:spacing w:before="0" w:after="283"/>
              <w:jc w:val="left"/>
              <w:rPr/>
            </w:pPr>
            <w:r>
              <w:rPr/>
              <w:t xml:space="preserve">Deliveries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0" w:type="dxa"/>
            <w:tcBorders>
              <w:bottom w:val="single" w:sz="6" w:space="0" w:color="000000"/>
            </w:tcBorders>
            <w:tcMar>
              <w:bottom w:w="141" w:type="dxa"/>
            </w:tcMar>
            <w:vAlign w:val="center"/>
          </w:tcPr>
          <w:p>
            <w:pPr>
              <w:pStyle w:val="TableContents"/>
              <w:bidi w:val="0"/>
              <w:spacing w:before="0" w:after="283"/>
              <w:jc w:val="left"/>
              <w:rPr/>
            </w:pPr>
            <w:r>
              <w:rPr/>
              <w:t xml:space="preserve">1/3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162" w:type="dxa"/>
            <w:tcBorders>
              <w:bottom w:val="single" w:sz="6" w:space="0" w:color="000000"/>
            </w:tcBorders>
            <w:tcMar>
              <w:bottom w:w="141" w:type="dxa"/>
            </w:tcMar>
            <w:vAlign w:val="center"/>
          </w:tcPr>
          <w:p>
            <w:pPr>
              <w:pStyle w:val="TableContents"/>
              <w:bidi w:val="0"/>
              <w:spacing w:before="0" w:after="283"/>
              <w:jc w:val="left"/>
              <w:rPr/>
            </w:pPr>
            <w:r>
              <w:rPr/>
              <w:t xml:space="preserve">The number of Lucid vehicles transferred to customers for the full fiscal year ended December 31, 2024.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87" w:type="dxa"/>
            <w:tcBorders>
              <w:bottom w:val="single" w:sz="6" w:space="0" w:color="000000"/>
            </w:tcBorders>
            <w:tcMar>
              <w:bottom w:w="141" w:type="dxa"/>
            </w:tcMar>
            <w:vAlign w:val="center"/>
          </w:tcPr>
          <w:p>
            <w:pPr>
              <w:pStyle w:val="TableContents"/>
              <w:bidi w:val="0"/>
              <w:spacing w:before="0" w:after="283"/>
              <w:jc w:val="left"/>
              <w:rPr/>
            </w:pPr>
            <w:r>
              <w:rPr/>
              <w:t xml:space="preserve">Gross Margin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0" w:type="dxa"/>
            <w:tcBorders>
              <w:bottom w:val="single" w:sz="6" w:space="0" w:color="000000"/>
            </w:tcBorders>
            <w:tcMar>
              <w:bottom w:w="141" w:type="dxa"/>
            </w:tcMar>
            <w:vAlign w:val="center"/>
          </w:tcPr>
          <w:p>
            <w:pPr>
              <w:pStyle w:val="TableContents"/>
              <w:bidi w:val="0"/>
              <w:spacing w:before="0" w:after="283"/>
              <w:jc w:val="left"/>
              <w:rPr/>
            </w:pPr>
            <w:r>
              <w:rPr/>
              <w:t xml:space="preserve">1/3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162" w:type="dxa"/>
            <w:tcBorders>
              <w:bottom w:val="single" w:sz="6" w:space="0" w:color="000000"/>
            </w:tcBorders>
            <w:tcMar>
              <w:bottom w:w="141" w:type="dxa"/>
            </w:tcMar>
            <w:vAlign w:val="center"/>
          </w:tcPr>
          <w:p>
            <w:pPr>
              <w:pStyle w:val="TableContents"/>
              <w:bidi w:val="0"/>
              <w:spacing w:before="0" w:after="283"/>
              <w:jc w:val="left"/>
              <w:rPr/>
            </w:pPr>
            <w:r>
              <w:rPr/>
              <w:t xml:space="preserve">The Company’s sales minus its cost of goods sold, expressed as a percentage of sales.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87" w:type="dxa"/>
            <w:tcBorders>
              <w:bottom w:val="single" w:sz="6" w:space="0" w:color="000000"/>
            </w:tcBorders>
            <w:tcMar>
              <w:bottom w:w="141" w:type="dxa"/>
            </w:tcMar>
            <w:vAlign w:val="center"/>
          </w:tcPr>
          <w:p>
            <w:pPr>
              <w:pStyle w:val="TableContents"/>
              <w:bidi w:val="0"/>
              <w:spacing w:before="0" w:after="283"/>
              <w:jc w:val="left"/>
              <w:rPr/>
            </w:pPr>
            <w:r>
              <w:rPr/>
              <w:t xml:space="preserve">Free Cash Flow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0" w:type="dxa"/>
            <w:tcBorders>
              <w:bottom w:val="single" w:sz="6" w:space="0" w:color="000000"/>
            </w:tcBorders>
            <w:tcMar>
              <w:bottom w:w="141" w:type="dxa"/>
            </w:tcMar>
            <w:vAlign w:val="center"/>
          </w:tcPr>
          <w:p>
            <w:pPr>
              <w:pStyle w:val="TableContents"/>
              <w:bidi w:val="0"/>
              <w:spacing w:before="0" w:after="283"/>
              <w:jc w:val="left"/>
              <w:rPr/>
            </w:pPr>
            <w:r>
              <w:rPr/>
              <w:t xml:space="preserve">1/3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162" w:type="dxa"/>
            <w:tcBorders>
              <w:bottom w:val="single" w:sz="6" w:space="0" w:color="000000"/>
            </w:tcBorders>
            <w:tcMar>
              <w:bottom w:w="141" w:type="dxa"/>
            </w:tcMar>
            <w:vAlign w:val="center"/>
          </w:tcPr>
          <w:p>
            <w:pPr>
              <w:pStyle w:val="TableContents"/>
              <w:bidi w:val="0"/>
              <w:spacing w:before="0" w:after="283"/>
              <w:jc w:val="left"/>
              <w:rPr/>
            </w:pPr>
            <w:r>
              <w:rPr/>
              <w:t>The Company’s net cash from operations less capital expenditures, subject to any cash balance adjustments not connected to operations.</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28"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Actual Performance and PSUs Earned Under 2024 Tranche.</w:t>
      </w:r>
      <w:r>
        <w:rPr>
          <w:rFonts w:ascii="Arial;Helvetica;sans-serif" w:hAnsi="Arial;Helvetica;sans-serif"/>
          <w:b w:val="false"/>
          <w:i w:val="false"/>
          <w:caps w:val="false"/>
          <w:smallCaps w:val="false"/>
          <w:color w:val="000000"/>
          <w:sz w:val="18"/>
        </w:rPr>
        <w:t xml:space="preserve"> In March 2025, the Compensation and Human Capital Committee evaluated the Company’s performance in relation to the 2024 Tranche Company Performance Metrics. For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fiscal year 2024, the Company achieved and exceeded target performance for all of its three 2024 Tranche Company Performance Metrics with 10,241 deliveries (target 9,000), $(923) million in gross margin (target $(1,027) million), and $(3,644) million in free cash flow (target ($4,136) million), resulting in a PSU Payout Factor of 129.8%. As discussed earlier, actual result of free cash flow incorporates the adjustments approved by the Compensation and Human Capital Committee and the Board in the first quarter of 2025. If no such adjustments had been made, actual Free Cash Flow performance for 2024 would have been ($2,904) million, resulting in an overall PSU Payout Factor of 136.6%, rather than 129.8%. Taken together, for the 2024 Tranche, the number of PSUs granted at target and PSU Payout Factor combined resulted in the following number of PSUs earned for each NEO: 1,386,704 shares for Mr. Winterhoff, 270,730 shares for Mr. Dhingra, and 974,637 shares for Mr. Bach. In view of still-outstanding value from the 2021 CEO Grant, the Board determined not to grant Mr. Rawlinson an equity award in 2024. Due to Mr. Bell’s separation on May 3, 2024, he was not granted any equity awards in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2025 Tranche Performance Metrics.</w:t>
      </w:r>
      <w:r>
        <w:rPr>
          <w:rFonts w:ascii="Arial;Helvetica;sans-serif" w:hAnsi="Arial;Helvetica;sans-serif"/>
          <w:b w:val="false"/>
          <w:i w:val="false"/>
          <w:caps w:val="false"/>
          <w:smallCaps w:val="false"/>
          <w:color w:val="000000"/>
          <w:sz w:val="18"/>
        </w:rPr>
        <w:t xml:space="preserve"> For the 2025 Tranche, the Board, upon the recommendation of the Compensation and Human Capital Committee, selected deliveries and free cash flow as performance metrics (“2025 Tranche Company Performance Metrics”) in alignment with our long-term business plan for 2025. In the first quarter of 2025, the target for the Deliveries metric for the 2025 Tranche was adjusted to more closely track the long-term business plan for 2025 approved by the Board in December 2024, better reflecting the intent and assumptions under which the target of the Deliveries metric was initially set. In addition, in the first quarter of 2025, the Compensation and Human Capital Committee and the Board approved an adjustment to how the actual result of the Free Cash Flow performance metric will be calculated for the 2025 Tranche in connection with the operational change that drove the corresponding adjustment to Free Cash Flow results for the 2024 Tranche and the 2024 AIP discussed under the heading “2024 AIP Actual Performance and Payouts.”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Details regarding actual performance and PSUs earned under the 2025 Tranche will be disclosed in the proxy statement for the following year.</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759"/>
        <w:gridCol w:w="109"/>
        <w:gridCol w:w="109"/>
        <w:gridCol w:w="1119"/>
        <w:gridCol w:w="109"/>
        <w:gridCol w:w="109"/>
        <w:gridCol w:w="5891"/>
        <w:gridCol w:w="156"/>
      </w:tblGrid>
      <w:tr>
        <w:trPr/>
        <w:tc>
          <w:tcPr>
            <w:tcW w:w="124" w:type="dxa"/>
            <w:tcBorders/>
            <w:shd w:fill="000000" w:val="clear"/>
            <w:vAlign w:val="center"/>
          </w:tcPr>
          <w:p>
            <w:pPr>
              <w:pStyle w:val="TableContents"/>
              <w:bidi w:val="0"/>
              <w:spacing w:before="0" w:after="283"/>
              <w:jc w:val="left"/>
              <w:rPr/>
            </w:pPr>
            <w:r>
              <w:rPr/>
              <w:t>​</w:t>
            </w:r>
          </w:p>
        </w:tc>
        <w:tc>
          <w:tcPr>
            <w:tcW w:w="1759" w:type="dxa"/>
            <w:tcBorders/>
            <w:shd w:fill="000000" w:val="clear"/>
            <w:vAlign w:val="center"/>
          </w:tcPr>
          <w:p>
            <w:pPr>
              <w:pStyle w:val="TableContents"/>
              <w:bidi w:val="0"/>
              <w:spacing w:before="0" w:after="283"/>
              <w:jc w:val="left"/>
              <w:rPr/>
            </w:pPr>
            <w:r>
              <w:rPr/>
              <w:t xml:space="preserve">2025 Tranche Company </w:t>
              <w:br/>
              <w:t xml:space="preserve">Performance Metrics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19" w:type="dxa"/>
            <w:tcBorders/>
            <w:shd w:fill="000000" w:val="clear"/>
            <w:vAlign w:val="center"/>
          </w:tcPr>
          <w:p>
            <w:pPr>
              <w:pStyle w:val="TableContents"/>
              <w:bidi w:val="0"/>
              <w:spacing w:before="0" w:after="0"/>
              <w:jc w:val="left"/>
              <w:rPr/>
            </w:pPr>
            <w:r>
              <w:rPr/>
              <w:t xml:space="preserve">Weighting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891" w:type="dxa"/>
            <w:tcBorders/>
            <w:shd w:fill="000000" w:val="clear"/>
            <w:vAlign w:val="center"/>
          </w:tcPr>
          <w:p>
            <w:pPr>
              <w:pStyle w:val="TableContents"/>
              <w:bidi w:val="0"/>
              <w:spacing w:before="0" w:after="0"/>
              <w:jc w:val="left"/>
              <w:rPr/>
            </w:pPr>
            <w:r>
              <w:rPr/>
              <w:t xml:space="preserve">Metric Description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59" w:type="dxa"/>
            <w:tcBorders>
              <w:bottom w:val="single" w:sz="6" w:space="0" w:color="000000"/>
            </w:tcBorders>
            <w:tcMar>
              <w:bottom w:w="141" w:type="dxa"/>
            </w:tcMar>
            <w:vAlign w:val="center"/>
          </w:tcPr>
          <w:p>
            <w:pPr>
              <w:pStyle w:val="TableContents"/>
              <w:bidi w:val="0"/>
              <w:spacing w:before="0" w:after="283"/>
              <w:jc w:val="left"/>
              <w:rPr/>
            </w:pPr>
            <w:r>
              <w:rPr/>
              <w:t xml:space="preserve">Deliveries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9" w:type="dxa"/>
            <w:tcBorders>
              <w:bottom w:val="single" w:sz="6" w:space="0" w:color="000000"/>
            </w:tcBorders>
            <w:tcMar>
              <w:bottom w:w="141" w:type="dxa"/>
            </w:tcMar>
            <w:vAlign w:val="center"/>
          </w:tcPr>
          <w:p>
            <w:pPr>
              <w:pStyle w:val="TableContents"/>
              <w:bidi w:val="0"/>
              <w:spacing w:before="0" w:after="283"/>
              <w:jc w:val="left"/>
              <w:rPr/>
            </w:pPr>
            <w:r>
              <w:rPr/>
              <w:t xml:space="preserve">50%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891" w:type="dxa"/>
            <w:tcBorders>
              <w:bottom w:val="single" w:sz="6" w:space="0" w:color="000000"/>
            </w:tcBorders>
            <w:tcMar>
              <w:bottom w:w="141" w:type="dxa"/>
            </w:tcMar>
            <w:vAlign w:val="center"/>
          </w:tcPr>
          <w:p>
            <w:pPr>
              <w:pStyle w:val="TableContents"/>
              <w:bidi w:val="0"/>
              <w:spacing w:before="0" w:after="283"/>
              <w:jc w:val="left"/>
              <w:rPr/>
            </w:pPr>
            <w:r>
              <w:rPr/>
              <w:t xml:space="preserve">The number of Lucid vehicles transferred to customers for the full fiscal year ended December 31, 2025.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59" w:type="dxa"/>
            <w:tcBorders>
              <w:bottom w:val="single" w:sz="6" w:space="0" w:color="000000"/>
            </w:tcBorders>
            <w:tcMar>
              <w:bottom w:w="141" w:type="dxa"/>
            </w:tcMar>
            <w:vAlign w:val="center"/>
          </w:tcPr>
          <w:p>
            <w:pPr>
              <w:pStyle w:val="TableContents"/>
              <w:bidi w:val="0"/>
              <w:spacing w:before="0" w:after="283"/>
              <w:jc w:val="left"/>
              <w:rPr/>
            </w:pPr>
            <w:r>
              <w:rPr/>
              <w:t xml:space="preserve">Free Cash Flow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9" w:type="dxa"/>
            <w:tcBorders>
              <w:bottom w:val="single" w:sz="6" w:space="0" w:color="000000"/>
            </w:tcBorders>
            <w:tcMar>
              <w:bottom w:w="141" w:type="dxa"/>
            </w:tcMar>
            <w:vAlign w:val="center"/>
          </w:tcPr>
          <w:p>
            <w:pPr>
              <w:pStyle w:val="TableContents"/>
              <w:bidi w:val="0"/>
              <w:spacing w:before="0" w:after="283"/>
              <w:jc w:val="left"/>
              <w:rPr/>
            </w:pPr>
            <w:r>
              <w:rPr/>
              <w:t xml:space="preserve">50%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891" w:type="dxa"/>
            <w:tcBorders>
              <w:bottom w:val="single" w:sz="6" w:space="0" w:color="000000"/>
            </w:tcBorders>
            <w:tcMar>
              <w:bottom w:w="141" w:type="dxa"/>
            </w:tcMar>
            <w:vAlign w:val="center"/>
          </w:tcPr>
          <w:p>
            <w:pPr>
              <w:pStyle w:val="TableContents"/>
              <w:bidi w:val="0"/>
              <w:spacing w:before="0" w:after="283"/>
              <w:jc w:val="left"/>
              <w:rPr/>
            </w:pPr>
            <w:r>
              <w:rPr/>
              <w:t>The Company’s net cash from operations less capital expenditures, subject to any cash balance adjustments not connected to operations.</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254"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Special Bonus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unveiled the Lucid Gravity to the public at the Los Angeles Auto Show in November 2023, which marked a major technical, commercial, and design milestone achievement for the Company. In recognition of their significant contributions to this milestone achievement, the Company awarded a $6,000,000 cash bonus to Mr. Rawlinson and $1,000,000 cash bonus to Mr. Bach (the “Gravity Bonuses”). Although approved and paid in 2024, the Gravity Bonuses reward years of development that led to the public reveal in 2023 and have been included as part of the 2023 total compensation for Messrs. Rawlinson and Bach accordingly.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Compensation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Perquisites and Other Personal Benefits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periodically reviews the perquisites and other personal benefits provided to our NEOs to ensure that they are reasonable, competitive, and consistent with the overall compensation program. We do not view perquisites or other personal benefits as a significant component of our executive compensation program and we do not provide material perquisites or personal benefits to our NEOs. Key perquisites and other personal benefits for NEOs include (as set forth in more detail in the Summary Compensation Table below and accompanying footnotes): (i) for certain of our NEOs, the personal usage of a Company-provided Lucid Air vehicle and (ii) for Mr. Rawlinson, annual reimbursement for tax advisory and preparation fees up to $20,000 less applicable tax deductions and withholdings.</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Retirement and Other Employee Benefits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2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maintain a 401(k) retirement savings plan for our employees in the United States, including the NEOs. Our NEOs are eligible to participate in the 401(k) plan on the same terms as other full-time employees. In addition, all of our full-time employees, including the NEOs, are eligible to participate in our health and welfare plans, including medical, dental, and vision benefits, health and dependent care flexible spending accounts, and disability and life insurance. Employees at the senior director level and above, including the NEOs, are eligible to participate in an executive physicals program, which is offered as an additional health benefit.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Employment Arrangements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00" w:before="24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At-Will Employment and Restrictive Covenants</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Messrs. Dhingra, Winterhoff and Bach are at-will employees with no specified term of employment. As a condition of their employment, each of the NEOs was required to sign a Confidential Information and Invention Assignment Agreement (“Restrictive Covenant Agreement”) which includes, among other provisions, a 24-month post-employment non-solicit of employees and customers, a perpetual confidentiality covenant, and an assignment of inventions provision.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Mr. Dhingra Interim Chief Financial Officer Terms and Promotion</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connection with Mr. Dhingra’s appointment as our Interim Chief Financial Officer on December 11, 2023, Mr. Dhingra received certain compensation, including, without limitation, (i) an award of RSUs with a grant value of  $500,000 that vested 50% on June 5, 2024 and 50% on December 5, 2024; and (ii) a quarterly bonus of  $50,000 and a monthly stipend of  $25,000 while serving as our Interim Chief Financial Officer during 2024 and through February 25, 2025, when we appointed Taoufiq Boussaid as our Chief Financial Officer and promoted Mr. Dhingra to Senior Vice President, Finance and Accounting. The final payment of Mr. Dhingra’s quarterly bonus and monthly stipend was completed on March 28,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2025, in connection with Mr. Dhingra’s promotion to Senior Vice President, Finance and Accounting, Mr. Dhingra’s base salary was increased to $475,000, his target bonus opportunity commencing for the fiscal 2025 performance period was increased to 75% of base salary, he received a one-time bonus in the amount of  $250,000 and he became eligible to participate in the Executive Severance Plan (as defined below) at the senior vice president level. In 2025, in connection with such promotion, Mr. Dhingra was also granted a special award of RSUs and a special award of PSUs, with target grant values of  $400,000 and $600,000, respectively, with such RSUs vesting quarterly over four years and such PSUs vesting consistent with the terms of performance stock units granted to other NEOs in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Mr. Winterhoff PSU Award</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connection with Mr. Winterhoff’s commencement of employment as our Chief Operating Officer on December 4, 2023, in 2024, the Company granted Mr. Winterhoff a PSU award with a target grant value of  $6,000,000, which is subject to the same performance-vesting conditions that apply to our other NEO PSU awards granted in 2024. Mr. Winterhoff was also awarded certain other new hire compensation in 2023, as described in our proxy statement filed on April 25, 2024 under the heading “Mr. Winterhoff Offer Letter.”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Mr. Rawlinson Transition Agreement</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connection with Mr. Rawlinson’s resignation as our CEO and Chief Technology Officer and his appointment as Strategic Technical Advisor to the Chairman of the Board on February 21, 2025, the Company entered into a transition agreement with Mr. Rawlinson, pursuant to which he is entitled to receive: (i) a monthly payment of  $120,000 for services rendered during the 24-month consulting term, (ii) a Lucid vehicle, (iii) Company-paid COBRA health insurance premiums, (iv) in each calendar year of 2025 and 2026, a payment of up to $10,000 for tax preparation services (including an additional true-up payment equal to the amount of personal income tax due in connection with such payment), and (v) a supplemental RSU grant for that number of shares having an aggregate grant date fair value of  $2,000,000, which will vest in three equal installments over a 24-month period on the following dates: (A) February 21, 2026, (B) August 21, 2026, and (C) February 21, 2027.</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Mr. Winterhoff Interim CEO Terms and Promotion</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In connection with Mr. Winterhoff’s appointment as our Interim Chief Executive Officer on February 21, 2025, Mr. Winterhoff received or became entitled to receive the following additional compensation and benefits: (i) a monthly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stipend of  $20,000 for any month or partial month that Mr. Winterhoff serves as the Interim CEO; (ii) an award of RSUs with a grant value of  $4,000,000 granted pursuant to our Amended and Restated 2021 Stock Incentive Plan, which will vest quarterly over sixteen quarters on the Company Vesting Dates (March 5, June 5, September 5 and December 5), and provides for accelerated vesting upon a termination without cause or resignation following a constructive termination; (iii) an increase from nine months’ pay and benefits to twelve months’ pay and benefits under certain circumstances that Mr. Winterhoff is eligible to receive under the Lucid Group, Inc. Executive Severance Plan; and (iv) elevated executive security services as needed.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Termination and Change in Control Agreements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00" w:before="24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Executive Severance Plan</w:t>
      </w:r>
      <w:r>
        <w:rPr>
          <w:rFonts w:ascii="Arial;Helvetica;sans-serif" w:hAnsi="Arial;Helvetica;sans-serif"/>
          <w:b/>
          <w:i/>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established the Lucid Group, Inc. Executive Severance Benefit Plan, effective July 23, 2021 (the “Executive Severance Plan”), in which executives (including our NEOs) participate. Under the terms of the Executive Severance Plan, participants are entitled to receive the following in the event of a termination of employment without “cause” or a “constructive termination” ​(as each such term is defined in the Executive Severance Plan) that is not a Change in Control Termination (as defined below), subject to the participant’s execution of a release of claims: (i) base salary continuation for the number of months set forth in the participant’s participation agreement, (ii) Company-paid COBRA premiums for healthcare continuation coverage (including a gross-up for applicable taxes) up to the number of months set forth in the participant’s participation agreement, and (iii) accelerated vesting of an “applicable percentage” of the participant’s outstanding and unvested equity awards granted prior to July 23, 2021 (but such accelerated vesting under the Executive Severance Plan does not apply to the 2021 CEO Grant, which contains its own accelerated vesting terms under certain circumstances (as described below), nor to any equity awards granted on or after July 23, 2021). For purposes of determining the accelerated vesting of pre-July 23, 2021 awards, the “applicable percentage” is equal to 25% of the unvested equity award at the time of such termination plus 5% for each year of service, up to 50%.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the event of a termination without “cause” or a “constructive termination” in each case within three months prior to or 12 months following a change in control of Lucid (a “Change in Control Termination”), participants are entitled to receive the following, subject to the participant’s execution of a release of claims: (i) a lump-sum payment equal to the sum of base salary and target annual cash incentive divided by 12, multiplied by the number of months set forth in the participant’s participation agreement, (ii) Company-paid COBRA premiums for healthcare continuation coverage (including a gross-up for applicable taxes) up to the number of months set forth in the participant’s participation agreement, and (iii) accelerated vesting of 100% of the participant’s outstanding equity awards (except in the case of the 2021 CEO Grant, as mentioned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Under the Executive Severance Plan, a participant’s right to receive severance benefits terminates in the event the participant breaches the Restrictive Covenant Agreement or the participant utilizes our trade secrets to solicit any of our employees to leave us or to induce any of our then-current clients, customers, or suppliers to terminate their business relationship with us. As of December 31, 2024, the severance levels that apply to each of the NEOs under the Executive Severance Plan are set forth in the table below:</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455"/>
        <w:gridCol w:w="109"/>
        <w:gridCol w:w="109"/>
        <w:gridCol w:w="2782"/>
        <w:gridCol w:w="109"/>
        <w:gridCol w:w="109"/>
        <w:gridCol w:w="3532"/>
        <w:gridCol w:w="156"/>
      </w:tblGrid>
      <w:tr>
        <w:trPr/>
        <w:tc>
          <w:tcPr>
            <w:tcW w:w="124" w:type="dxa"/>
            <w:tcBorders/>
            <w:shd w:fill="000000" w:val="clear"/>
            <w:vAlign w:val="center"/>
          </w:tcPr>
          <w:p>
            <w:pPr>
              <w:pStyle w:val="TableContents"/>
              <w:bidi w:val="0"/>
              <w:spacing w:before="0" w:after="283"/>
              <w:jc w:val="left"/>
              <w:rPr/>
            </w:pPr>
            <w:r>
              <w:rPr/>
              <w:t>​</w:t>
            </w:r>
          </w:p>
        </w:tc>
        <w:tc>
          <w:tcPr>
            <w:tcW w:w="2455"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82" w:type="dxa"/>
            <w:tcBorders/>
            <w:shd w:fill="000000" w:val="clear"/>
            <w:vAlign w:val="center"/>
          </w:tcPr>
          <w:p>
            <w:pPr>
              <w:pStyle w:val="TableContents"/>
              <w:bidi w:val="0"/>
              <w:spacing w:before="0" w:after="283"/>
              <w:jc w:val="left"/>
              <w:rPr/>
            </w:pPr>
            <w:r>
              <w:rPr/>
              <w:t xml:space="preserve">Severance Not in Connection </w:t>
              <w:br/>
              <w:t xml:space="preserve">with a Change in Control </w:t>
              <w:br/>
              <w:t xml:space="preserve">(Number of Months)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532" w:type="dxa"/>
            <w:tcBorders/>
            <w:shd w:fill="000000" w:val="clear"/>
            <w:vAlign w:val="center"/>
          </w:tcPr>
          <w:p>
            <w:pPr>
              <w:pStyle w:val="TableContents"/>
              <w:bidi w:val="0"/>
              <w:spacing w:before="0" w:after="283"/>
              <w:jc w:val="left"/>
              <w:rPr/>
            </w:pPr>
            <w:r>
              <w:rPr/>
              <w:t>Severance in Connection</w:t>
              <w:br/>
              <w:t xml:space="preserve">with a Change in Control Termination </w:t>
              <w:br/>
              <w:t xml:space="preserve">(Number of Months)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55" w:type="dxa"/>
            <w:tcBorders>
              <w:bottom w:val="single" w:sz="6" w:space="0" w:color="000000"/>
            </w:tcBorders>
            <w:tcMar>
              <w:bottom w:w="148"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782" w:type="dxa"/>
            <w:tcBorders>
              <w:bottom w:val="single" w:sz="6" w:space="0" w:color="000000"/>
            </w:tcBorders>
            <w:tcMar>
              <w:bottom w:w="148" w:type="dxa"/>
            </w:tcMar>
            <w:vAlign w:val="center"/>
          </w:tcPr>
          <w:p>
            <w:pPr>
              <w:pStyle w:val="TableContents"/>
              <w:bidi w:val="0"/>
              <w:spacing w:before="0" w:after="283"/>
              <w:jc w:val="left"/>
              <w:rPr/>
            </w:pPr>
            <w:r>
              <w:rPr/>
              <w:t xml:space="preserve">12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532" w:type="dxa"/>
            <w:tcBorders>
              <w:bottom w:val="single" w:sz="6" w:space="0" w:color="000000"/>
            </w:tcBorders>
            <w:tcMar>
              <w:bottom w:w="148" w:type="dxa"/>
            </w:tcMar>
            <w:vAlign w:val="center"/>
          </w:tcPr>
          <w:p>
            <w:pPr>
              <w:pStyle w:val="TableContents"/>
              <w:bidi w:val="0"/>
              <w:spacing w:before="0" w:after="283"/>
              <w:jc w:val="left"/>
              <w:rPr/>
            </w:pPr>
            <w:r>
              <w:rPr/>
              <w:t xml:space="preserve">18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55" w:type="dxa"/>
            <w:tcBorders>
              <w:bottom w:val="single" w:sz="6" w:space="0" w:color="000000"/>
            </w:tcBorders>
            <w:tcMar>
              <w:bottom w:w="148" w:type="dxa"/>
            </w:tcMar>
            <w:vAlign w:val="center"/>
          </w:tcPr>
          <w:p>
            <w:pPr>
              <w:pStyle w:val="TableContents"/>
              <w:bidi w:val="0"/>
              <w:spacing w:before="0" w:after="283"/>
              <w:jc w:val="left"/>
              <w:rPr/>
            </w:pPr>
            <w:r>
              <w:rPr/>
              <w:t>Gagan Dhingra</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782" w:type="dxa"/>
            <w:tcBorders>
              <w:bottom w:val="single" w:sz="6" w:space="0" w:color="000000"/>
            </w:tcBorders>
            <w:tcMar>
              <w:bottom w:w="148" w:type="dxa"/>
            </w:tcMar>
            <w:vAlign w:val="center"/>
          </w:tcPr>
          <w:p>
            <w:pPr>
              <w:pStyle w:val="TableContents"/>
              <w:bidi w:val="0"/>
              <w:spacing w:before="0" w:after="283"/>
              <w:jc w:val="left"/>
              <w:rPr/>
            </w:pPr>
            <w:r>
              <w:rPr/>
              <w:t xml:space="preserve">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532" w:type="dxa"/>
            <w:tcBorders>
              <w:bottom w:val="single" w:sz="6" w:space="0" w:color="000000"/>
            </w:tcBorders>
            <w:tcMar>
              <w:bottom w:w="148" w:type="dxa"/>
            </w:tcMar>
            <w:vAlign w:val="center"/>
          </w:tcPr>
          <w:p>
            <w:pPr>
              <w:pStyle w:val="TableContents"/>
              <w:bidi w:val="0"/>
              <w:spacing w:before="0" w:after="283"/>
              <w:jc w:val="left"/>
              <w:rPr/>
            </w:pPr>
            <w:r>
              <w:rPr/>
              <w:t xml:space="preserve">9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55" w:type="dxa"/>
            <w:tcBorders>
              <w:bottom w:val="single" w:sz="6" w:space="0" w:color="000000"/>
            </w:tcBorders>
            <w:tcMar>
              <w:bottom w:w="148" w:type="dxa"/>
            </w:tcMar>
            <w:vAlign w:val="center"/>
          </w:tcPr>
          <w:p>
            <w:pPr>
              <w:pStyle w:val="TableContents"/>
              <w:bidi w:val="0"/>
              <w:spacing w:before="0" w:after="283"/>
              <w:jc w:val="left"/>
              <w:rPr/>
            </w:pPr>
            <w:r>
              <w:rPr/>
              <w:t>Marc Winterhoff</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782" w:type="dxa"/>
            <w:tcBorders>
              <w:bottom w:val="single" w:sz="6" w:space="0" w:color="000000"/>
            </w:tcBorders>
            <w:tcMar>
              <w:bottom w:w="148" w:type="dxa"/>
            </w:tcMar>
            <w:vAlign w:val="center"/>
          </w:tcPr>
          <w:p>
            <w:pPr>
              <w:pStyle w:val="TableContents"/>
              <w:bidi w:val="0"/>
              <w:spacing w:before="0" w:after="283"/>
              <w:jc w:val="left"/>
              <w:rPr/>
            </w:pPr>
            <w:r>
              <w:rPr/>
              <w:t xml:space="preserve">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532" w:type="dxa"/>
            <w:tcBorders>
              <w:bottom w:val="single" w:sz="6" w:space="0" w:color="000000"/>
            </w:tcBorders>
            <w:tcMar>
              <w:bottom w:w="148" w:type="dxa"/>
            </w:tcMar>
            <w:vAlign w:val="center"/>
          </w:tcPr>
          <w:p>
            <w:pPr>
              <w:pStyle w:val="TableContents"/>
              <w:bidi w:val="0"/>
              <w:spacing w:before="0" w:after="283"/>
              <w:jc w:val="left"/>
              <w:rPr/>
            </w:pPr>
            <w:r>
              <w:rPr/>
              <w:t xml:space="preserve">12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55" w:type="dxa"/>
            <w:tcBorders>
              <w:bottom w:val="single" w:sz="6" w:space="0" w:color="000000"/>
            </w:tcBorders>
            <w:tcMar>
              <w:bottom w:w="14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782" w:type="dxa"/>
            <w:tcBorders>
              <w:bottom w:val="single" w:sz="6" w:space="0" w:color="000000"/>
            </w:tcBorders>
            <w:tcMar>
              <w:bottom w:w="148" w:type="dxa"/>
            </w:tcMar>
            <w:vAlign w:val="center"/>
          </w:tcPr>
          <w:p>
            <w:pPr>
              <w:pStyle w:val="TableContents"/>
              <w:bidi w:val="0"/>
              <w:spacing w:before="0" w:after="283"/>
              <w:jc w:val="left"/>
              <w:rPr/>
            </w:pPr>
            <w:r>
              <w:rPr/>
              <w:t xml:space="preserve">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532" w:type="dxa"/>
            <w:tcBorders>
              <w:bottom w:val="single" w:sz="6" w:space="0" w:color="000000"/>
            </w:tcBorders>
            <w:tcMar>
              <w:bottom w:w="148" w:type="dxa"/>
            </w:tcMar>
            <w:vAlign w:val="center"/>
          </w:tcPr>
          <w:p>
            <w:pPr>
              <w:pStyle w:val="TableContents"/>
              <w:bidi w:val="0"/>
              <w:spacing w:before="0" w:after="283"/>
              <w:jc w:val="left"/>
              <w:rPr/>
            </w:pPr>
            <w:r>
              <w:rPr/>
              <w:t xml:space="preserve">12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455" w:type="dxa"/>
            <w:tcBorders>
              <w:bottom w:val="single" w:sz="6" w:space="0" w:color="000000"/>
            </w:tcBorders>
            <w:tcMar>
              <w:bottom w:w="148" w:type="dxa"/>
            </w:tcMar>
            <w:vAlign w:val="center"/>
          </w:tcPr>
          <w:p>
            <w:pPr>
              <w:pStyle w:val="TableContents"/>
              <w:bidi w:val="0"/>
              <w:spacing w:before="0" w:after="283"/>
              <w:jc w:val="left"/>
              <w:rPr/>
            </w:pPr>
            <w:r>
              <w:rPr/>
              <w:t>Michael Bell</w:t>
            </w:r>
            <w:r>
              <w:rPr>
                <w:sz w:val="10"/>
              </w:rPr>
              <w:t>(4)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782"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532" w:type="dxa"/>
            <w:tcBorders>
              <w:bottom w:val="single" w:sz="6" w:space="0" w:color="000000"/>
            </w:tcBorders>
            <w:tcMar>
              <w:bottom w:w="148" w:type="dxa"/>
            </w:tcMar>
            <w:vAlign w:val="center"/>
          </w:tcPr>
          <w:p>
            <w:pPr>
              <w:pStyle w:val="TableContents"/>
              <w:bidi w:val="0"/>
              <w:spacing w:before="0" w:after="283"/>
              <w:jc w:val="left"/>
              <w:rPr/>
            </w:pPr>
            <w:r>
              <w:rPr/>
              <w:t>—</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Peter Rawlinson stepped aside as our CEO and Chief Technology Officer and was appointed as Strategic Technical Advisor to the Chairman of the Board on February 21, 2025. Therefore, he is no longer participating in our Executive Severance Plan. See “Mr. Rawlinson Transition Agreement” above.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03200" distB="0" distL="0" distR="0" simplePos="0" locked="0" layoutInCell="1" allowOverlap="1" relativeHeight="215">
                <wp:simplePos x="0" y="0"/>
                <wp:positionH relativeFrom="column">
                  <wp:align>left</wp:align>
                </wp:positionH>
                <wp:positionV relativeFrom="line">
                  <wp:align>top</wp:align>
                </wp:positionV>
                <wp:extent cx="91440" cy="180340"/>
                <wp:effectExtent l="0" t="0" r="0" b="0"/>
                <wp:wrapSquare wrapText="right"/>
                <wp:docPr id="208" name="Frame14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Gagan Dhingra was promoted from Vice President of Accounting to Senior Vice President, Finance and Accounting, on February 25, 2025. In connection with the promotion, his participation level under our Executive Severance Plan has been adjusted into 9 months for severance not in connection with a change in control termination, and 12 months for severance in connection with a change in control termination. See “Mr. Dhingra Interim Chief Financial Officer Terms and Promotion” above.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91440" cy="180340"/>
                <wp:effectExtent l="0" t="0" r="0" b="0"/>
                <wp:wrapSquare wrapText="right"/>
                <wp:docPr id="209" name="Frame148"/>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22"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Marc Winterhoff was appointed Interim CEO on February 21, 2025. In connection with the appointment, his participation level under our Executive Severance Plan has been adjusted into 12 months for severance not in connection with a change in control termination, and 12 months for severance in connection with a change in control termination. See “Mr. Winterhoff Interim CEO Terms and Promotion” above.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77470" distB="0" distL="0" distR="0" simplePos="0" locked="0" layoutInCell="1" allowOverlap="1" relativeHeight="217">
                <wp:simplePos x="0" y="0"/>
                <wp:positionH relativeFrom="column">
                  <wp:align>left</wp:align>
                </wp:positionH>
                <wp:positionV relativeFrom="line">
                  <wp:align>top</wp:align>
                </wp:positionV>
                <wp:extent cx="91440" cy="180340"/>
                <wp:effectExtent l="0" t="0" r="0" b="0"/>
                <wp:wrapSquare wrapText="right"/>
                <wp:docPr id="210" name="Frame14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22"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Due to Mr. Bell’s separation on May 3, 2024, he was not eligible for any benefits under the Executive Severance Plan as of December 31,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77470" distB="0" distL="0" distR="0" simplePos="0" locked="0" layoutInCell="1" allowOverlap="1" relativeHeight="218">
                <wp:simplePos x="0" y="0"/>
                <wp:positionH relativeFrom="column">
                  <wp:align>left</wp:align>
                </wp:positionH>
                <wp:positionV relativeFrom="line">
                  <wp:align>top</wp:align>
                </wp:positionV>
                <wp:extent cx="91440" cy="180340"/>
                <wp:effectExtent l="0" t="0" r="0" b="0"/>
                <wp:wrapSquare wrapText="right"/>
                <wp:docPr id="211" name="Frame150"/>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Under the terms of the Lucid Group, Inc. Vesting Acceleration Policy for Death and Disability (the “Acceleration Policy”), our NEOs who are currently employed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 agreement. The Acceleration Policy also does not apply to any equity awards granted to Mr. Rawlinson prior to September 15, 2021, the date the Acceleration Policy was adopted. Each NEO’s severance entitlements upon certain terminations of employment are described in more detail below under “Potential Payments Upon Termination or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caps w:val="false"/>
          <w:smallCaps w:val="false"/>
          <w:color w:val="000000"/>
          <w:sz w:val="16"/>
        </w:rPr>
      </w:pPr>
      <w:r>
        <w:rPr>
          <w:rFonts w:ascii="Arial;Helvetica;sans-serif" w:hAnsi="Arial;Helvetica;sans-serif"/>
          <w:b/>
          <w:i/>
          <w:caps w:val="false"/>
          <w:smallCaps w:val="false"/>
          <w:color w:val="000000"/>
          <w:sz w:val="16"/>
        </w:rPr>
        <w:t>Bell Separation Agreement</w:t>
      </w:r>
      <w:r>
        <w:rPr>
          <w:rFonts w:ascii="Arial;Helvetica;sans-serif" w:hAnsi="Arial;Helvetica;sans-serif"/>
          <w:b/>
          <w:i/>
          <w:caps w:val="false"/>
          <w:smallCaps w:val="false"/>
          <w:color w:val="000000"/>
          <w:spacing w:val="3"/>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connection with Mr. Bell’s separation on May 3, 2024, Mr. Bell received the following severance benefits pursuant to the terms of his separation agreement: (i) nine months of base salary continuation totaling $393,750, (ii) up to nine months of Company-paid COBRA premiums for healthcare continuation coverage (including a gross-up for applicable taxes), (iii) a consulting fee of  $125,000 for the advisory period from May 3, 2024 through August 12, 2024; and (iv) $25,000 to cover the preparation costs of his 2024 tax returns. In addition, 66,100 (or an applicable percentage of 40%) of unvested RSUs subject to Mr. Bell’s March 31, 2021 RSU grant were accelerated, pursuant to the terms of his participation agreement under the Executive Severance Plan. All of Mr. Bell’s other outstanding, unvested equity awards were forfeited in connection with his separation.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2021 CEO Grant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March 2021, as previously disclosed, Mr. Rawlinson was granted (i) 13,834,748 RSUs vesting quarterly over a four-year period beginning on December 5, 2021 (the “CEO Time-Based RSUs”); and (ii) 16,024,411 PSUs vesting in five tranches with each tranche tied to the attainment of market capitalization goals over the course of a five-year performance period as outlined below (the “CEO Performance RSUs”, and collectively, the “2021 CEO Grant”). Of the 13,834,748 CEO Time-Based RSUs, as of December 31, 2024, 11,240,732 have vested and 2,594,016 remain unvested. Of the 16,024,411 CEO Performance RSUs, as of December 31, 2024, 13,934,271 have vested and 2,090,140 remain unvested. The unvested CEO Performance RSUs can be earned until July 23, 2026, subject to continued service as of each applicable vesting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Pursuant to the 2021 CEO Grant award agreement, with respect to the CEO Time-Based RSUs, in the event of a change in control of Lucid, any unvested amount will vest (a) to the extent not assumed or substituted in connection with such change in control, if Mr. Rawlinson remains in continuous service through the change in control or (b) upon a termination without “cause” or upon a “constructive termination” ​(as each such term is defined in the 2021 CEO Grant award agreement) 30 days prior to the change in control. If the CEO Time-Based RSUs are assumed or substituted in connection with the change in control, the unvested CEO Time-Based RSUs will vest if Mr. Rawlinson experiences a termination of service without “cause” or “constructive termination” within 12 months following the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With respect to the CEO Performance RSUs, the unvested amount will vest on a change in control if the per share price multiplied by the total number of outstanding shares of our Common Stock exceeds certain previously disclosed market capitalization metrics. In addition, upon a private financing or public offering of our Common Stock with proceeds of at least $1 billion, if Lucid’s total market capitalization implied by the financing exceeds such market capitalization metrics, the CEO Performance RSUs associated with those metrics will vest. Upon a termination of service without cause or upon a constructive termination, any unvested CEO Performance RSUs will remain outstanding and eligible to vest if Lucid achieves certain market capitalization metrics within six months after such termination of continuous service. The CEO Performance RSUs that do not vest by July 23, 2026 will be forfeited.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connection with Mr. Rawlinson’s transition to Strategic Technical Advisor to the Chairman of the Board, any unvested CEO Time-Based RSUs and CEO Performance RSUs remain outstanding and eligible to vest during his consulting term.</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Compensation Recoupment Policy</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November 13, 2023, the Company adopted a Compensation Recoupment Policy. The Compensation Recoupment Policy, adopted in compliance with Exchange Act Rule 10D and the corresponding Nasdaq listing standards, applies to current and former executive officers of the Company. In the event the Company is required to restate its financial statements as a result of events described in the Nasdaq listing standards effective October 2, 2023, the Compensation and Human Capital Committee is authorized to recover incentive compensation awarded to a covered executive in accordance with the Compensation Recoupment Policy.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2024 Say-on-Pay Vote</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At our 2024 annual meeting of stockholders, we held a non-binding advisory stockholder vote to approve the compensation program for our NEOs, commonly referred to as a “say-on-pay” vote. Approximately 99% of the voting power of shares voted at the 2024 annual meeting of stockholders were cast in favor of our say-on-pay proposal. The Compensation and Human Capital Committee considered the result of this advisory vote to be an endorsement of our compensation program, policies, practices, and philosophy for our NEOs. The Compensation and Human Capital Committee will continue to consider the outcome of our say-on-pay votes and our stockholders’ views when making compensation decisions for our NEOs, including the outcome of Proposal No. 3 (non-binding advisory vote to approve the compensation of our NEOs) at the Annual Meeting. Based on the results of a separate non-binding advisory stockholder vote on the frequency of future stockholder advisory votes regarding the compensation program for our NEOs, commonly referred to as a “say on frequency” vote, held at our 2023 annual meeting of stockholders, the Board determined that we will hold our say-on-pay vote every year until the next required say on frequency vote. We expect to hold our next advisory vote on the frequency of say-on-pay votes at our annual meeting in 2028.</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Stock Ownership Guidelines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adopted Stock Ownership Guidelines in 2023. Under these guidelines, our non-employee directors and executives are expected to maintain a minimum equity stake in the Company. These guidelines embody the Compensation and Human Capital Committee’s belief that our directors and executives should maintain a significant personal financial stake in the Company to align such individuals’ interests with our stockholders’ interests, which reduces the incentive for excessive short-term risk taking. Under the guidelines, each covered individual is expected to meet the following ownership goal within five years of January 23, 2023, the effective date of the guidelines, or within five years of the first election or appointment as a covered individual, whichever comes later.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Stock Ownership Guidelines applied to the NEOs with respect to their roles as of December 31, 2024:</w:t>
      </w:r>
      <w:r>
        <w:rPr>
          <w:rFonts w:ascii="Arial;Helvetica;sans-serif" w:hAnsi="Arial;Helvetica;sans-serif"/>
          <w:b w:val="false"/>
          <w:i w:val="false"/>
          <w:caps w:val="false"/>
          <w:smallCaps w:val="false"/>
          <w:color w:val="000000"/>
          <w:spacing w:val="4"/>
          <w:sz w:val="18"/>
        </w:rPr>
        <w:t xml:space="preserve"> </w:t>
      </w:r>
    </w:p>
    <w:tbl>
      <w:tblPr>
        <w:tblW w:w="6828" w:type="dxa"/>
        <w:jc w:val="left"/>
        <w:tblInd w:w="720" w:type="dxa"/>
        <w:tblLayout w:type="fixed"/>
        <w:tblCellMar>
          <w:top w:w="0" w:type="dxa"/>
          <w:left w:w="0" w:type="dxa"/>
          <w:bottom w:w="0" w:type="dxa"/>
          <w:right w:w="0" w:type="dxa"/>
        </w:tblCellMar>
      </w:tblPr>
      <w:tblGrid>
        <w:gridCol w:w="124"/>
        <w:gridCol w:w="3121"/>
        <w:gridCol w:w="109"/>
        <w:gridCol w:w="109"/>
        <w:gridCol w:w="3211"/>
        <w:gridCol w:w="154"/>
      </w:tblGrid>
      <w:tr>
        <w:trPr/>
        <w:tc>
          <w:tcPr>
            <w:tcW w:w="124" w:type="dxa"/>
            <w:tcBorders/>
            <w:shd w:fill="000000" w:val="clear"/>
            <w:vAlign w:val="center"/>
          </w:tcPr>
          <w:p>
            <w:pPr>
              <w:pStyle w:val="TableContents"/>
              <w:bidi w:val="0"/>
              <w:spacing w:before="0" w:after="283"/>
              <w:jc w:val="left"/>
              <w:rPr/>
            </w:pPr>
            <w:r>
              <w:rPr/>
              <w:t>​</w:t>
            </w:r>
          </w:p>
        </w:tc>
        <w:tc>
          <w:tcPr>
            <w:tcW w:w="3121" w:type="dxa"/>
            <w:tcBorders/>
            <w:shd w:fill="000000" w:val="clear"/>
            <w:vAlign w:val="center"/>
          </w:tcPr>
          <w:p>
            <w:pPr>
              <w:pStyle w:val="TableContents"/>
              <w:bidi w:val="0"/>
              <w:spacing w:before="0" w:after="0"/>
              <w:jc w:val="left"/>
              <w:rPr/>
            </w:pPr>
            <w:r>
              <w:rPr/>
              <w:t>Category of Covered Individual</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211" w:type="dxa"/>
            <w:tcBorders/>
            <w:shd w:fill="000000" w:val="clear"/>
            <w:vAlign w:val="center"/>
          </w:tcPr>
          <w:p>
            <w:pPr>
              <w:pStyle w:val="TableContents"/>
              <w:bidi w:val="0"/>
              <w:spacing w:before="0" w:after="0"/>
              <w:jc w:val="left"/>
              <w:rPr/>
            </w:pPr>
            <w:r>
              <w:rPr/>
              <w:t xml:space="preserve">Ownership Goal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121" w:type="dxa"/>
            <w:tcBorders>
              <w:bottom w:val="single" w:sz="6" w:space="0" w:color="000000"/>
            </w:tcBorders>
            <w:tcMar>
              <w:bottom w:w="150" w:type="dxa"/>
            </w:tcMar>
            <w:vAlign w:val="center"/>
          </w:tcPr>
          <w:p>
            <w:pPr>
              <w:pStyle w:val="TableContents"/>
              <w:bidi w:val="0"/>
              <w:spacing w:before="0" w:after="283"/>
              <w:jc w:val="left"/>
              <w:rPr/>
            </w:pPr>
            <w:r>
              <w:rPr/>
              <w:t>Non-Employee Director</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tcMar>
              <w:bottom w:w="150" w:type="dxa"/>
            </w:tcMar>
            <w:vAlign w:val="center"/>
          </w:tcPr>
          <w:p>
            <w:pPr>
              <w:pStyle w:val="TableContents"/>
              <w:bidi w:val="0"/>
              <w:spacing w:before="0" w:after="283"/>
              <w:jc w:val="left"/>
              <w:rPr/>
            </w:pPr>
            <w:r>
              <w:rPr/>
              <w:t xml:space="preserve">5x Annual Board Cash Retainer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121" w:type="dxa"/>
            <w:tcBorders>
              <w:bottom w:val="single" w:sz="6" w:space="0" w:color="000000"/>
            </w:tcBorders>
            <w:tcMar>
              <w:bottom w:w="150" w:type="dxa"/>
            </w:tcMar>
            <w:vAlign w:val="center"/>
          </w:tcPr>
          <w:p>
            <w:pPr>
              <w:pStyle w:val="TableContents"/>
              <w:bidi w:val="0"/>
              <w:spacing w:before="0" w:after="283"/>
              <w:jc w:val="left"/>
              <w:rPr/>
            </w:pPr>
            <w:r>
              <w:rPr/>
              <w:t>Chief Executive Officer</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tcMar>
              <w:bottom w:w="150" w:type="dxa"/>
            </w:tcMar>
            <w:vAlign w:val="center"/>
          </w:tcPr>
          <w:p>
            <w:pPr>
              <w:pStyle w:val="TableContents"/>
              <w:bidi w:val="0"/>
              <w:spacing w:before="0" w:after="283"/>
              <w:jc w:val="left"/>
              <w:rPr/>
            </w:pPr>
            <w:r>
              <w:rPr/>
              <w:t xml:space="preserve">6x Annual Base Salary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121" w:type="dxa"/>
            <w:tcBorders>
              <w:bottom w:val="single" w:sz="6" w:space="0" w:color="000000"/>
            </w:tcBorders>
            <w:tcMar>
              <w:bottom w:w="150" w:type="dxa"/>
            </w:tcMar>
            <w:vAlign w:val="center"/>
          </w:tcPr>
          <w:p>
            <w:pPr>
              <w:pStyle w:val="TableContents"/>
              <w:bidi w:val="0"/>
              <w:spacing w:before="0" w:after="283"/>
              <w:jc w:val="left"/>
              <w:rPr/>
            </w:pPr>
            <w:r>
              <w:rPr/>
              <w:t>Senior Vice Presidents</w:t>
            </w:r>
            <w:r>
              <w:rPr>
                <w:sz w:val="10"/>
              </w:rPr>
              <w:t>(1)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tcMar>
              <w:bottom w:w="150" w:type="dxa"/>
            </w:tcMar>
            <w:vAlign w:val="center"/>
          </w:tcPr>
          <w:p>
            <w:pPr>
              <w:pStyle w:val="TableContents"/>
              <w:bidi w:val="0"/>
              <w:spacing w:before="0" w:after="283"/>
              <w:jc w:val="left"/>
              <w:rPr/>
            </w:pPr>
            <w:r>
              <w:rPr/>
              <w:t xml:space="preserve">3x Annual Base Salary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121" w:type="dxa"/>
            <w:tcBorders>
              <w:bottom w:val="single" w:sz="6" w:space="0" w:color="000000"/>
            </w:tcBorders>
            <w:tcMar>
              <w:bottom w:w="150" w:type="dxa"/>
            </w:tcMar>
            <w:vAlign w:val="center"/>
          </w:tcPr>
          <w:p>
            <w:pPr>
              <w:pStyle w:val="TableContents"/>
              <w:bidi w:val="0"/>
              <w:spacing w:before="0" w:after="283"/>
              <w:jc w:val="left"/>
              <w:rPr/>
            </w:pPr>
            <w:r>
              <w:rPr/>
              <w:t>Vice Presidents</w:t>
            </w:r>
            <w:r>
              <w:rPr>
                <w:sz w:val="10"/>
              </w:rPr>
              <w:t>(2)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tcMar>
              <w:bottom w:w="150" w:type="dxa"/>
            </w:tcMar>
            <w:vAlign w:val="center"/>
          </w:tcPr>
          <w:p>
            <w:pPr>
              <w:pStyle w:val="TableContents"/>
              <w:bidi w:val="0"/>
              <w:spacing w:before="0" w:after="283"/>
              <w:jc w:val="left"/>
              <w:rPr/>
            </w:pPr>
            <w:r>
              <w:rPr/>
              <w:t>2x Annual Base Salary</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Includes Messrs. Winterhoff and Bach.</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19">
                <wp:simplePos x="0" y="0"/>
                <wp:positionH relativeFrom="column">
                  <wp:align>left</wp:align>
                </wp:positionH>
                <wp:positionV relativeFrom="line">
                  <wp:align>top</wp:align>
                </wp:positionV>
                <wp:extent cx="91440" cy="180340"/>
                <wp:effectExtent l="0" t="0" r="0" b="0"/>
                <wp:wrapSquare wrapText="right"/>
                <wp:docPr id="212" name="Frame15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Includes Mr. Dhingra.</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220">
                <wp:simplePos x="0" y="0"/>
                <wp:positionH relativeFrom="column">
                  <wp:align>left</wp:align>
                </wp:positionH>
                <wp:positionV relativeFrom="line">
                  <wp:align>top</wp:align>
                </wp:positionV>
                <wp:extent cx="91440" cy="180340"/>
                <wp:effectExtent l="0" t="0" r="0" b="0"/>
                <wp:wrapSquare wrapText="right"/>
                <wp:docPr id="213" name="Frame152"/>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shares subject to equity awards will be counted toward satisfaction of the ownership goal (in addition to outstanding shares of which the individual is the beneficial owner): (a) shares subject to unvested, or vested but unsettled, RSU awards; and (b) shares subject to performance-based awards for which performance conditions have been satisfied (i.e., earned performance awards at actual achievement, even if they remain subject to time-based vesting conditions). The following shares will not be counted toward satisfaction of the ownership goal: (a) shares subject to performance-based awards for which the performance conditions have not yet been satisfied; (b) shares subject to unexercised stock options or stock appreciation rights, in each case, regardless of whether vested or “in-the-money” ; and (c) shares subject to equity-based awards that may only be settled in cash.</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Tax and Accounting Considerations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Deductibility of Executive Compensation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Section 162(m) of the Code generally imposes a $1 million cap on the federal income tax deduction for compensation paid to our “covered employees” during any fiscal year. While the Compensation and Human Capital Committee considers the deductibility of awards as one factor in determining executive compensation, the Compensation and Human Capital Committee also looks at other factors in making its decisions, and, in the exercise of its business judgment and in accordance with its compensation philosophy, the Compensation and Human Capital Committee retains the flexibility to award compensation even if the compensation is not deductible by us for tax purposes, and to modify compensation that was initially intended to be tax deductible if it determines such modifications are consistent with our business needs.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Accounting for Stock-Based Compensation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takes accounting considerations into account in designing compensation plans and arrangements for our NEOs and other employees. We follow Financial Accounting Standard Board Accounting Standards Codification Topic 718 (FASB ASC Topic 718) for our stock-based compensation awards. FASB ASC Topic 718 requires us to measure the compensation expense for all share-based payment awards based on the grant date “fair value” of these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Compensation Risk Assessment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Pay Governance annually conducts a detailed risk assessment of our compensation programs, employing a framework to assist the Compensation and Human Capital Committee in ascertaining any potential material adverse risks and how they may link with our compensation programs. The results of Pay Governance’s risk assessment were presented to the Compensation and Human Capital Committee in December 2024. Based on the assessment, Pay Governance concluded, and the Compensation and Human Capital Committee agreed, that our compensation programs do not create any potential risk that is reasonably likely to have a material adverse effect on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Based on the above, we believe our executive compensation program effectively (i) ensures that our compensation opportunities do not encourage excessive risk taking, (ii) keeps our NEOs focused on the creation of long-term, sustainable value for our stockholders, and (iii) provides competitive and appropriate levels of compensation over time.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Equity Grant Practices.</w:t>
      </w:r>
      <w:r>
        <w:rPr>
          <w:rFonts w:ascii="Arial;Helvetica;sans-serif" w:hAnsi="Arial;Helvetica;sans-serif"/>
          <w:b w:val="false"/>
          <w:i w:val="false"/>
          <w:caps w:val="false"/>
          <w:smallCaps w:val="false"/>
          <w:color w:val="000000"/>
          <w:sz w:val="18"/>
        </w:rPr>
        <w:t xml:space="preserve"> Although we do not have a formal policy regarding the timing of equity award grants, we generally grant annual equity awards to our NEOs on a pre-established date and we do not grant any form of equity compensation in anticipation of the release of material, non-public information. Similarly, we do not time the release of material, non-public information based on equity award grant dates for the purpose of affecting the value of any equity award. The Compensation and Human Capital Committee also does not take material, non-public information into account when determining the timing and terms of equity award grants, provided that, if material, non-public information becomes known to the Compensation and Human Capital Committee prior to granting an equity award, the Compensation and Human Capital Committee takes the existence of such information into consideration and uses its business judgment to determine whether to delay the grant of equity to avoid any impropriety.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AHC"/>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C</w:t>
      </w:r>
      <w:r>
        <w:rPr>
          <w:rFonts w:ascii="Times New Roman;Times;serif" w:hAnsi="Times New Roman;Times;serif"/>
          <w:b w:val="false"/>
          <w:i w:val="false"/>
          <w:caps w:val="false"/>
          <w:smallCaps w:val="false"/>
          <w:color w:val="000000"/>
          <w:sz w:val="40"/>
        </w:rPr>
        <w:t>OMPENSATION AND</w:t>
      </w:r>
      <w:r>
        <w:rPr>
          <w:rFonts w:ascii="Times New Roman;Times;serif" w:hAnsi="Times New Roman;Times;serif"/>
          <w:b w:val="false"/>
          <w:i w:val="false"/>
          <w:caps w:val="false"/>
          <w:smallCaps w:val="false"/>
          <w:color w:val="000000"/>
          <w:sz w:val="40"/>
        </w:rPr>
        <w:t xml:space="preserve"> H</w:t>
      </w:r>
      <w:r>
        <w:rPr>
          <w:rFonts w:ascii="Times New Roman;Times;serif" w:hAnsi="Times New Roman;Times;serif"/>
          <w:b w:val="false"/>
          <w:i w:val="false"/>
          <w:caps w:val="false"/>
          <w:smallCaps w:val="false"/>
          <w:color w:val="000000"/>
          <w:sz w:val="40"/>
        </w:rPr>
        <w:t>UMAN</w:t>
      </w:r>
      <w:r>
        <w:rPr>
          <w:rFonts w:ascii="Times New Roman;Times;serif" w:hAnsi="Times New Roman;Times;serif"/>
          <w:b w:val="false"/>
          <w:i w:val="false"/>
          <w:caps w:val="false"/>
          <w:smallCaps w:val="false"/>
          <w:color w:val="000000"/>
          <w:sz w:val="40"/>
        </w:rPr>
        <w:t xml:space="preserve"> C</w:t>
      </w:r>
      <w:r>
        <w:rPr>
          <w:rFonts w:ascii="Times New Roman;Times;serif" w:hAnsi="Times New Roman;Times;serif"/>
          <w:b w:val="false"/>
          <w:i w:val="false"/>
          <w:caps w:val="false"/>
          <w:smallCaps w:val="false"/>
          <w:color w:val="000000"/>
          <w:sz w:val="40"/>
        </w:rPr>
        <w:t>APITAL</w:t>
      </w:r>
      <w:r>
        <w:rPr>
          <w:rFonts w:ascii="Times New Roman;Times;serif" w:hAnsi="Times New Roman;Times;serif"/>
          <w:b w:val="false"/>
          <w:i w:val="false"/>
          <w:caps w:val="false"/>
          <w:smallCaps w:val="false"/>
          <w:color w:val="000000"/>
          <w:sz w:val="40"/>
        </w:rPr>
        <w:t xml:space="preserve"> C</w:t>
      </w:r>
      <w:r>
        <w:rPr>
          <w:rFonts w:ascii="Times New Roman;Times;serif" w:hAnsi="Times New Roman;Times;serif"/>
          <w:b w:val="false"/>
          <w:i w:val="false"/>
          <w:caps w:val="false"/>
          <w:smallCaps w:val="false"/>
          <w:color w:val="000000"/>
          <w:sz w:val="40"/>
        </w:rPr>
        <w:t>OMMITTEE</w:t>
      </w:r>
      <w:r>
        <w:rPr>
          <w:rFonts w:ascii="Times New Roman;Times;serif" w:hAnsi="Times New Roman;Times;serif"/>
          <w:b w:val="false"/>
          <w:i w:val="false"/>
          <w:caps w:val="false"/>
          <w:smallCaps w:val="false"/>
          <w:color w:val="000000"/>
          <w:sz w:val="40"/>
        </w:rPr>
        <w:t xml:space="preserve"> R</w:t>
      </w:r>
      <w:r>
        <w:rPr>
          <w:rFonts w:ascii="Times New Roman;Times;serif" w:hAnsi="Times New Roman;Times;serif"/>
          <w:b w:val="false"/>
          <w:i w:val="false"/>
          <w:caps w:val="false"/>
          <w:smallCaps w:val="false"/>
          <w:color w:val="000000"/>
          <w:sz w:val="40"/>
        </w:rPr>
        <w:t>EPORT</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Compensation and Human Capital Committee has reviewed and discussed the foregoing Compensation Discussion and Analysis with management and, based on such review and discussions, the Compensation and Human Capital Committee recommended to the Board that the Compensation Discussion and Analysis be included in this Proxy Statement and incorporated by reference into the Company’s Annual Report on Form 10-K for the fiscal year ended December 31,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Andrew Liveris, Chair </w:t>
        <w:br/>
        <w:t xml:space="preserve">Nichelle Maynard-Elliott </w:t>
        <w:br/>
        <w:t>Ori Winitzer</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2SCT"/>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2024 Summary Compensation Table</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table sets forth the compensation awarded to or paid to our NEOs for services rendered to the Company during the years ended December 31, 2024, 2023 and 2022.</w:t>
      </w:r>
      <w:r>
        <w:rPr>
          <w:rFonts w:ascii="Arial;Helvetica;sans-serif" w:hAnsi="Arial;Helvetica;sans-serif"/>
          <w:b w:val="false"/>
          <w:i w:val="false"/>
          <w:caps w:val="false"/>
          <w:smallCaps w:val="false"/>
          <w:color w:val="000000"/>
          <w:spacing w:val="4"/>
          <w:sz w:val="18"/>
        </w:rPr>
        <w:t xml:space="preserve"> </w:t>
      </w:r>
    </w:p>
    <w:tbl>
      <w:tblPr>
        <w:tblW w:w="12066" w:type="dxa"/>
        <w:jc w:val="left"/>
        <w:tblInd w:w="720" w:type="dxa"/>
        <w:tblLayout w:type="fixed"/>
        <w:tblCellMar>
          <w:top w:w="0" w:type="dxa"/>
          <w:left w:w="0" w:type="dxa"/>
          <w:bottom w:w="0" w:type="dxa"/>
          <w:right w:w="0" w:type="dxa"/>
        </w:tblCellMar>
      </w:tblPr>
      <w:tblGrid>
        <w:gridCol w:w="124"/>
        <w:gridCol w:w="1216"/>
        <w:gridCol w:w="109"/>
        <w:gridCol w:w="109"/>
        <w:gridCol w:w="586"/>
        <w:gridCol w:w="109"/>
        <w:gridCol w:w="109"/>
        <w:gridCol w:w="886"/>
        <w:gridCol w:w="109"/>
        <w:gridCol w:w="109"/>
        <w:gridCol w:w="1096"/>
        <w:gridCol w:w="109"/>
        <w:gridCol w:w="109"/>
        <w:gridCol w:w="1066"/>
        <w:gridCol w:w="109"/>
        <w:gridCol w:w="109"/>
        <w:gridCol w:w="1066"/>
        <w:gridCol w:w="109"/>
        <w:gridCol w:w="109"/>
        <w:gridCol w:w="1471"/>
        <w:gridCol w:w="109"/>
        <w:gridCol w:w="109"/>
        <w:gridCol w:w="1471"/>
        <w:gridCol w:w="109"/>
        <w:gridCol w:w="109"/>
        <w:gridCol w:w="1186"/>
        <w:gridCol w:w="154"/>
      </w:tblGrid>
      <w:tr>
        <w:trPr/>
        <w:tc>
          <w:tcPr>
            <w:tcW w:w="124" w:type="dxa"/>
            <w:tcBorders/>
            <w:shd w:fill="000000" w:val="clear"/>
            <w:vAlign w:val="center"/>
          </w:tcPr>
          <w:p>
            <w:pPr>
              <w:pStyle w:val="TableContents"/>
              <w:bidi w:val="0"/>
              <w:spacing w:before="0" w:after="283"/>
              <w:jc w:val="left"/>
              <w:rPr/>
            </w:pPr>
            <w:r>
              <w:rPr/>
              <w:t>​</w:t>
            </w:r>
          </w:p>
        </w:tc>
        <w:tc>
          <w:tcPr>
            <w:tcW w:w="1216" w:type="dxa"/>
            <w:tcBorders/>
            <w:shd w:fill="000000" w:val="clear"/>
            <w:vAlign w:val="center"/>
          </w:tcPr>
          <w:p>
            <w:pPr>
              <w:pStyle w:val="TableContents"/>
              <w:bidi w:val="0"/>
              <w:spacing w:lineRule="atLeast" w:line="142" w:before="0" w:after="283"/>
              <w:jc w:val="left"/>
              <w:rPr/>
            </w:pPr>
            <w:r>
              <w:rPr/>
              <w:t>Name and Principal</w:t>
              <w:br/>
              <w:t>Position</w:t>
            </w:r>
            <w:r>
              <w:rPr>
                <w:sz w:val="9"/>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86" w:type="dxa"/>
            <w:tcBorders/>
            <w:shd w:fill="000000" w:val="clear"/>
            <w:vAlign w:val="center"/>
          </w:tcPr>
          <w:p>
            <w:pPr>
              <w:pStyle w:val="TableContents"/>
              <w:bidi w:val="0"/>
              <w:spacing w:before="0" w:after="0"/>
              <w:jc w:val="left"/>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lineRule="atLeast" w:line="142" w:before="0" w:after="283"/>
              <w:jc w:val="left"/>
              <w:rPr/>
            </w:pPr>
            <w:r>
              <w:rPr/>
              <w:t>Salary</w:t>
              <w:br/>
              <w:t>($)</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6" w:type="dxa"/>
            <w:tcBorders/>
            <w:shd w:fill="000000" w:val="clear"/>
            <w:vAlign w:val="center"/>
          </w:tcPr>
          <w:p>
            <w:pPr>
              <w:pStyle w:val="TableContents"/>
              <w:bidi w:val="0"/>
              <w:spacing w:before="0" w:after="283"/>
              <w:jc w:val="left"/>
              <w:rPr/>
            </w:pPr>
            <w:r>
              <w:rP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lineRule="atLeast" w:line="142" w:before="0" w:after="283"/>
              <w:jc w:val="left"/>
              <w:rPr/>
            </w:pPr>
            <w:r>
              <w:rPr/>
              <w:t>Stock</w:t>
              <w:br/>
              <w:t>Awards</w:t>
              <w:br/>
              <w:t>($)</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lineRule="atLeast" w:line="142" w:before="0" w:after="283"/>
              <w:jc w:val="left"/>
              <w:rPr/>
            </w:pPr>
            <w:r>
              <w:rPr/>
              <w:t>Option</w:t>
              <w:br/>
              <w:t>Awards</w:t>
              <w:br/>
              <w:t>($)</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lineRule="atLeast" w:line="142" w:before="0" w:after="283"/>
              <w:jc w:val="left"/>
              <w:rPr/>
            </w:pPr>
            <w:r>
              <w:rPr/>
              <w:t>Non-Equity</w:t>
              <w:br/>
              <w:t>Incentive Plan</w:t>
              <w:br/>
              <w:t>Compensation</w:t>
              <w:br/>
              <w:t>($)</w:t>
            </w:r>
            <w:r>
              <w:rPr>
                <w:sz w:val="9"/>
              </w:rPr>
              <w:t>(4)</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lineRule="atLeast" w:line="142" w:before="0" w:after="283"/>
              <w:jc w:val="left"/>
              <w:rPr/>
            </w:pPr>
            <w:r>
              <w:rPr/>
              <w:t>All Other</w:t>
              <w:br/>
              <w:t>Compensation</w:t>
              <w:br/>
              <w:t>($)</w:t>
            </w:r>
            <w:r>
              <w:rPr>
                <w:sz w:val="9"/>
              </w:rPr>
              <w:t>(5)</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86" w:type="dxa"/>
            <w:tcBorders/>
            <w:shd w:fill="000000" w:val="clear"/>
            <w:vAlign w:val="center"/>
          </w:tcPr>
          <w:p>
            <w:pPr>
              <w:pStyle w:val="TableContents"/>
              <w:bidi w:val="0"/>
              <w:spacing w:before="0" w:after="283"/>
              <w:jc w:val="left"/>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8" w:type="dxa"/>
            </w:tcMar>
            <w:vAlign w:val="center"/>
          </w:tcPr>
          <w:p>
            <w:pPr>
              <w:pStyle w:val="TableContents"/>
              <w:bidi w:val="0"/>
              <w:spacing w:lineRule="atLeast" w:line="200" w:before="0" w:after="0"/>
              <w:jc w:val="left"/>
              <w:rPr>
                <w:b/>
                <w:sz w:val="18"/>
              </w:rPr>
            </w:pPr>
            <w:r>
              <w:rPr>
                <w:b/>
                <w:sz w:val="18"/>
              </w:rPr>
              <w:t xml:space="preserve">Peter Rawlinson​ </w:t>
            </w:r>
          </w:p>
          <w:p>
            <w:pPr>
              <w:pStyle w:val="TableContents"/>
              <w:bidi w:val="0"/>
              <w:spacing w:lineRule="atLeast" w:line="180" w:before="60" w:after="283"/>
              <w:jc w:val="left"/>
              <w:rPr>
                <w:i/>
              </w:rPr>
            </w:pPr>
            <w:r>
              <w:rPr>
                <w:i/>
              </w:rPr>
              <w:t>Chief Executive Officer and Chief Technology Officer</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lineRule="atLeast" w:line="180" w:before="0" w:after="0"/>
              <w:jc w:val="left"/>
              <w:rPr/>
            </w:pPr>
            <w:r>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80" w:before="0" w:after="0"/>
              <w:jc w:val="left"/>
              <w:rPr/>
            </w:pPr>
            <w:r>
              <w:rPr/>
              <w:t xml:space="preserve">625,000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814,375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51,115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 xml:space="preserve">1,490,490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left"/>
              <w:rPr/>
            </w:pPr>
            <w:r>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left"/>
              <w:rPr/>
            </w:pPr>
            <w:r>
              <w:rPr/>
              <w:t xml:space="preserve">584,615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6,000,000</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233,377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19,223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6,837,215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86" w:type="dxa"/>
            <w:tcBorders>
              <w:bottom w:val="single" w:sz="6" w:space="0" w:color="000000"/>
            </w:tcBorders>
            <w:tcMar>
              <w:bottom w:w="148" w:type="dxa"/>
            </w:tcMar>
            <w:vAlign w:val="center"/>
          </w:tcPr>
          <w:p>
            <w:pPr>
              <w:pStyle w:val="TableContents"/>
              <w:bidi w:val="0"/>
              <w:spacing w:before="0" w:after="283"/>
              <w:jc w:val="left"/>
              <w:rPr/>
            </w:pPr>
            <w:r>
              <w:rPr/>
              <w:t xml:space="preserve">2022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before="0" w:after="283"/>
              <w:jc w:val="left"/>
              <w:rPr/>
            </w:pPr>
            <w:r>
              <w:rPr/>
              <w:t xml:space="preserve">575,000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21,430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148" w:type="dxa"/>
            </w:tcMar>
            <w:vAlign w:val="center"/>
          </w:tcPr>
          <w:p>
            <w:pPr>
              <w:pStyle w:val="TableContents"/>
              <w:bidi w:val="0"/>
              <w:spacing w:before="0" w:after="283"/>
              <w:jc w:val="left"/>
              <w:rPr/>
            </w:pPr>
            <w:r>
              <w:rPr/>
              <w:t xml:space="preserve">596,430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1" w:type="dxa"/>
            </w:tcMar>
            <w:vAlign w:val="center"/>
          </w:tcPr>
          <w:p>
            <w:pPr>
              <w:pStyle w:val="TableContents"/>
              <w:bidi w:val="0"/>
              <w:spacing w:lineRule="atLeast" w:line="200" w:before="0" w:after="0"/>
              <w:jc w:val="left"/>
              <w:rPr>
                <w:b/>
                <w:sz w:val="18"/>
              </w:rPr>
            </w:pPr>
            <w:r>
              <w:rPr>
                <w:b/>
                <w:sz w:val="18"/>
              </w:rPr>
              <w:t xml:space="preserve">Gagan Dhingra​ </w:t>
            </w:r>
          </w:p>
          <w:p>
            <w:pPr>
              <w:pStyle w:val="TableContents"/>
              <w:bidi w:val="0"/>
              <w:spacing w:lineRule="atLeast" w:line="180" w:before="60" w:after="283"/>
              <w:jc w:val="left"/>
              <w:rPr>
                <w:i/>
              </w:rPr>
            </w:pPr>
            <w:r>
              <w:rPr>
                <w:i/>
              </w:rPr>
              <w:t xml:space="preserve">Interim Chief Financial </w:t>
              <w:br/>
              <w:t xml:space="preserve">Officer and Vice </w:t>
              <w:br/>
              <w:t xml:space="preserve">President of </w:t>
              <w:br/>
              <w:t xml:space="preserve">Accounting and </w:t>
              <w:br/>
              <w:t xml:space="preserve">Principal Accounting </w:t>
              <w:br/>
              <w:t>Officer</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lineRule="atLeast" w:line="180" w:before="0" w:after="0"/>
              <w:jc w:val="left"/>
              <w:rPr/>
            </w:pPr>
            <w:r>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80" w:before="0" w:after="0"/>
              <w:jc w:val="left"/>
              <w:rPr/>
            </w:pPr>
            <w:r>
              <w:rPr/>
              <w:t xml:space="preserve">397,231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80" w:before="0" w:after="0"/>
              <w:jc w:val="left"/>
              <w:rPr/>
            </w:pPr>
            <w:r>
              <w:rPr/>
              <w:t>200,000</w:t>
            </w:r>
            <w:r>
              <w:rPr>
                <w:sz w:val="10"/>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 xml:space="preserve">3,287,166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390,900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337,614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 xml:space="preserve">4,612,911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1"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left"/>
              <w:rPr/>
            </w:pPr>
            <w:r>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left"/>
              <w:rPr/>
            </w:pPr>
            <w:r>
              <w:rPr/>
              <w:t xml:space="preserve">377,768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 xml:space="preserve">68,000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2,529,876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430,229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71,319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73,384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3,550,576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1"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86" w:type="dxa"/>
            <w:tcBorders>
              <w:bottom w:val="single" w:sz="6" w:space="0" w:color="000000"/>
            </w:tcBorders>
            <w:tcMar>
              <w:bottom w:w="28" w:type="dxa"/>
            </w:tcMar>
            <w:vAlign w:val="center"/>
          </w:tcPr>
          <w:p>
            <w:pPr>
              <w:pStyle w:val="TableContents"/>
              <w:bidi w:val="0"/>
              <w:spacing w:before="0" w:after="283"/>
              <w:jc w:val="left"/>
              <w:rPr/>
            </w:pPr>
            <w:r>
              <w:rPr/>
              <w:t xml:space="preserve">2022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8" w:type="dxa"/>
            </w:tcMar>
            <w:vAlign w:val="center"/>
          </w:tcPr>
          <w:p>
            <w:pPr>
              <w:pStyle w:val="TableContents"/>
              <w:bidi w:val="0"/>
              <w:spacing w:lineRule="atLeast" w:line="200" w:before="0" w:after="0"/>
              <w:jc w:val="left"/>
              <w:rPr>
                <w:b/>
                <w:sz w:val="18"/>
              </w:rPr>
            </w:pPr>
            <w:r>
              <w:rPr>
                <w:b/>
                <w:sz w:val="18"/>
              </w:rPr>
              <w:t>Marc Winterhoff</w:t>
            </w:r>
          </w:p>
          <w:p>
            <w:pPr>
              <w:pStyle w:val="TableContents"/>
              <w:bidi w:val="0"/>
              <w:spacing w:lineRule="atLeast" w:line="180" w:before="60" w:after="283"/>
              <w:jc w:val="left"/>
              <w:rPr>
                <w:i/>
              </w:rPr>
            </w:pPr>
            <w:r>
              <w:rPr>
                <w:i/>
              </w:rPr>
              <w:t>Chief Operating Officer</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lineRule="atLeast" w:line="180" w:before="0" w:after="0"/>
              <w:jc w:val="left"/>
              <w:rPr/>
            </w:pPr>
            <w:r>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80" w:before="0" w:after="0"/>
              <w:jc w:val="left"/>
              <w:rPr/>
            </w:pPr>
            <w:r>
              <w:rPr/>
              <w:t xml:space="preserve">595,000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 xml:space="preserve">5,320,323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697,757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32,712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 xml:space="preserve">6,645,792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left"/>
              <w:rPr/>
            </w:pPr>
            <w:r>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left"/>
              <w:rPr/>
            </w:pPr>
            <w:r>
              <w:rPr/>
              <w:t xml:space="preserve">22,884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 xml:space="preserve">3,350,000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3,112,651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2,006,087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70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8,491,692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86" w:type="dxa"/>
            <w:tcBorders>
              <w:bottom w:val="single" w:sz="6" w:space="0" w:color="000000"/>
            </w:tcBorders>
            <w:tcMar>
              <w:bottom w:w="148" w:type="dxa"/>
            </w:tcMar>
            <w:vAlign w:val="center"/>
          </w:tcPr>
          <w:p>
            <w:pPr>
              <w:pStyle w:val="TableContents"/>
              <w:bidi w:val="0"/>
              <w:spacing w:before="0" w:after="283"/>
              <w:jc w:val="left"/>
              <w:rPr/>
            </w:pPr>
            <w:r>
              <w:rPr/>
              <w:t xml:space="preserve">2022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14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8" w:type="dxa"/>
            </w:tcMar>
            <w:vAlign w:val="center"/>
          </w:tcPr>
          <w:p>
            <w:pPr>
              <w:pStyle w:val="TableContents"/>
              <w:bidi w:val="0"/>
              <w:spacing w:lineRule="atLeast" w:line="200" w:before="0" w:after="0"/>
              <w:jc w:val="left"/>
              <w:rPr>
                <w:b/>
                <w:sz w:val="18"/>
              </w:rPr>
            </w:pPr>
            <w:r>
              <w:rPr>
                <w:b/>
                <w:sz w:val="18"/>
              </w:rPr>
              <w:t>Eric Bach</w:t>
            </w:r>
          </w:p>
          <w:p>
            <w:pPr>
              <w:pStyle w:val="TableContents"/>
              <w:bidi w:val="0"/>
              <w:spacing w:lineRule="atLeast" w:line="180" w:before="60" w:after="283"/>
              <w:jc w:val="left"/>
              <w:rPr>
                <w:i/>
              </w:rPr>
            </w:pPr>
            <w:r>
              <w:rPr>
                <w:i/>
              </w:rPr>
              <w:t>Senior Vice President, Product and Chief Engineer</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lineRule="atLeast" w:line="180" w:before="0" w:after="0"/>
              <w:jc w:val="left"/>
              <w:rPr/>
            </w:pPr>
            <w:r>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80" w:before="0" w:after="0"/>
              <w:jc w:val="left"/>
              <w:rPr/>
            </w:pPr>
            <w:r>
              <w:rPr/>
              <w:t xml:space="preserve">598,077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 xml:space="preserve">9,861,505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591,236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141,660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 xml:space="preserve">11,192,478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left"/>
              <w:rPr/>
            </w:pPr>
            <w:r>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left"/>
              <w:rPr/>
            </w:pPr>
            <w:r>
              <w:rPr/>
              <w:t xml:space="preserve">534,423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1,000,000</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7,159,781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1,548,832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196,035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872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10,439,943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86" w:type="dxa"/>
            <w:tcBorders>
              <w:bottom w:val="single" w:sz="6" w:space="0" w:color="000000"/>
            </w:tcBorders>
            <w:tcMar>
              <w:bottom w:w="148" w:type="dxa"/>
            </w:tcMar>
            <w:vAlign w:val="center"/>
          </w:tcPr>
          <w:p>
            <w:pPr>
              <w:pStyle w:val="TableContents"/>
              <w:bidi w:val="0"/>
              <w:spacing w:before="0" w:after="283"/>
              <w:jc w:val="left"/>
              <w:rPr/>
            </w:pPr>
            <w:r>
              <w:rPr/>
              <w:t xml:space="preserve">2022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8" w:type="dxa"/>
            </w:tcMar>
            <w:vAlign w:val="center"/>
          </w:tcPr>
          <w:p>
            <w:pPr>
              <w:pStyle w:val="TableContents"/>
              <w:bidi w:val="0"/>
              <w:spacing w:before="0" w:after="283"/>
              <w:jc w:val="left"/>
              <w:rPr/>
            </w:pPr>
            <w:r>
              <w:rPr/>
              <w:t xml:space="preserve">488,942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5,249,436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148" w:type="dxa"/>
            </w:tcMar>
            <w:vAlign w:val="center"/>
          </w:tcPr>
          <w:p>
            <w:pPr>
              <w:pStyle w:val="TableContents"/>
              <w:bidi w:val="0"/>
              <w:spacing w:before="0" w:after="283"/>
              <w:jc w:val="left"/>
              <w:rPr/>
            </w:pPr>
            <w:r>
              <w:rPr/>
              <w:t xml:space="preserve">5,738,378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8" w:type="dxa"/>
            </w:tcMar>
            <w:vAlign w:val="center"/>
          </w:tcPr>
          <w:p>
            <w:pPr>
              <w:pStyle w:val="TableContents"/>
              <w:bidi w:val="0"/>
              <w:spacing w:lineRule="atLeast" w:line="200" w:before="0" w:after="0"/>
              <w:jc w:val="left"/>
              <w:rPr>
                <w:b/>
                <w:sz w:val="18"/>
              </w:rPr>
            </w:pPr>
            <w:r>
              <w:rPr>
                <w:b/>
                <w:sz w:val="18"/>
              </w:rPr>
              <w:t>Michael Bell</w:t>
            </w:r>
          </w:p>
          <w:p>
            <w:pPr>
              <w:pStyle w:val="TableContents"/>
              <w:bidi w:val="0"/>
              <w:spacing w:lineRule="atLeast" w:line="180" w:before="60" w:after="283"/>
              <w:jc w:val="left"/>
              <w:rPr>
                <w:i/>
              </w:rPr>
            </w:pPr>
            <w:r>
              <w:rPr>
                <w:i/>
              </w:rPr>
              <w:t>Former Senior Vice President, Digital</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lineRule="atLeast" w:line="180" w:before="0" w:after="0"/>
              <w:jc w:val="left"/>
              <w:rPr/>
            </w:pPr>
            <w:r>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lineRule="atLeast" w:line="180" w:before="0" w:after="0"/>
              <w:jc w:val="left"/>
              <w:rPr/>
            </w:pPr>
            <w:r>
              <w:rPr/>
              <w:t xml:space="preserve">254,928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180" w:before="0" w:after="0"/>
              <w:jc w:val="left"/>
              <w:rPr/>
            </w:pPr>
            <w:r>
              <w:rPr/>
              <w:t xml:space="preserve">773,388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 xml:space="preserve">1,028,316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left"/>
              <w:rPr/>
            </w:pPr>
            <w:r>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left"/>
              <w:rPr/>
            </w:pPr>
            <w:r>
              <w:rPr/>
              <w:t xml:space="preserve">525,000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7,159,781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1,548,832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73,513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 xml:space="preserve">872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9,307,998 </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left"/>
              <w:rPr/>
            </w:pPr>
            <w:r>
              <w:rPr/>
              <w:t xml:space="preserve">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left"/>
              <w:rPr/>
            </w:pPr>
            <w:r>
              <w:rPr/>
              <w:t xml:space="preserve">512,981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 xml:space="preserve">5,249,436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5,762,417</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principal positions reported in this table reflect each NEO’s title as of December 31,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21">
                <wp:simplePos x="0" y="0"/>
                <wp:positionH relativeFrom="column">
                  <wp:align>left</wp:align>
                </wp:positionH>
                <wp:positionV relativeFrom="line">
                  <wp:align>top</wp:align>
                </wp:positionV>
                <wp:extent cx="91440" cy="180340"/>
                <wp:effectExtent l="0" t="0" r="0" b="0"/>
                <wp:wrapSquare wrapText="right"/>
                <wp:docPr id="214" name="Frame153"/>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Amounts reflect the base salary earned during the applicable year. For additional information, see “Analysis of 2024 Compensation — Base Salary” above. The amounts include base salary increases in 2024 for Mr. Dhingra ($18,000) and Mr. Bach ($45,000). In addition, the amount for Mr. Bell includes accrued vacation upon his separation on May 3, 2024. </w:t>
      </w:r>
      <w:r>
        <mc:AlternateContent>
          <mc:Choice Requires="wps">
            <w:drawing>
              <wp:anchor behindDoc="0" distT="69850" distB="0" distL="0" distR="0" simplePos="0" locked="0" layoutInCell="1" allowOverlap="1" relativeHeight="222">
                <wp:simplePos x="0" y="0"/>
                <wp:positionH relativeFrom="column">
                  <wp:align>left</wp:align>
                </wp:positionH>
                <wp:positionV relativeFrom="line">
                  <wp:align>top</wp:align>
                </wp:positionV>
                <wp:extent cx="91440" cy="180340"/>
                <wp:effectExtent l="0" t="0" r="0" b="0"/>
                <wp:wrapSquare wrapText="right"/>
                <wp:docPr id="215" name="Frame154"/>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“Stock Awards” column reflects the aggregate grant date fair value of RSUs and PSUs granted, and the “Option Awards” column reflects the aggregate grant date value of stock options granted, in each case, computed in accordance with FASB ASC Topic 718. The assumptions used to calculate the awards are disclosed in Footnote 10 to the audited consolidated financial statements included in the Company’s Annual Report on Form 10-K for the fiscal year ended December 31, 2024. PSU values in the Stock Awards column are based on performance achieved at target levels for the PSUs, which was the probable outcome of performance conditions as of the grant date for the PSUs. The grant date fair value of each NEO’s PSUs for fiscal year 2024 if earned at maximum levels was $2,249,998; $9,000,000; and $8,100,000 for Messrs. Dhingra, Winterhoff and Bach, respectively.</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3">
                <wp:simplePos x="0" y="0"/>
                <wp:positionH relativeFrom="column">
                  <wp:align>left</wp:align>
                </wp:positionH>
                <wp:positionV relativeFrom="line">
                  <wp:align>top</wp:align>
                </wp:positionV>
                <wp:extent cx="91440" cy="180340"/>
                <wp:effectExtent l="0" t="0" r="0" b="0"/>
                <wp:wrapSquare wrapText="right"/>
                <wp:docPr id="216" name="Frame155"/>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This column reflects amounts earned under our Annual Incentive Plan Program. </w:t>
      </w:r>
      <w:r>
        <mc:AlternateContent>
          <mc:Choice Requires="wps">
            <w:drawing>
              <wp:anchor behindDoc="0" distT="69850" distB="0" distL="0" distR="0" simplePos="0" locked="0" layoutInCell="1" allowOverlap="1" relativeHeight="224">
                <wp:simplePos x="0" y="0"/>
                <wp:positionH relativeFrom="column">
                  <wp:align>left</wp:align>
                </wp:positionH>
                <wp:positionV relativeFrom="line">
                  <wp:align>top</wp:align>
                </wp:positionV>
                <wp:extent cx="91440" cy="180340"/>
                <wp:effectExtent l="0" t="0" r="0" b="0"/>
                <wp:wrapSquare wrapText="right"/>
                <wp:docPr id="217" name="Frame15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(4)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(4)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value includes the following personal perquisites and other compensation:</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91440" cy="180340"/>
                <wp:effectExtent l="0" t="0" r="0" b="0"/>
                <wp:wrapSquare wrapText="right"/>
                <wp:docPr id="218" name="Frame15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(5)</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(5)</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0" w:type="dxa"/>
          <w:right w:w="0" w:type="dxa"/>
        </w:tblCellMar>
      </w:tblPr>
      <w:tblGrid>
        <w:gridCol w:w="124"/>
        <w:gridCol w:w="2245"/>
        <w:gridCol w:w="109"/>
        <w:gridCol w:w="109"/>
        <w:gridCol w:w="1202"/>
        <w:gridCol w:w="109"/>
        <w:gridCol w:w="109"/>
        <w:gridCol w:w="1282"/>
        <w:gridCol w:w="109"/>
        <w:gridCol w:w="109"/>
        <w:gridCol w:w="1208"/>
        <w:gridCol w:w="109"/>
        <w:gridCol w:w="109"/>
        <w:gridCol w:w="1171"/>
        <w:gridCol w:w="109"/>
        <w:gridCol w:w="109"/>
        <w:gridCol w:w="1007"/>
        <w:gridCol w:w="156"/>
      </w:tblGrid>
      <w:tr>
        <w:trPr/>
        <w:tc>
          <w:tcPr>
            <w:tcW w:w="124" w:type="dxa"/>
            <w:tcBorders/>
            <w:shd w:fill="000000" w:val="clear"/>
            <w:vAlign w:val="center"/>
          </w:tcPr>
          <w:p>
            <w:pPr>
              <w:pStyle w:val="TableContents"/>
              <w:bidi w:val="0"/>
              <w:spacing w:before="0" w:after="283"/>
              <w:jc w:val="left"/>
              <w:rPr/>
            </w:pPr>
            <w:r>
              <w:rPr/>
              <w:t>​</w:t>
            </w:r>
          </w:p>
        </w:tc>
        <w:tc>
          <w:tcPr>
            <w:tcW w:w="2245"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02" w:type="dxa"/>
            <w:tcBorders/>
            <w:shd w:fill="000000" w:val="clear"/>
            <w:vAlign w:val="center"/>
          </w:tcPr>
          <w:p>
            <w:pPr>
              <w:pStyle w:val="TableContents"/>
              <w:bidi w:val="0"/>
              <w:spacing w:before="0" w:after="283"/>
              <w:jc w:val="left"/>
              <w:rPr/>
            </w:pPr>
            <w:r>
              <w:rPr/>
              <w:t>Company-</w:t>
              <w:br/>
              <w:t>Provided</w:t>
              <w:br/>
              <w:t xml:space="preserve">Vehicle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82" w:type="dxa"/>
            <w:tcBorders/>
            <w:shd w:fill="000000" w:val="clear"/>
            <w:vAlign w:val="center"/>
          </w:tcPr>
          <w:p>
            <w:pPr>
              <w:pStyle w:val="TableContents"/>
              <w:bidi w:val="0"/>
              <w:spacing w:before="0" w:after="283"/>
              <w:jc w:val="left"/>
              <w:rPr/>
            </w:pPr>
            <w:r>
              <w:rPr/>
              <w:t>Employee</w:t>
              <w:br/>
              <w:t>Purchase</w:t>
              <w:br/>
              <w:t>Program</w:t>
              <w:br/>
              <w:t xml:space="preserve">Buyback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08" w:type="dxa"/>
            <w:tcBorders/>
            <w:shd w:fill="000000" w:val="clear"/>
            <w:vAlign w:val="center"/>
          </w:tcPr>
          <w:p>
            <w:pPr>
              <w:pStyle w:val="TableContents"/>
              <w:bidi w:val="0"/>
              <w:spacing w:before="0" w:after="283"/>
              <w:jc w:val="left"/>
              <w:rPr/>
            </w:pPr>
            <w:r>
              <w:rPr/>
              <w:t>Tax</w:t>
              <w:br/>
              <w:t>Preparation</w:t>
              <w:br/>
              <w:t xml:space="preserve">Stipend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71" w:type="dxa"/>
            <w:tcBorders/>
            <w:shd w:fill="000000" w:val="clear"/>
            <w:vAlign w:val="center"/>
          </w:tcPr>
          <w:p>
            <w:pPr>
              <w:pStyle w:val="TableContents"/>
              <w:bidi w:val="0"/>
              <w:spacing w:lineRule="atLeast" w:line="142" w:before="0" w:after="283"/>
              <w:jc w:val="left"/>
              <w:rPr/>
            </w:pPr>
            <w:r>
              <w:rPr/>
              <w:t xml:space="preserve">All Other </w:t>
              <w:br/>
              <w:t xml:space="preserve">Perquisites </w:t>
              <w:br/>
              <w:t>($)</w:t>
            </w:r>
            <w:r>
              <w:rPr>
                <w:sz w:val="9"/>
              </w:rPr>
              <w:t>(h)</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07" w:type="dxa"/>
            <w:tcBorders/>
            <w:shd w:fill="000000" w:val="clear"/>
            <w:vAlign w:val="center"/>
          </w:tcPr>
          <w:p>
            <w:pPr>
              <w:pStyle w:val="TableContents"/>
              <w:bidi w:val="0"/>
              <w:spacing w:before="0" w:after="0"/>
              <w:jc w:val="left"/>
              <w:rPr/>
            </w:pPr>
            <w:r>
              <w:rPr/>
              <w:t xml:space="preserve">Other ($)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45" w:type="dxa"/>
            <w:tcBorders>
              <w:bottom w:val="single" w:sz="6" w:space="0" w:color="000000"/>
            </w:tcBorders>
            <w:tcMar>
              <w:bottom w:w="148"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2" w:type="dxa"/>
            <w:tcBorders>
              <w:bottom w:val="single" w:sz="6" w:space="0" w:color="000000"/>
            </w:tcBorders>
            <w:tcMar>
              <w:bottom w:w="148" w:type="dxa"/>
            </w:tcMar>
            <w:vAlign w:val="center"/>
          </w:tcPr>
          <w:p>
            <w:pPr>
              <w:pStyle w:val="TableContents"/>
              <w:bidi w:val="0"/>
              <w:spacing w:before="0" w:after="283"/>
              <w:jc w:val="left"/>
              <w:rPr/>
            </w:pPr>
            <w:r>
              <w:rPr/>
              <w:t>29,781</w:t>
            </w:r>
            <w:r>
              <w:rPr>
                <w:sz w:val="10"/>
              </w:rPr>
              <w:t>(a)</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148" w:type="dxa"/>
            </w:tcMar>
            <w:vAlign w:val="center"/>
          </w:tcPr>
          <w:p>
            <w:pPr>
              <w:pStyle w:val="TableContents"/>
              <w:bidi w:val="0"/>
              <w:spacing w:before="0" w:after="283"/>
              <w:jc w:val="left"/>
              <w:rPr/>
            </w:pPr>
            <w:r>
              <w:rPr/>
              <w:t xml:space="preserve">20,000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71" w:type="dxa"/>
            <w:tcBorders>
              <w:bottom w:val="single" w:sz="6" w:space="0" w:color="000000"/>
            </w:tcBorders>
            <w:tcMar>
              <w:bottom w:w="148" w:type="dxa"/>
            </w:tcMar>
            <w:vAlign w:val="center"/>
          </w:tcPr>
          <w:p>
            <w:pPr>
              <w:pStyle w:val="TableContents"/>
              <w:bidi w:val="0"/>
              <w:spacing w:before="0" w:after="283"/>
              <w:jc w:val="left"/>
              <w:rPr/>
            </w:pPr>
            <w:r>
              <w:rPr/>
              <w:t xml:space="preserve">1,334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07"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45" w:type="dxa"/>
            <w:tcBorders>
              <w:bottom w:val="single" w:sz="6" w:space="0" w:color="000000"/>
            </w:tcBorders>
            <w:tcMar>
              <w:bottom w:w="14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2" w:type="dxa"/>
            <w:tcBorders>
              <w:bottom w:val="single" w:sz="6" w:space="0" w:color="000000"/>
            </w:tcBorders>
            <w:tcMar>
              <w:bottom w:w="148" w:type="dxa"/>
            </w:tcMar>
            <w:vAlign w:val="center"/>
          </w:tcPr>
          <w:p>
            <w:pPr>
              <w:pStyle w:val="TableContents"/>
              <w:bidi w:val="0"/>
              <w:spacing w:before="0" w:after="283"/>
              <w:jc w:val="left"/>
              <w:rPr/>
            </w:pPr>
            <w:r>
              <w:rPr/>
              <w:t>20,752</w:t>
            </w:r>
            <w:r>
              <w:rPr>
                <w:sz w:val="10"/>
              </w:rPr>
              <w:t>(b)</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2" w:type="dxa"/>
            <w:tcBorders>
              <w:bottom w:val="single" w:sz="6" w:space="0" w:color="000000"/>
            </w:tcBorders>
            <w:tcMar>
              <w:bottom w:w="148" w:type="dxa"/>
            </w:tcMar>
            <w:vAlign w:val="center"/>
          </w:tcPr>
          <w:p>
            <w:pPr>
              <w:pStyle w:val="TableContents"/>
              <w:bidi w:val="0"/>
              <w:spacing w:before="0" w:after="283"/>
              <w:jc w:val="left"/>
              <w:rPr/>
            </w:pPr>
            <w:r>
              <w:rPr/>
              <w:t>15,918</w:t>
            </w:r>
            <w:r>
              <w:rPr>
                <w:sz w:val="10"/>
              </w:rPr>
              <w:t>(c)</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71" w:type="dxa"/>
            <w:tcBorders>
              <w:bottom w:val="single" w:sz="6" w:space="0" w:color="000000"/>
            </w:tcBorders>
            <w:tcMar>
              <w:bottom w:w="148" w:type="dxa"/>
            </w:tcMar>
            <w:vAlign w:val="center"/>
          </w:tcPr>
          <w:p>
            <w:pPr>
              <w:pStyle w:val="TableContents"/>
              <w:bidi w:val="0"/>
              <w:spacing w:before="0" w:after="283"/>
              <w:jc w:val="left"/>
              <w:rPr/>
            </w:pPr>
            <w:r>
              <w:rPr/>
              <w:t xml:space="preserve">944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07" w:type="dxa"/>
            <w:tcBorders>
              <w:bottom w:val="single" w:sz="6" w:space="0" w:color="000000"/>
            </w:tcBorders>
            <w:tcMar>
              <w:bottom w:w="148" w:type="dxa"/>
            </w:tcMar>
            <w:vAlign w:val="center"/>
          </w:tcPr>
          <w:p>
            <w:pPr>
              <w:pStyle w:val="TableContents"/>
              <w:bidi w:val="0"/>
              <w:spacing w:before="0" w:after="283"/>
              <w:jc w:val="left"/>
              <w:rPr/>
            </w:pPr>
            <w:r>
              <w:rPr/>
              <w:t>300,000</w:t>
            </w:r>
            <w:r>
              <w:rPr>
                <w:sz w:val="10"/>
              </w:rPr>
              <w:t>(f)</w:t>
            </w:r>
            <w:r>
              <w:rPr/>
              <w:t xml:space="preserve">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45" w:type="dxa"/>
            <w:tcBorders>
              <w:bottom w:val="single" w:sz="6" w:space="0" w:color="000000"/>
            </w:tcBorders>
            <w:tcMar>
              <w:bottom w:w="148"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2" w:type="dxa"/>
            <w:tcBorders>
              <w:bottom w:val="single" w:sz="6" w:space="0" w:color="000000"/>
            </w:tcBorders>
            <w:tcMar>
              <w:bottom w:w="148" w:type="dxa"/>
            </w:tcMar>
            <w:vAlign w:val="center"/>
          </w:tcPr>
          <w:p>
            <w:pPr>
              <w:pStyle w:val="TableContents"/>
              <w:bidi w:val="0"/>
              <w:spacing w:before="0" w:after="283"/>
              <w:jc w:val="left"/>
              <w:rPr/>
            </w:pPr>
            <w:r>
              <w:rPr/>
              <w:t>28,942</w:t>
            </w:r>
            <w:r>
              <w:rPr>
                <w:sz w:val="10"/>
              </w:rPr>
              <w:t>(d)</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71" w:type="dxa"/>
            <w:tcBorders>
              <w:bottom w:val="single" w:sz="6" w:space="0" w:color="000000"/>
            </w:tcBorders>
            <w:tcMar>
              <w:bottom w:w="148" w:type="dxa"/>
            </w:tcMar>
            <w:vAlign w:val="center"/>
          </w:tcPr>
          <w:p>
            <w:pPr>
              <w:pStyle w:val="TableContents"/>
              <w:bidi w:val="0"/>
              <w:spacing w:before="0" w:after="283"/>
              <w:jc w:val="left"/>
              <w:rPr/>
            </w:pPr>
            <w:r>
              <w:rPr/>
              <w:t xml:space="preserve">3,770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07"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45" w:type="dxa"/>
            <w:tcBorders>
              <w:bottom w:val="single" w:sz="6" w:space="0" w:color="000000"/>
            </w:tcBorders>
            <w:tcMar>
              <w:bottom w:w="14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2" w:type="dxa"/>
            <w:tcBorders>
              <w:bottom w:val="single" w:sz="6" w:space="0" w:color="000000"/>
            </w:tcBorders>
            <w:tcMar>
              <w:bottom w:w="148" w:type="dxa"/>
            </w:tcMar>
            <w:vAlign w:val="center"/>
          </w:tcPr>
          <w:p>
            <w:pPr>
              <w:pStyle w:val="TableContents"/>
              <w:bidi w:val="0"/>
              <w:spacing w:before="0" w:after="283"/>
              <w:jc w:val="left"/>
              <w:rPr/>
            </w:pPr>
            <w:r>
              <w:rPr/>
              <w:t>138,330</w:t>
            </w:r>
            <w:r>
              <w:rPr>
                <w:sz w:val="10"/>
              </w:rPr>
              <w: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71" w:type="dxa"/>
            <w:tcBorders>
              <w:bottom w:val="single" w:sz="6" w:space="0" w:color="000000"/>
            </w:tcBorders>
            <w:tcMar>
              <w:bottom w:w="148" w:type="dxa"/>
            </w:tcMar>
            <w:vAlign w:val="center"/>
          </w:tcPr>
          <w:p>
            <w:pPr>
              <w:pStyle w:val="TableContents"/>
              <w:bidi w:val="0"/>
              <w:spacing w:before="0" w:after="283"/>
              <w:jc w:val="left"/>
              <w:rPr/>
            </w:pPr>
            <w:r>
              <w:rPr/>
              <w:t xml:space="preserve">3,330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07"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45" w:type="dxa"/>
            <w:tcBorders>
              <w:bottom w:val="single" w:sz="6" w:space="0" w:color="000000"/>
            </w:tcBorders>
            <w:tcMar>
              <w:bottom w:w="148"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2"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2"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08"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71" w:type="dxa"/>
            <w:tcBorders>
              <w:bottom w:val="single" w:sz="6" w:space="0" w:color="000000"/>
            </w:tcBorders>
            <w:tcMar>
              <w:bottom w:w="148" w:type="dxa"/>
            </w:tcMar>
            <w:vAlign w:val="center"/>
          </w:tcPr>
          <w:p>
            <w:pPr>
              <w:pStyle w:val="TableContents"/>
              <w:bidi w:val="0"/>
              <w:spacing w:before="0" w:after="283"/>
              <w:jc w:val="left"/>
              <w:rPr/>
            </w:pPr>
            <w:r>
              <w:rPr/>
              <w:t xml:space="preserve">337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07" w:type="dxa"/>
            <w:tcBorders>
              <w:bottom w:val="single" w:sz="6" w:space="0" w:color="000000"/>
            </w:tcBorders>
            <w:tcMar>
              <w:bottom w:w="148" w:type="dxa"/>
            </w:tcMar>
            <w:vAlign w:val="center"/>
          </w:tcPr>
          <w:p>
            <w:pPr>
              <w:pStyle w:val="TableContents"/>
              <w:bidi w:val="0"/>
              <w:spacing w:before="0" w:after="283"/>
              <w:jc w:val="left"/>
              <w:rPr/>
            </w:pPr>
            <w:r>
              <w:rPr/>
              <w:t>773,051</w:t>
            </w:r>
            <w:r>
              <w:rPr>
                <w:sz w:val="10"/>
              </w:rPr>
              <w:t>(g)</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1033"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Income includes $14,688 for the Company-provided Lucid Air vehicle and $15,093 for the related tax gross-up.</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114300" distR="0" simplePos="0" locked="0" layoutInCell="1" allowOverlap="1" relativeHeight="226">
                <wp:simplePos x="0" y="0"/>
                <wp:positionH relativeFrom="column">
                  <wp:align>left</wp:align>
                </wp:positionH>
                <wp:positionV relativeFrom="line">
                  <wp:align>top</wp:align>
                </wp:positionV>
                <wp:extent cx="84455" cy="180340"/>
                <wp:effectExtent l="0" t="0" r="0" b="0"/>
                <wp:wrapSquare wrapText="right"/>
                <wp:docPr id="219" name="Frame158"/>
                <a:graphic xmlns:a="http://schemas.openxmlformats.org/drawingml/2006/main">
                  <a:graphicData uri="http://schemas.microsoft.com/office/word/2010/wordprocessingShape">
                    <wps:wsp>
                      <wps:cNvSpPr txBox="1"/>
                      <wps:spPr>
                        <a:xfrm>
                          <a:off x="0" y="0"/>
                          <a:ext cx="84455" cy="180340"/>
                        </a:xfrm>
                        <a:prstGeom prst="rect"/>
                        <a:solidFill>
                          <a:srgbClr val="FFFFFF"/>
                        </a:solidFill>
                      </wps:spPr>
                      <wps:txbx>
                        <w:txbxContent>
                          <w:p>
                            <w:pPr>
                              <w:pStyle w:val="TextBody"/>
                              <w:bidi w:val="0"/>
                              <w:spacing w:lineRule="atLeast" w:line="142" w:before="0" w:after="283"/>
                              <w:jc w:val="left"/>
                              <w:rPr>
                                <w:sz w:val="12"/>
                              </w:rPr>
                            </w:pPr>
                            <w:r>
                              <w:rPr>
                                <w:sz w:val="9"/>
                              </w:rPr>
                              <w:t>(a)</w:t>
                            </w:r>
                            <w:r>
                              <w:rPr>
                                <w:sz w:val="12"/>
                              </w:rPr>
                              <w:t xml:space="preserve"> </w:t>
                              <w:br/>
                            </w:r>
                          </w:p>
                        </w:txbxContent>
                      </wps:txbx>
                      <wps:bodyPr anchor="t" lIns="0" tIns="0" rIns="0" bIns="0">
                        <a:noAutofit/>
                      </wps:bodyPr>
                    </wps:wsp>
                  </a:graphicData>
                </a:graphic>
              </wp:anchor>
            </w:drawing>
          </mc:Choice>
          <mc:Fallback>
            <w:pict>
              <v:rect style="position:absolute;rotation:-0;width:6.65pt;height:14.2pt;mso-wrap-distance-left:9pt;mso-wrap-distance-right:0pt;mso-wrap-distance-top:17pt;mso-wrap-distance-bottom:0pt;margin-top:17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(a)</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4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Income includes $10,196 for the Company-provided Lucid Air vehicle and $10,556 for the related tax gross-up.</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27">
                <wp:simplePos x="0" y="0"/>
                <wp:positionH relativeFrom="column">
                  <wp:align>left</wp:align>
                </wp:positionH>
                <wp:positionV relativeFrom="line">
                  <wp:align>top</wp:align>
                </wp:positionV>
                <wp:extent cx="91440" cy="180340"/>
                <wp:effectExtent l="0" t="0" r="0" b="0"/>
                <wp:wrapSquare wrapText="right"/>
                <wp:docPr id="220" name="Frame15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(b)</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(b)</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33"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Income inclusion $7,664 for the Company repurchase of the employee-owned Lucid Air vehicle and $8,254 for the related tax gross-up.</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28">
                <wp:simplePos x="0" y="0"/>
                <wp:positionH relativeFrom="column">
                  <wp:align>left</wp:align>
                </wp:positionH>
                <wp:positionV relativeFrom="line">
                  <wp:align>top</wp:align>
                </wp:positionV>
                <wp:extent cx="84455" cy="180340"/>
                <wp:effectExtent l="0" t="0" r="0" b="0"/>
                <wp:wrapSquare wrapText="right"/>
                <wp:docPr id="221" name="Frame160"/>
                <a:graphic xmlns:a="http://schemas.openxmlformats.org/drawingml/2006/main">
                  <a:graphicData uri="http://schemas.microsoft.com/office/word/2010/wordprocessingShape">
                    <wps:wsp>
                      <wps:cNvSpPr txBox="1"/>
                      <wps:spPr>
                        <a:xfrm>
                          <a:off x="0" y="0"/>
                          <a:ext cx="84455" cy="180340"/>
                        </a:xfrm>
                        <a:prstGeom prst="rect"/>
                        <a:solidFill>
                          <a:srgbClr val="FFFFFF"/>
                        </a:solidFill>
                      </wps:spPr>
                      <wps:txbx>
                        <w:txbxContent>
                          <w:p>
                            <w:pPr>
                              <w:pStyle w:val="TextBody"/>
                              <w:bidi w:val="0"/>
                              <w:spacing w:lineRule="atLeast" w:line="142" w:before="0" w:after="283"/>
                              <w:jc w:val="left"/>
                              <w:rPr>
                                <w:sz w:val="12"/>
                              </w:rPr>
                            </w:pPr>
                            <w:r>
                              <w:rPr>
                                <w:sz w:val="9"/>
                              </w:rPr>
                              <w:t>(c)</w:t>
                            </w:r>
                            <w:r>
                              <w:rPr>
                                <w:sz w:val="12"/>
                              </w:rPr>
                              <w:t xml:space="preserve"> </w:t>
                              <w:br/>
                            </w:r>
                          </w:p>
                        </w:txbxContent>
                      </wps:txbx>
                      <wps:bodyPr anchor="t" lIns="0" tIns="0" rIns="0" bIns="0">
                        <a:noAutofit/>
                      </wps:bodyPr>
                    </wps:wsp>
                  </a:graphicData>
                </a:graphic>
              </wp:anchor>
            </w:drawing>
          </mc:Choice>
          <mc:Fallback>
            <w:pict>
              <v:rect style="position:absolute;rotation:-0;width:6.65pt;height:14.2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(c)</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4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Income includes $14,274 for the Company-provided Lucid Air vehicle and $14,668 for the related tax gross-up.</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29">
                <wp:simplePos x="0" y="0"/>
                <wp:positionH relativeFrom="column">
                  <wp:align>left</wp:align>
                </wp:positionH>
                <wp:positionV relativeFrom="line">
                  <wp:align>top</wp:align>
                </wp:positionV>
                <wp:extent cx="91440" cy="180340"/>
                <wp:effectExtent l="0" t="0" r="0" b="0"/>
                <wp:wrapSquare wrapText="right"/>
                <wp:docPr id="222" name="Frame16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(d)</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(d)</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3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Income inclusion $65,361 for the Company repurchase of the employee-owned Lucid Air vehicle and $72,969 for the related tax gross-up.</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30">
                <wp:simplePos x="0" y="0"/>
                <wp:positionH relativeFrom="column">
                  <wp:align>left</wp:align>
                </wp:positionH>
                <wp:positionV relativeFrom="line">
                  <wp:align>top</wp:align>
                </wp:positionV>
                <wp:extent cx="85090" cy="180340"/>
                <wp:effectExtent l="0" t="0" r="0" b="0"/>
                <wp:wrapSquare wrapText="right"/>
                <wp:docPr id="223" name="Frame162"/>
                <a:graphic xmlns:a="http://schemas.openxmlformats.org/drawingml/2006/main">
                  <a:graphicData uri="http://schemas.microsoft.com/office/word/2010/wordprocessingShape">
                    <wps:wsp>
                      <wps:cNvSpPr txBox="1"/>
                      <wps:spPr>
                        <a:xfrm>
                          <a:off x="0" y="0"/>
                          <a:ext cx="85090" cy="180340"/>
                        </a:xfrm>
                        <a:prstGeom prst="rect"/>
                        <a:solidFill>
                          <a:srgbClr val="FFFFFF"/>
                        </a:solidFill>
                      </wps:spPr>
                      <wps:txbx>
                        <w:txbxContent>
                          <w:p>
                            <w:pPr>
                              <w:pStyle w:val="TextBody"/>
                              <w:bidi w:val="0"/>
                              <w:spacing w:lineRule="atLeast" w:line="142" w:before="0" w:after="283"/>
                              <w:jc w:val="left"/>
                              <w:rPr>
                                <w:sz w:val="12"/>
                              </w:rPr>
                            </w:pPr>
                            <w:r>
                              <w:rPr>
                                <w:sz w:val="9"/>
                              </w:rPr>
                              <w:t>(e)</w:t>
                            </w:r>
                            <w:r>
                              <w:rPr>
                                <w:sz w:val="12"/>
                              </w:rPr>
                              <w:t xml:space="preserve"> </w:t>
                              <w:br/>
                            </w:r>
                          </w:p>
                        </w:txbxContent>
                      </wps:txbx>
                      <wps:bodyPr anchor="t" lIns="0" tIns="0" rIns="0" bIns="0">
                        <a:noAutofit/>
                      </wps:bodyPr>
                    </wps:wsp>
                  </a:graphicData>
                </a:graphic>
              </wp:anchor>
            </w:drawing>
          </mc:Choice>
          <mc:Fallback>
            <w:pict>
              <v:rect style="position:absolute;rotation:-0;width:6.7pt;height:14.2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(e)</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18"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Mr. Dhingra received a monthly stipend of  $25,000 during his tenure as our Interim Chief Financial Officer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31">
                <wp:simplePos x="0" y="0"/>
                <wp:positionH relativeFrom="column">
                  <wp:align>left</wp:align>
                </wp:positionH>
                <wp:positionV relativeFrom="line">
                  <wp:align>top</wp:align>
                </wp:positionV>
                <wp:extent cx="74930" cy="270510"/>
                <wp:effectExtent l="0" t="0" r="0" b="0"/>
                <wp:wrapSquare wrapText="right"/>
                <wp:docPr id="224" name="Frame163"/>
                <a:graphic xmlns:a="http://schemas.openxmlformats.org/drawingml/2006/main">
                  <a:graphicData uri="http://schemas.microsoft.com/office/word/2010/wordprocessingShape">
                    <wps:wsp>
                      <wps:cNvSpPr txBox="1"/>
                      <wps:spPr>
                        <a:xfrm>
                          <a:off x="0" y="0"/>
                          <a:ext cx="74930" cy="270510"/>
                        </a:xfrm>
                        <a:prstGeom prst="rect"/>
                        <a:solidFill>
                          <a:srgbClr val="FFFFFF"/>
                        </a:solidFill>
                      </wps:spPr>
                      <wps:txbx>
                        <w:txbxContent>
                          <w:p>
                            <w:pPr>
                              <w:pStyle w:val="TextBody"/>
                              <w:bidi w:val="0"/>
                              <w:spacing w:lineRule="atLeast" w:line="142" w:before="0" w:after="283"/>
                              <w:jc w:val="left"/>
                              <w:rPr>
                                <w:sz w:val="12"/>
                              </w:rPr>
                            </w:pPr>
                            <w:r>
                              <w:rPr>
                                <w:sz w:val="9"/>
                              </w:rPr>
                              <w:t>(f)</w:t>
                            </w:r>
                            <w:r>
                              <w:rPr>
                                <w:sz w:val="12"/>
                              </w:rPr>
                              <w:t xml:space="preserve"> </w:t>
                              <w:br/>
                            </w:r>
                          </w:p>
                        </w:txbxContent>
                      </wps:txbx>
                      <wps:bodyPr anchor="t" lIns="0" tIns="0" rIns="0" bIns="0">
                        <a:noAutofit/>
                      </wps:bodyPr>
                    </wps:wsp>
                  </a:graphicData>
                </a:graphic>
              </wp:anchor>
            </w:drawing>
          </mc:Choice>
          <mc:Fallback>
            <w:pict>
              <v:rect style="position:absolute;rotation:-0;width:5.9pt;height:21.3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(f)</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45"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 connection with his separation on May 3, 2024, Mr. Bell received salary continuation for nine months ($393,750); consulting fee for the period from May 3, 2024 to August 12, 2024 ($125,000); the incremental value of RSUs acceleration ($183,758); Company-paid healthcare continuation for nine months ($45,543); and Company-paid costs for 2024 tax preparation ($25,000).</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32">
                <wp:simplePos x="0" y="0"/>
                <wp:positionH relativeFrom="column">
                  <wp:align>left</wp:align>
                </wp:positionH>
                <wp:positionV relativeFrom="line">
                  <wp:align>top</wp:align>
                </wp:positionV>
                <wp:extent cx="92075" cy="180340"/>
                <wp:effectExtent l="0" t="0" r="0" b="0"/>
                <wp:wrapSquare wrapText="right"/>
                <wp:docPr id="225" name="Frame164"/>
                <a:graphic xmlns:a="http://schemas.openxmlformats.org/drawingml/2006/main">
                  <a:graphicData uri="http://schemas.microsoft.com/office/word/2010/wordprocessingShape">
                    <wps:wsp>
                      <wps:cNvSpPr txBox="1"/>
                      <wps:spPr>
                        <a:xfrm>
                          <a:off x="0" y="0"/>
                          <a:ext cx="92075" cy="180340"/>
                        </a:xfrm>
                        <a:prstGeom prst="rect"/>
                        <a:solidFill>
                          <a:srgbClr val="FFFFFF"/>
                        </a:solidFill>
                      </wps:spPr>
                      <wps:txbx>
                        <w:txbxContent>
                          <w:p>
                            <w:pPr>
                              <w:pStyle w:val="TextBody"/>
                              <w:bidi w:val="0"/>
                              <w:spacing w:lineRule="atLeast" w:line="142" w:before="0" w:after="283"/>
                              <w:jc w:val="left"/>
                              <w:rPr>
                                <w:sz w:val="12"/>
                              </w:rPr>
                            </w:pPr>
                            <w:r>
                              <w:rPr>
                                <w:sz w:val="9"/>
                              </w:rPr>
                              <w:t>(g)</w:t>
                            </w:r>
                            <w:r>
                              <w:rPr>
                                <w:sz w:val="12"/>
                              </w:rPr>
                              <w:t xml:space="preserve"> </w:t>
                              <w:br/>
                            </w:r>
                          </w:p>
                        </w:txbxContent>
                      </wps:txbx>
                      <wps:bodyPr anchor="t" lIns="0" tIns="0" rIns="0" bIns="0">
                        <a:noAutofit/>
                      </wps:bodyPr>
                    </wps:wsp>
                  </a:graphicData>
                </a:graphic>
              </wp:anchor>
            </w:drawing>
          </mc:Choice>
          <mc:Fallback>
            <w:pict>
              <v:rect style="position:absolute;rotation:-0;width:7.25pt;height:14.2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(g)</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41"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Amount includes communications stipends and executive disability premiums for each NEO, as well as the incremental cost of an executive physical benefit for Messrs. Winterhoff and Bach.</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33">
                <wp:simplePos x="0" y="0"/>
                <wp:positionH relativeFrom="column">
                  <wp:align>left</wp:align>
                </wp:positionH>
                <wp:positionV relativeFrom="line">
                  <wp:align>top</wp:align>
                </wp:positionV>
                <wp:extent cx="89535" cy="180340"/>
                <wp:effectExtent l="0" t="0" r="0" b="0"/>
                <wp:wrapSquare wrapText="right"/>
                <wp:docPr id="226" name="Frame165"/>
                <a:graphic xmlns:a="http://schemas.openxmlformats.org/drawingml/2006/main">
                  <a:graphicData uri="http://schemas.microsoft.com/office/word/2010/wordprocessingShape">
                    <wps:wsp>
                      <wps:cNvSpPr txBox="1"/>
                      <wps:spPr>
                        <a:xfrm>
                          <a:off x="0" y="0"/>
                          <a:ext cx="89535" cy="180340"/>
                        </a:xfrm>
                        <a:prstGeom prst="rect"/>
                        <a:solidFill>
                          <a:srgbClr val="FFFFFF"/>
                        </a:solidFill>
                      </wps:spPr>
                      <wps:txbx>
                        <w:txbxContent>
                          <w:p>
                            <w:pPr>
                              <w:pStyle w:val="TextBody"/>
                              <w:bidi w:val="0"/>
                              <w:spacing w:lineRule="atLeast" w:line="142" w:before="0" w:after="283"/>
                              <w:jc w:val="left"/>
                              <w:rPr>
                                <w:sz w:val="12"/>
                              </w:rPr>
                            </w:pPr>
                            <w:r>
                              <w:rPr>
                                <w:sz w:val="9"/>
                              </w:rPr>
                              <w:t>(h)</w:t>
                            </w:r>
                            <w:r>
                              <w:rPr>
                                <w:sz w:val="12"/>
                              </w:rPr>
                              <w:t xml:space="preserve"> </w:t>
                              <w:br/>
                            </w:r>
                          </w:p>
                        </w:txbxContent>
                      </wps:txbx>
                      <wps:bodyPr anchor="t" lIns="0" tIns="0" rIns="0" bIns="0">
                        <a:noAutofit/>
                      </wps:bodyPr>
                    </wps:wsp>
                  </a:graphicData>
                </a:graphic>
              </wp:anchor>
            </w:drawing>
          </mc:Choice>
          <mc:Fallback>
            <w:pict>
              <v:rect style="position:absolute;rotation:-0;width:7.05pt;height:14.2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(h)</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amounts reflect one-time bonus payments to Mr. Rawlinson and Mr. Bach for achieving a key milestone in the public reveal of the Lucid Gravity product line. Although approved and paid in 2024, these bonus payments were recognized in 2023 to reward years of development that led to the public reveal of the Lucid Gravity in 2023.</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4">
                <wp:simplePos x="0" y="0"/>
                <wp:positionH relativeFrom="column">
                  <wp:align>left</wp:align>
                </wp:positionH>
                <wp:positionV relativeFrom="line">
                  <wp:align>top</wp:align>
                </wp:positionV>
                <wp:extent cx="91440" cy="180340"/>
                <wp:effectExtent l="0" t="0" r="0" b="0"/>
                <wp:wrapSquare wrapText="right"/>
                <wp:docPr id="227" name="Frame16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(6)</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(6)</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Mr. Dhingra received a quarterly bonus of  $50,000 during his tenure as our Interim Chief Financial Officer in 2024. </w:t>
      </w:r>
      <w:r>
        <mc:AlternateContent>
          <mc:Choice Requires="wps">
            <w:drawing>
              <wp:anchor behindDoc="0" distT="69850" distB="0" distL="0" distR="0" simplePos="0" locked="0" layoutInCell="1" allowOverlap="1" relativeHeight="235">
                <wp:simplePos x="0" y="0"/>
                <wp:positionH relativeFrom="column">
                  <wp:align>left</wp:align>
                </wp:positionH>
                <wp:positionV relativeFrom="line">
                  <wp:align>top</wp:align>
                </wp:positionV>
                <wp:extent cx="91440" cy="180340"/>
                <wp:effectExtent l="0" t="0" r="0" b="0"/>
                <wp:wrapSquare wrapText="right"/>
                <wp:docPr id="228" name="Frame16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(7)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(7)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GOP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Grants of Plan-Based Awards</w:t>
      </w:r>
      <w:r>
        <w:rPr>
          <w:rFonts w:ascii="Times New Roman;Times;serif" w:hAnsi="Times New Roman;Times;serif"/>
          <w:b w:val="false"/>
          <w:i w:val="false"/>
          <w:caps w:val="false"/>
          <w:smallCaps w:val="false"/>
          <w:color w:val="000000"/>
          <w:spacing w:val="8"/>
          <w:sz w:val="40"/>
        </w:rPr>
        <w:t xml:space="preserve"> </w:t>
      </w:r>
    </w:p>
    <w:tbl>
      <w:tblPr>
        <w:tblW w:w="9780" w:type="dxa"/>
        <w:jc w:val="left"/>
        <w:tblInd w:w="720" w:type="dxa"/>
        <w:tblLayout w:type="fixed"/>
        <w:tblCellMar>
          <w:top w:w="0" w:type="dxa"/>
          <w:left w:w="0" w:type="dxa"/>
          <w:bottom w:w="28" w:type="dxa"/>
          <w:right w:w="0" w:type="dxa"/>
        </w:tblCellMar>
      </w:tblPr>
      <w:tblGrid>
        <w:gridCol w:w="124"/>
        <w:gridCol w:w="871"/>
        <w:gridCol w:w="109"/>
        <w:gridCol w:w="109"/>
        <w:gridCol w:w="466"/>
        <w:gridCol w:w="109"/>
        <w:gridCol w:w="109"/>
        <w:gridCol w:w="691"/>
        <w:gridCol w:w="109"/>
        <w:gridCol w:w="109"/>
        <w:gridCol w:w="691"/>
        <w:gridCol w:w="109"/>
        <w:gridCol w:w="109"/>
        <w:gridCol w:w="691"/>
        <w:gridCol w:w="109"/>
        <w:gridCol w:w="109"/>
        <w:gridCol w:w="826"/>
        <w:gridCol w:w="109"/>
        <w:gridCol w:w="109"/>
        <w:gridCol w:w="826"/>
        <w:gridCol w:w="109"/>
        <w:gridCol w:w="109"/>
        <w:gridCol w:w="826"/>
        <w:gridCol w:w="109"/>
        <w:gridCol w:w="109"/>
        <w:gridCol w:w="826"/>
        <w:gridCol w:w="109"/>
        <w:gridCol w:w="109"/>
        <w:gridCol w:w="826"/>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71" w:type="dxa"/>
            <w:tcBorders>
              <w:bottom w:val="single" w:sz="2" w:space="0" w:color="000000"/>
            </w:tcBorders>
            <w:shd w:fill="000000" w:val="clear"/>
            <w:tcMar>
              <w:bottom w:w="88" w:type="dxa"/>
            </w:tcMar>
            <w:vAlign w:val="center"/>
          </w:tcPr>
          <w:p>
            <w:pPr>
              <w:pStyle w:val="TableContents"/>
              <w:bidi w:val="0"/>
              <w:spacing w:lineRule="atLeast" w:line="160" w:before="0" w:after="0"/>
              <w:jc w:val="left"/>
              <w:rPr>
                <w:sz w:val="14"/>
              </w:rPr>
            </w:pPr>
            <w:r>
              <w:rPr>
                <w:sz w:val="14"/>
              </w:rPr>
              <w:t xml:space="preserve">Name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466" w:type="dxa"/>
            <w:tcBorders>
              <w:bottom w:val="single" w:sz="2" w:space="0" w:color="000000"/>
            </w:tcBorders>
            <w:shd w:fill="000000" w:val="clear"/>
            <w:tcMar>
              <w:bottom w:w="88" w:type="dxa"/>
            </w:tcMar>
            <w:vAlign w:val="center"/>
          </w:tcPr>
          <w:p>
            <w:pPr>
              <w:pStyle w:val="TableContents"/>
              <w:bidi w:val="0"/>
              <w:spacing w:lineRule="atLeast" w:line="160" w:before="0" w:after="0"/>
              <w:jc w:val="left"/>
              <w:rPr>
                <w:sz w:val="14"/>
              </w:rPr>
            </w:pPr>
            <w:r>
              <w:rPr>
                <w:sz w:val="14"/>
              </w:rPr>
              <w:t xml:space="preserve">Grant Date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509" w:type="dxa"/>
            <w:gridSpan w:val="7"/>
            <w:tcBorders>
              <w:bottom w:val="single" w:sz="2" w:space="0" w:color="FEFEFE"/>
            </w:tcBorders>
            <w:shd w:fill="000000" w:val="clear"/>
            <w:tcMar>
              <w:bottom w:w="88" w:type="dxa"/>
            </w:tcMar>
            <w:vAlign w:val="center"/>
          </w:tcPr>
          <w:p>
            <w:pPr>
              <w:pStyle w:val="TableContents"/>
              <w:bidi w:val="0"/>
              <w:spacing w:lineRule="atLeast" w:line="160" w:before="0" w:after="0"/>
              <w:jc w:val="left"/>
              <w:rPr>
                <w:sz w:val="14"/>
              </w:rPr>
            </w:pPr>
            <w:r>
              <w:rPr>
                <w:sz w:val="14"/>
              </w:rPr>
              <w:t>Estimated Possible Payouts Under</w:t>
              <w:br/>
              <w:t xml:space="preserve">Non-Equity Incentive Plan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914" w:type="dxa"/>
            <w:gridSpan w:val="7"/>
            <w:tcBorders>
              <w:bottom w:val="single" w:sz="2" w:space="0" w:color="FEFEFE"/>
            </w:tcBorders>
            <w:shd w:fill="000000" w:val="clear"/>
            <w:tcMar>
              <w:bottom w:w="88" w:type="dxa"/>
            </w:tcMar>
            <w:vAlign w:val="center"/>
          </w:tcPr>
          <w:p>
            <w:pPr>
              <w:pStyle w:val="TableContents"/>
              <w:bidi w:val="0"/>
              <w:spacing w:lineRule="atLeast" w:line="160" w:before="0" w:after="0"/>
              <w:jc w:val="left"/>
              <w:rPr>
                <w:sz w:val="14"/>
              </w:rPr>
            </w:pPr>
            <w:r>
              <w:rPr>
                <w:sz w:val="14"/>
              </w:rPr>
              <w:t>Estimated Future Payouts Under</w:t>
              <w:br/>
              <w:t xml:space="preserve">Equity Incentive Plan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shd w:fill="000000" w:val="clear"/>
            <w:tcMar>
              <w:bottom w:w="0" w:type="dxa"/>
            </w:tcMar>
            <w:vAlign w:val="center"/>
          </w:tcPr>
          <w:p>
            <w:pPr>
              <w:pStyle w:val="TableContents"/>
              <w:bidi w:val="0"/>
              <w:spacing w:before="0" w:after="283"/>
              <w:jc w:val="left"/>
              <w:rPr/>
            </w:pPr>
            <w:r>
              <w:rPr/>
              <w:t>​</w:t>
            </w:r>
          </w:p>
        </w:tc>
        <w:tc>
          <w:tcPr>
            <w:tcW w:w="826" w:type="dxa"/>
            <w:vMerge w:val="restart"/>
            <w:tcBorders/>
            <w:shd w:fill="000000" w:val="clear"/>
            <w:tcMar>
              <w:bottom w:w="0" w:type="dxa"/>
            </w:tcMar>
            <w:vAlign w:val="center"/>
          </w:tcPr>
          <w:p>
            <w:pPr>
              <w:pStyle w:val="TableContents"/>
              <w:bidi w:val="0"/>
              <w:spacing w:lineRule="atLeast" w:line="160" w:before="0" w:after="0"/>
              <w:jc w:val="left"/>
              <w:rPr>
                <w:sz w:val="14"/>
              </w:rPr>
            </w:pPr>
            <w:r>
              <w:rPr>
                <w:sz w:val="14"/>
              </w:rPr>
              <w:t>All Other</w:t>
              <w:br/>
              <w:t>Stock</w:t>
              <w:br/>
              <w:t>Awards:</w:t>
              <w:br/>
              <w:t>Number of</w:t>
              <w:br/>
              <w:t>Shares of</w:t>
              <w:br/>
              <w:t>Stock or Units</w:t>
              <w:br/>
              <w:t xml:space="preserve">(#) </w:t>
            </w:r>
          </w:p>
        </w:tc>
        <w:tc>
          <w:tcPr>
            <w:tcW w:w="109" w:type="dxa"/>
            <w:vMerge w:val="restart"/>
            <w:tcBorders/>
            <w:shd w:fill="000000" w:val="clear"/>
            <w:tcMar>
              <w:bottom w:w="0" w:type="dxa"/>
            </w:tcMar>
            <w:vAlign w:val="center"/>
          </w:tcPr>
          <w:p>
            <w:pPr>
              <w:pStyle w:val="TableContents"/>
              <w:bidi w:val="0"/>
              <w:spacing w:before="0" w:after="283"/>
              <w:jc w:val="left"/>
              <w:rPr/>
            </w:pPr>
            <w:r>
              <w:rPr/>
              <w:t>​</w:t>
            </w:r>
          </w:p>
        </w:tc>
        <w:tc>
          <w:tcPr>
            <w:tcW w:w="109" w:type="dxa"/>
            <w:vMerge w:val="restart"/>
            <w:tcBorders/>
            <w:shd w:fill="000000" w:val="clear"/>
            <w:tcMar>
              <w:bottom w:w="0" w:type="dxa"/>
            </w:tcMar>
            <w:vAlign w:val="center"/>
          </w:tcPr>
          <w:p>
            <w:pPr>
              <w:pStyle w:val="TableContents"/>
              <w:bidi w:val="0"/>
              <w:spacing w:before="0" w:after="283"/>
              <w:jc w:val="left"/>
              <w:rPr/>
            </w:pPr>
            <w:r>
              <w:rPr/>
              <w:t>​</w:t>
            </w:r>
          </w:p>
        </w:tc>
        <w:tc>
          <w:tcPr>
            <w:tcW w:w="826" w:type="dxa"/>
            <w:vMerge w:val="restart"/>
            <w:tcBorders/>
            <w:shd w:fill="000000" w:val="clear"/>
            <w:tcMar>
              <w:bottom w:w="0" w:type="dxa"/>
            </w:tcMar>
            <w:vAlign w:val="center"/>
          </w:tcPr>
          <w:p>
            <w:pPr>
              <w:pStyle w:val="TableContents"/>
              <w:bidi w:val="0"/>
              <w:spacing w:lineRule="atLeast" w:line="142" w:before="0" w:after="0"/>
              <w:jc w:val="left"/>
              <w:rPr>
                <w:sz w:val="14"/>
              </w:rPr>
            </w:pPr>
            <w:r>
              <w:rPr>
                <w:sz w:val="14"/>
              </w:rPr>
              <w:t>Grant Date</w:t>
              <w:br/>
              <w:t>Fair Value of</w:t>
              <w:br/>
              <w:t>Stock and</w:t>
              <w:br/>
              <w:t>Option</w:t>
              <w:br/>
              <w:t>Awards</w:t>
              <w:br/>
              <w:t>($)</w:t>
            </w:r>
            <w:r>
              <w:rPr>
                <w:sz w:val="9"/>
              </w:rPr>
              <w:t>(3)</w:t>
            </w:r>
            <w:r>
              <w:rPr>
                <w:sz w:val="14"/>
              </w:rPr>
              <w:t xml:space="preserve"> </w:t>
            </w:r>
          </w:p>
        </w:tc>
        <w:tc>
          <w:tcPr>
            <w:tcW w:w="154" w:type="dxa"/>
            <w:vMerge w:val="restart"/>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871"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46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91" w:type="dxa"/>
            <w:tcBorders/>
            <w:shd w:fill="000000" w:val="clear"/>
            <w:tcMar>
              <w:bottom w:w="0" w:type="dxa"/>
            </w:tcMar>
            <w:vAlign w:val="center"/>
          </w:tcPr>
          <w:p>
            <w:pPr>
              <w:pStyle w:val="TableContents"/>
              <w:bidi w:val="0"/>
              <w:spacing w:lineRule="atLeast" w:line="160" w:before="0" w:after="0"/>
              <w:jc w:val="left"/>
              <w:rPr>
                <w:sz w:val="14"/>
              </w:rPr>
            </w:pPr>
            <w:r>
              <w:rPr>
                <w:sz w:val="14"/>
              </w:rPr>
              <w:t xml:space="preserve">Threshold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91" w:type="dxa"/>
            <w:tcBorders/>
            <w:shd w:fill="000000" w:val="clear"/>
            <w:tcMar>
              <w:bottom w:w="0" w:type="dxa"/>
            </w:tcMar>
            <w:vAlign w:val="center"/>
          </w:tcPr>
          <w:p>
            <w:pPr>
              <w:pStyle w:val="TableContents"/>
              <w:bidi w:val="0"/>
              <w:spacing w:lineRule="atLeast" w:line="160" w:before="0" w:after="0"/>
              <w:jc w:val="left"/>
              <w:rPr>
                <w:sz w:val="14"/>
              </w:rPr>
            </w:pPr>
            <w:r>
              <w:rPr>
                <w:sz w:val="14"/>
              </w:rPr>
              <w:t xml:space="preserve">Target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91" w:type="dxa"/>
            <w:tcBorders/>
            <w:shd w:fill="000000" w:val="clear"/>
            <w:tcMar>
              <w:bottom w:w="0" w:type="dxa"/>
            </w:tcMar>
            <w:vAlign w:val="center"/>
          </w:tcPr>
          <w:p>
            <w:pPr>
              <w:pStyle w:val="TableContents"/>
              <w:bidi w:val="0"/>
              <w:spacing w:lineRule="atLeast" w:line="160" w:before="0" w:after="0"/>
              <w:jc w:val="left"/>
              <w:rPr>
                <w:sz w:val="14"/>
              </w:rPr>
            </w:pPr>
            <w:r>
              <w:rPr>
                <w:sz w:val="14"/>
              </w:rPr>
              <w:t xml:space="preserve">Maximum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26" w:type="dxa"/>
            <w:tcBorders/>
            <w:shd w:fill="000000" w:val="clear"/>
            <w:tcMar>
              <w:bottom w:w="0" w:type="dxa"/>
            </w:tcMar>
            <w:vAlign w:val="center"/>
          </w:tcPr>
          <w:p>
            <w:pPr>
              <w:pStyle w:val="TableContents"/>
              <w:bidi w:val="0"/>
              <w:spacing w:lineRule="atLeast" w:line="160" w:before="0" w:after="0"/>
              <w:jc w:val="left"/>
              <w:rPr>
                <w:sz w:val="14"/>
              </w:rPr>
            </w:pPr>
            <w:r>
              <w:rPr>
                <w:sz w:val="14"/>
              </w:rPr>
              <w:t xml:space="preserve">Threshold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26" w:type="dxa"/>
            <w:tcBorders/>
            <w:shd w:fill="000000" w:val="clear"/>
            <w:tcMar>
              <w:bottom w:w="0" w:type="dxa"/>
            </w:tcMar>
            <w:vAlign w:val="center"/>
          </w:tcPr>
          <w:p>
            <w:pPr>
              <w:pStyle w:val="TableContents"/>
              <w:bidi w:val="0"/>
              <w:spacing w:lineRule="atLeast" w:line="160" w:before="0" w:after="0"/>
              <w:jc w:val="left"/>
              <w:rPr>
                <w:sz w:val="14"/>
              </w:rPr>
            </w:pPr>
            <w:r>
              <w:rPr>
                <w:sz w:val="14"/>
              </w:rPr>
              <w:t xml:space="preserve">Target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26" w:type="dxa"/>
            <w:tcBorders/>
            <w:shd w:fill="000000" w:val="clear"/>
            <w:tcMar>
              <w:bottom w:w="0" w:type="dxa"/>
            </w:tcMar>
            <w:vAlign w:val="center"/>
          </w:tcPr>
          <w:p>
            <w:pPr>
              <w:pStyle w:val="TableContents"/>
              <w:bidi w:val="0"/>
              <w:spacing w:lineRule="atLeast" w:line="160" w:before="0" w:after="0"/>
              <w:jc w:val="left"/>
              <w:rPr>
                <w:sz w:val="14"/>
              </w:rPr>
            </w:pPr>
            <w:r>
              <w:rPr>
                <w:sz w:val="14"/>
              </w:rPr>
              <w:t xml:space="preserve">Maximum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vMerge w:val="continue"/>
            <w:tcBorders/>
            <w:shd w:fill="000000" w:val="clear"/>
            <w:tcMar>
              <w:bottom w:w="0" w:type="dxa"/>
            </w:tcMar>
            <w:vAlign w:val="center"/>
          </w:tcPr>
          <w:p>
            <w:pPr>
              <w:pStyle w:val="Normal"/>
              <w:bidi w:val="0"/>
              <w:jc w:val="left"/>
              <w:rPr/>
            </w:pPr>
            <w:r>
              <w:rPr/>
            </w:r>
          </w:p>
        </w:tc>
        <w:tc>
          <w:tcPr>
            <w:tcW w:w="826" w:type="dxa"/>
            <w:vMerge w:val="continue"/>
            <w:tcBorders/>
            <w:shd w:fill="000000" w:val="clear"/>
            <w:tcMar>
              <w:bottom w:w="0" w:type="dxa"/>
            </w:tcMar>
            <w:vAlign w:val="center"/>
          </w:tcPr>
          <w:p>
            <w:pPr>
              <w:pStyle w:val="Normal"/>
              <w:bidi w:val="0"/>
              <w:jc w:val="left"/>
              <w:rPr/>
            </w:pPr>
            <w:r>
              <w:rPr/>
            </w:r>
          </w:p>
        </w:tc>
        <w:tc>
          <w:tcPr>
            <w:tcW w:w="109" w:type="dxa"/>
            <w:vMerge w:val="continue"/>
            <w:tcBorders/>
            <w:shd w:fill="000000" w:val="clear"/>
            <w:tcMar>
              <w:bottom w:w="0" w:type="dxa"/>
            </w:tcMar>
            <w:vAlign w:val="center"/>
          </w:tcPr>
          <w:p>
            <w:pPr>
              <w:pStyle w:val="Normal"/>
              <w:bidi w:val="0"/>
              <w:jc w:val="left"/>
              <w:rPr/>
            </w:pPr>
            <w:r>
              <w:rPr/>
            </w:r>
          </w:p>
        </w:tc>
        <w:tc>
          <w:tcPr>
            <w:tcW w:w="109" w:type="dxa"/>
            <w:vMerge w:val="continue"/>
            <w:tcBorders/>
            <w:shd w:fill="000000" w:val="clear"/>
            <w:tcMar>
              <w:bottom w:w="0" w:type="dxa"/>
            </w:tcMar>
            <w:vAlign w:val="center"/>
          </w:tcPr>
          <w:p>
            <w:pPr>
              <w:pStyle w:val="Normal"/>
              <w:bidi w:val="0"/>
              <w:jc w:val="left"/>
              <w:rPr/>
            </w:pPr>
            <w:r>
              <w:rPr/>
            </w:r>
          </w:p>
        </w:tc>
        <w:tc>
          <w:tcPr>
            <w:tcW w:w="826" w:type="dxa"/>
            <w:vMerge w:val="continue"/>
            <w:tcBorders/>
            <w:shd w:fill="000000" w:val="clear"/>
            <w:tcMar>
              <w:bottom w:w="0" w:type="dxa"/>
            </w:tcMar>
            <w:vAlign w:val="center"/>
          </w:tcPr>
          <w:p>
            <w:pPr>
              <w:pStyle w:val="Normal"/>
              <w:bidi w:val="0"/>
              <w:jc w:val="left"/>
              <w:rPr/>
            </w:pPr>
            <w:r>
              <w:rPr/>
            </w:r>
          </w:p>
        </w:tc>
        <w:tc>
          <w:tcPr>
            <w:tcW w:w="154" w:type="dxa"/>
            <w:vMerge w:val="continue"/>
            <w:tcBorders/>
            <w:shd w:fill="000000" w:val="clear"/>
            <w:tcMar>
              <w:bottom w:w="0" w:type="dxa"/>
            </w:tcM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Peter Rawlinson</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871" w:type="dxa"/>
            <w:tcBorders>
              <w:bottom w:val="single" w:sz="4" w:space="0" w:color="000000"/>
            </w:tcBorders>
            <w:tcMar>
              <w:bottom w:w="78" w:type="dxa"/>
            </w:tcMar>
            <w:vAlign w:val="center"/>
          </w:tcPr>
          <w:p>
            <w:pPr>
              <w:pStyle w:val="TableContents"/>
              <w:bidi w:val="0"/>
              <w:spacing w:before="0" w:after="0"/>
              <w:jc w:val="left"/>
              <w:rPr>
                <w:sz w:val="16"/>
              </w:rPr>
            </w:pPr>
            <w:r>
              <w:rPr>
                <w:sz w:val="16"/>
              </w:rPr>
              <w:t xml:space="preserve">2024 Annual Cash Incentive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466" w:type="dxa"/>
            <w:tcBorders>
              <w:bottom w:val="single" w:sz="4" w:space="0" w:color="000000"/>
            </w:tcBorders>
            <w:tcMar>
              <w:bottom w:w="78"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78" w:type="dxa"/>
            </w:tcMar>
            <w:vAlign w:val="center"/>
          </w:tcPr>
          <w:p>
            <w:pPr>
              <w:pStyle w:val="TableContents"/>
              <w:bidi w:val="0"/>
              <w:spacing w:before="0" w:after="0"/>
              <w:jc w:val="left"/>
              <w:rPr>
                <w:sz w:val="16"/>
              </w:rPr>
            </w:pPr>
            <w:r>
              <w:rPr>
                <w:sz w:val="16"/>
              </w:rPr>
              <w:t xml:space="preserve">312,500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78" w:type="dxa"/>
            </w:tcMar>
            <w:vAlign w:val="center"/>
          </w:tcPr>
          <w:p>
            <w:pPr>
              <w:pStyle w:val="TableContents"/>
              <w:bidi w:val="0"/>
              <w:spacing w:before="0" w:after="0"/>
              <w:jc w:val="left"/>
              <w:rPr>
                <w:sz w:val="16"/>
              </w:rPr>
            </w:pPr>
            <w:r>
              <w:rPr>
                <w:sz w:val="16"/>
              </w:rPr>
              <w:t xml:space="preserve">625,000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78" w:type="dxa"/>
            </w:tcMar>
            <w:vAlign w:val="center"/>
          </w:tcPr>
          <w:p>
            <w:pPr>
              <w:pStyle w:val="TableContents"/>
              <w:bidi w:val="0"/>
              <w:spacing w:before="0" w:after="0"/>
              <w:jc w:val="left"/>
              <w:rPr>
                <w:sz w:val="16"/>
              </w:rPr>
            </w:pPr>
            <w:r>
              <w:rPr>
                <w:sz w:val="16"/>
              </w:rPr>
              <w:t xml:space="preserve">937,500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78"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78"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78"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78"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78" w:type="dxa"/>
            </w:tcMar>
            <w:vAlign w:val="center"/>
          </w:tcPr>
          <w:p>
            <w:pPr>
              <w:pStyle w:val="TableContents"/>
              <w:bidi w:val="0"/>
              <w:spacing w:before="0" w:after="0"/>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Gagan Dhingra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pPr>
            <w:r>
              <w:rPr>
                <w:sz w:val="16"/>
              </w:rPr>
              <w:t>2024 Annual Cash Incentive</w:t>
            </w:r>
            <w:r>
              <w:rPr>
                <w:szCs w:val="10"/>
              </w:rPr>
              <w:t>﻿</w:t>
            </w:r>
            <w:r>
              <w:rPr>
                <w:sz w:val="10"/>
              </w:rPr>
              <w:t>(1)</w:t>
            </w:r>
            <w:r>
              <w:rPr>
                <w:sz w:val="1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100,000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200,000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300,000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left"/>
              <w:rPr>
                <w:sz w:val="16"/>
              </w:rPr>
            </w:pPr>
            <w:r>
              <w:rPr>
                <w:sz w:val="16"/>
              </w:rPr>
              <w:t xml:space="preserve">9/15/2024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sz w:val="16"/>
              </w:rPr>
            </w:pPr>
            <w:r>
              <w:rPr>
                <w:sz w:val="16"/>
              </w:rPr>
              <w:t xml:space="preserve">417,153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sz w:val="16"/>
              </w:rPr>
            </w:pPr>
            <w:r>
              <w:rPr>
                <w:sz w:val="16"/>
              </w:rPr>
              <w:t xml:space="preserve">1,643,583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871"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PSU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46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9/15/2024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208,577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417,153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625,730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1,643,583 </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Marc Winterhoff</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 xml:space="preserve">2024 Annual Cash Incentive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267,750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535,500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803,250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871" w:type="dxa"/>
            <w:tcBorders>
              <w:bottom w:val="single" w:sz="4" w:space="0" w:color="000000"/>
            </w:tcBorders>
            <w:tcMar>
              <w:bottom w:w="85" w:type="dxa"/>
            </w:tcMar>
            <w:vAlign w:val="center"/>
          </w:tcPr>
          <w:p>
            <w:pPr>
              <w:pStyle w:val="TableContents"/>
              <w:bidi w:val="0"/>
              <w:spacing w:before="0" w:after="0"/>
              <w:jc w:val="left"/>
              <w:rPr>
                <w:sz w:val="16"/>
              </w:rPr>
            </w:pPr>
            <w:r>
              <w:rPr>
                <w:sz w:val="16"/>
              </w:rPr>
              <w:t>PSU</w:t>
            </w:r>
            <w:r>
              <w:rPr>
                <w:sz w:val="10"/>
              </w:rPr>
              <w:t>(2)</w:t>
            </w:r>
            <w:r>
              <w:rPr>
                <w:sz w:val="16"/>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46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6/21/2024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1,068,338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2,136,676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3,205,014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5,320,323 </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Eric Bach</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pPr>
            <w:r>
              <w:rPr>
                <w:sz w:val="16"/>
              </w:rPr>
              <w:t>2024 Annual Cash Incentive</w:t>
            </w:r>
            <w:r>
              <w:rPr>
                <w:szCs w:val="10"/>
              </w:rPr>
              <w:t>﻿</w:t>
            </w:r>
            <w:r>
              <w:rPr>
                <w:sz w:val="10"/>
              </w:rPr>
              <w:t>(1)</w:t>
            </w:r>
            <w:r>
              <w:rPr>
                <w:sz w:val="1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226,875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453,750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6"/>
              </w:rPr>
            </w:pPr>
            <w:r>
              <w:rPr>
                <w:sz w:val="16"/>
              </w:rPr>
              <w:t xml:space="preserve">680,625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left"/>
              <w:rPr>
                <w:sz w:val="16"/>
              </w:rPr>
            </w:pPr>
            <w:r>
              <w:rPr>
                <w:sz w:val="16"/>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left"/>
              <w:rPr>
                <w:sz w:val="16"/>
              </w:rPr>
            </w:pPr>
            <w:r>
              <w:rPr>
                <w:sz w:val="16"/>
              </w:rPr>
              <w:t xml:space="preserve">9/15/2024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sz w:val="16"/>
              </w:rPr>
            </w:pPr>
            <w:r>
              <w:rPr>
                <w:sz w:val="16"/>
              </w:rPr>
              <w:t xml:space="preserve">1,001,168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left"/>
              <w:rPr>
                <w:sz w:val="16"/>
              </w:rPr>
            </w:pPr>
            <w:r>
              <w:rPr>
                <w:sz w:val="16"/>
              </w:rPr>
              <w:t xml:space="preserve">3,944,602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871"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PSU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46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9/15/2024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691"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750,876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1,501,752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2,252,628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826"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5,916,903 </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71" w:type="dxa"/>
            <w:tcBorders>
              <w:bottom w:val="single" w:sz="6" w:space="0" w:color="000000"/>
            </w:tcBorders>
            <w:tcMar>
              <w:bottom w:w="85" w:type="dxa"/>
            </w:tcMar>
            <w:vAlign w:val="center"/>
          </w:tcPr>
          <w:p>
            <w:pPr>
              <w:pStyle w:val="TableContents"/>
              <w:bidi w:val="0"/>
              <w:spacing w:before="0" w:after="0"/>
              <w:jc w:val="left"/>
              <w:rPr>
                <w:sz w:val="16"/>
              </w:rPr>
            </w:pPr>
            <w:r>
              <w:rPr>
                <w:sz w:val="16"/>
              </w:rPr>
              <w:t>Michael Bell</w:t>
            </w:r>
            <w:r>
              <w:rPr>
                <w:sz w:val="10"/>
              </w:rPr>
              <w:t>(4)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466"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91"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91"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91"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26"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26"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26"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26" w:type="dxa"/>
            <w:tcBorders>
              <w:bottom w:val="single" w:sz="6" w:space="0" w:color="000000"/>
            </w:tcBorders>
            <w:tcMar>
              <w:bottom w:w="85"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26" w:type="dxa"/>
            <w:tcBorders>
              <w:bottom w:val="single" w:sz="6" w:space="0" w:color="000000"/>
            </w:tcBorders>
            <w:tcMar>
              <w:bottom w:w="85" w:type="dxa"/>
            </w:tcMar>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For Messrs. Dhingra and Bach, the 2024 AIP amounts are adjusted to reflect base salary increases during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36">
                <wp:simplePos x="0" y="0"/>
                <wp:positionH relativeFrom="column">
                  <wp:align>left</wp:align>
                </wp:positionH>
                <wp:positionV relativeFrom="line">
                  <wp:align>top</wp:align>
                </wp:positionV>
                <wp:extent cx="91440" cy="180340"/>
                <wp:effectExtent l="0" t="0" r="0" b="0"/>
                <wp:wrapSquare wrapText="right"/>
                <wp:docPr id="229" name="Frame168"/>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Pursuant to the terms of the offer letter in connection with Mr. Winterhoff’s employment with the Company on December 4, 2023, Mr. Winterhoff was granted a PSU award with a target value of  $6,000,000 in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7">
                <wp:simplePos x="0" y="0"/>
                <wp:positionH relativeFrom="column">
                  <wp:align>left</wp:align>
                </wp:positionH>
                <wp:positionV relativeFrom="line">
                  <wp:align>top</wp:align>
                </wp:positionV>
                <wp:extent cx="91440" cy="180340"/>
                <wp:effectExtent l="0" t="0" r="0" b="0"/>
                <wp:wrapSquare wrapText="right"/>
                <wp:docPr id="230" name="Frame16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the grant date fair value of RSUs and PSUs granted during 2024, calculated in accordance with FASB ASC Topic 718. PSU values in this column the Stock Awards column of the 2024 Summary Compensation Table are based on performance achieved at target levels for the PSUs, which was the probable outcome of performance conditions as of the grant date for the PSUs.</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8">
                <wp:simplePos x="0" y="0"/>
                <wp:positionH relativeFrom="column">
                  <wp:align>left</wp:align>
                </wp:positionH>
                <wp:positionV relativeFrom="line">
                  <wp:align>top</wp:align>
                </wp:positionV>
                <wp:extent cx="91440" cy="180340"/>
                <wp:effectExtent l="0" t="0" r="0" b="0"/>
                <wp:wrapSquare wrapText="right"/>
                <wp:docPr id="231" name="Frame170"/>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Mr. Bell was not granted any annual cash incentive or equity awards in 2024, prior to his separation in May 2024. </w:t>
      </w:r>
      <w:r>
        <mc:AlternateContent>
          <mc:Choice Requires="wps">
            <w:drawing>
              <wp:anchor behindDoc="0" distT="69850" distB="0" distL="0" distR="0" simplePos="0" locked="0" layoutInCell="1" allowOverlap="1" relativeHeight="239">
                <wp:simplePos x="0" y="0"/>
                <wp:positionH relativeFrom="column">
                  <wp:align>left</wp:align>
                </wp:positionH>
                <wp:positionV relativeFrom="line">
                  <wp:align>top</wp:align>
                </wp:positionV>
                <wp:extent cx="91440" cy="180340"/>
                <wp:effectExtent l="0" t="0" r="0" b="0"/>
                <wp:wrapSquare wrapText="right"/>
                <wp:docPr id="232" name="Frame17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(4)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(4)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EA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Outstanding Equity Awards at Fiscal Year-End</w:t>
      </w:r>
      <w:r>
        <w:rPr>
          <w:rFonts w:ascii="Times New Roman;Times;serif" w:hAnsi="Times New Roman;Times;serif"/>
          <w:b w:val="false"/>
          <w:i w:val="false"/>
          <w:caps w:val="false"/>
          <w:smallCaps w:val="false"/>
          <w:color w:val="000000"/>
          <w:spacing w:val="8"/>
          <w:sz w:val="40"/>
        </w:rPr>
        <w:t xml:space="preserve"> </w:t>
      </w:r>
    </w:p>
    <w:tbl>
      <w:tblPr>
        <w:tblW w:w="12246" w:type="dxa"/>
        <w:jc w:val="left"/>
        <w:tblInd w:w="720" w:type="dxa"/>
        <w:tblLayout w:type="fixed"/>
        <w:tblCellMar>
          <w:top w:w="0" w:type="dxa"/>
          <w:left w:w="0" w:type="dxa"/>
          <w:bottom w:w="28" w:type="dxa"/>
          <w:right w:w="0" w:type="dxa"/>
        </w:tblCellMar>
      </w:tblPr>
      <w:tblGrid>
        <w:gridCol w:w="124"/>
        <w:gridCol w:w="1141"/>
        <w:gridCol w:w="109"/>
        <w:gridCol w:w="109"/>
        <w:gridCol w:w="1291"/>
        <w:gridCol w:w="109"/>
        <w:gridCol w:w="109"/>
        <w:gridCol w:w="1456"/>
        <w:gridCol w:w="109"/>
        <w:gridCol w:w="109"/>
        <w:gridCol w:w="916"/>
        <w:gridCol w:w="109"/>
        <w:gridCol w:w="109"/>
        <w:gridCol w:w="1096"/>
        <w:gridCol w:w="109"/>
        <w:gridCol w:w="109"/>
        <w:gridCol w:w="1096"/>
        <w:gridCol w:w="109"/>
        <w:gridCol w:w="109"/>
        <w:gridCol w:w="1066"/>
        <w:gridCol w:w="109"/>
        <w:gridCol w:w="109"/>
        <w:gridCol w:w="1096"/>
        <w:gridCol w:w="109"/>
        <w:gridCol w:w="109"/>
        <w:gridCol w:w="1066"/>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14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5413" w:type="dxa"/>
            <w:gridSpan w:val="10"/>
            <w:tcBorders>
              <w:bottom w:val="single" w:sz="2" w:space="0" w:color="FEFEFE"/>
            </w:tcBorders>
            <w:shd w:fill="000000" w:val="clear"/>
            <w:tcMar>
              <w:bottom w:w="110" w:type="dxa"/>
            </w:tcMar>
            <w:vAlign w:val="center"/>
          </w:tcPr>
          <w:p>
            <w:pPr>
              <w:pStyle w:val="TableContents"/>
              <w:bidi w:val="0"/>
              <w:spacing w:before="0" w:after="0"/>
              <w:jc w:val="left"/>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4978" w:type="dxa"/>
            <w:gridSpan w:val="10"/>
            <w:tcBorders>
              <w:bottom w:val="single" w:sz="2" w:space="0" w:color="FEFEFE"/>
            </w:tcBorders>
            <w:shd w:fill="000000" w:val="clear"/>
            <w:tcMar>
              <w:bottom w:w="110" w:type="dxa"/>
            </w:tcMar>
            <w:vAlign w:val="center"/>
          </w:tcPr>
          <w:p>
            <w:pPr>
              <w:pStyle w:val="TableContents"/>
              <w:bidi w:val="0"/>
              <w:spacing w:before="0" w:after="0"/>
              <w:jc w:val="left"/>
              <w:rPr/>
            </w:pPr>
            <w:r>
              <w:rPr/>
              <w:t xml:space="preserve">Stock Awards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141"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91" w:type="dxa"/>
            <w:tcBorders/>
            <w:shd w:fill="000000" w:val="clear"/>
            <w:tcMar>
              <w:bottom w:w="0" w:type="dxa"/>
            </w:tcMar>
            <w:vAlign w:val="center"/>
          </w:tcPr>
          <w:p>
            <w:pPr>
              <w:pStyle w:val="TableContents"/>
              <w:bidi w:val="0"/>
              <w:spacing w:before="0" w:after="283"/>
              <w:jc w:val="left"/>
              <w:rPr/>
            </w:pPr>
            <w:r>
              <w:rPr/>
              <w:t>Number of</w:t>
              <w:br/>
              <w:t>Securities</w:t>
              <w:br/>
              <w:t>Underlying</w:t>
              <w:br/>
              <w:t>Unexercised</w:t>
              <w:br/>
              <w:t>Options (#)</w:t>
              <w:br/>
              <w:t>Exercisable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56" w:type="dxa"/>
            <w:tcBorders/>
            <w:shd w:fill="000000" w:val="clear"/>
            <w:tcMar>
              <w:bottom w:w="0" w:type="dxa"/>
            </w:tcMar>
            <w:vAlign w:val="center"/>
          </w:tcPr>
          <w:p>
            <w:pPr>
              <w:pStyle w:val="TableContents"/>
              <w:bidi w:val="0"/>
              <w:spacing w:before="0" w:after="283"/>
              <w:jc w:val="left"/>
              <w:rPr/>
            </w:pPr>
            <w:r>
              <w:rPr/>
              <w:t>Number of</w:t>
              <w:br/>
              <w:t>Securities</w:t>
              <w:br/>
              <w:t>Underlying</w:t>
              <w:br/>
              <w:t>Unexercised</w:t>
              <w:br/>
              <w:t>Options (#)</w:t>
              <w:br/>
              <w:t>Unexercisable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16" w:type="dxa"/>
            <w:tcBorders/>
            <w:shd w:fill="000000" w:val="clear"/>
            <w:tcMar>
              <w:bottom w:w="0" w:type="dxa"/>
            </w:tcMar>
            <w:vAlign w:val="center"/>
          </w:tcPr>
          <w:p>
            <w:pPr>
              <w:pStyle w:val="TableContents"/>
              <w:bidi w:val="0"/>
              <w:spacing w:before="0" w:after="283"/>
              <w:jc w:val="left"/>
              <w:rPr/>
            </w:pPr>
            <w:r>
              <w:rPr/>
              <w:t>Option</w:t>
              <w:br/>
              <w:t>Exercise</w:t>
              <w:br/>
              <w:t>Price</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6" w:type="dxa"/>
            <w:tcBorders/>
            <w:shd w:fill="000000" w:val="clear"/>
            <w:tcMar>
              <w:bottom w:w="0" w:type="dxa"/>
            </w:tcMar>
            <w:vAlign w:val="center"/>
          </w:tcPr>
          <w:p>
            <w:pPr>
              <w:pStyle w:val="TableContents"/>
              <w:bidi w:val="0"/>
              <w:spacing w:before="0" w:after="283"/>
              <w:jc w:val="left"/>
              <w:rPr/>
            </w:pPr>
            <w:r>
              <w:rPr/>
              <w:t>Option</w:t>
              <w:br/>
              <w:t>Expiration</w:t>
              <w:br/>
              <w:t xml:space="preserve">Date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6" w:type="dxa"/>
            <w:tcBorders/>
            <w:shd w:fill="000000" w:val="clear"/>
            <w:tcMar>
              <w:bottom w:w="0" w:type="dxa"/>
            </w:tcMar>
            <w:vAlign w:val="center"/>
          </w:tcPr>
          <w:p>
            <w:pPr>
              <w:pStyle w:val="TableContents"/>
              <w:bidi w:val="0"/>
              <w:spacing w:before="0" w:after="283"/>
              <w:jc w:val="left"/>
              <w:rPr/>
            </w:pPr>
            <w:r>
              <w:rPr/>
              <w:t>Number of</w:t>
              <w:br/>
              <w:t>Shares or</w:t>
              <w:br/>
              <w:t>Units of</w:t>
              <w:br/>
              <w:t>Stock</w:t>
              <w:br/>
              <w:t>That Have</w:t>
              <w:br/>
              <w:t>Not Vested</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66" w:type="dxa"/>
            <w:tcBorders/>
            <w:shd w:fill="000000" w:val="clear"/>
            <w:tcMar>
              <w:bottom w:w="0" w:type="dxa"/>
            </w:tcMar>
            <w:vAlign w:val="center"/>
          </w:tcPr>
          <w:p>
            <w:pPr>
              <w:pStyle w:val="TableContents"/>
              <w:bidi w:val="0"/>
              <w:spacing w:lineRule="atLeast" w:line="142" w:before="0" w:after="283"/>
              <w:jc w:val="left"/>
              <w:rPr/>
            </w:pPr>
            <w:r>
              <w:rPr/>
              <w:t>Market Value</w:t>
              <w:br/>
              <w:t>of Shares</w:t>
              <w:br/>
              <w:t>or Units</w:t>
              <w:br/>
              <w:t>of Stock That</w:t>
              <w:br/>
              <w:t>Have Not</w:t>
              <w:br/>
              <w:t>Vested</w:t>
              <w:br/>
              <w:t>($)</w:t>
            </w:r>
            <w:r>
              <w:rPr>
                <w:sz w:val="9"/>
              </w:rPr>
              <w:t>(15)</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6" w:type="dxa"/>
            <w:tcBorders/>
            <w:shd w:fill="000000" w:val="clear"/>
            <w:tcMar>
              <w:bottom w:w="0" w:type="dxa"/>
            </w:tcMar>
            <w:vAlign w:val="center"/>
          </w:tcPr>
          <w:p>
            <w:pPr>
              <w:pStyle w:val="TableContents"/>
              <w:bidi w:val="0"/>
              <w:spacing w:before="0" w:after="283"/>
              <w:jc w:val="left"/>
              <w:rPr/>
            </w:pPr>
            <w:r>
              <w:rPr/>
              <w:t>Equity</w:t>
              <w:br/>
              <w:t>Incentive</w:t>
              <w:br/>
              <w:t>Plan</w:t>
              <w:br/>
              <w:t>Awards:</w:t>
              <w:br/>
              <w:t>Number of</w:t>
              <w:br/>
              <w:t>Unearned</w:t>
              <w:br/>
              <w:t>Shares,</w:t>
              <w:br/>
              <w:t>Units or</w:t>
              <w:br/>
              <w:t>Other Rights</w:t>
              <w:br/>
              <w:t>That Have</w:t>
              <w:br/>
              <w:t>Not Vested</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66" w:type="dxa"/>
            <w:tcBorders/>
            <w:shd w:fill="000000" w:val="clear"/>
            <w:tcMar>
              <w:bottom w:w="0" w:type="dxa"/>
            </w:tcMar>
            <w:vAlign w:val="center"/>
          </w:tcPr>
          <w:p>
            <w:pPr>
              <w:pStyle w:val="TableContents"/>
              <w:bidi w:val="0"/>
              <w:spacing w:lineRule="atLeast" w:line="142" w:before="0" w:after="283"/>
              <w:jc w:val="left"/>
              <w:rPr/>
            </w:pPr>
            <w:r>
              <w:rPr/>
              <w:t>Equity</w:t>
              <w:br/>
              <w:t>Incentive</w:t>
              <w:br/>
              <w:t>Plan</w:t>
              <w:br/>
              <w:t>Awards:</w:t>
              <w:br/>
              <w:t>Market or</w:t>
              <w:br/>
              <w:t>Payout</w:t>
              <w:br/>
              <w:t>Value of</w:t>
              <w:br/>
              <w:t>Unearned</w:t>
              <w:br/>
              <w:t>Shares,</w:t>
              <w:br/>
              <w:t>Units or</w:t>
              <w:br/>
              <w:t>Other Rights</w:t>
              <w:br/>
              <w:t>That</w:t>
              <w:br/>
              <w:t>Have Not</w:t>
              <w:br/>
              <w:t>Vested</w:t>
              <w:br/>
              <w:t>($)</w:t>
            </w:r>
            <w:r>
              <w:rPr>
                <w:sz w:val="9"/>
              </w:rPr>
              <w:t>(15)</w:t>
            </w:r>
            <w:r>
              <w:rPr/>
              <w:t xml:space="preserv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8" w:type="dxa"/>
            </w:tcMar>
            <w:vAlign w:val="center"/>
          </w:tcPr>
          <w:p>
            <w:pPr>
              <w:pStyle w:val="TableContents"/>
              <w:bidi w:val="0"/>
              <w:spacing w:lineRule="atLeast" w:line="180" w:before="0" w:after="0"/>
              <w:jc w:val="left"/>
              <w:rPr/>
            </w:pPr>
            <w:r>
              <w:rPr/>
              <w:t xml:space="preserve">Peter Rawlinson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lineRule="atLeast" w:line="180" w:before="0" w:after="0"/>
              <w:jc w:val="left"/>
              <w:rPr/>
            </w:pPr>
            <w:r>
              <w:rPr/>
              <w:t xml:space="preserve">3,379,846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lineRule="atLeast" w:line="180" w:before="0" w:after="0"/>
              <w:jc w:val="left"/>
              <w:rPr/>
            </w:pPr>
            <w:r>
              <w:rPr/>
              <w:t xml:space="preserve">0.37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 xml:space="preserve">04/16/2025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7,569,809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0.83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 xml:space="preserve">04/21/2029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291"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2,594,016</w:t>
            </w:r>
            <w:r>
              <w:rPr>
                <w:sz w:val="10"/>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7,833,928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2,090,140</w:t>
            </w:r>
            <w:r>
              <w:rPr>
                <w:sz w:val="10"/>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6,312,223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8" w:type="dxa"/>
            </w:tcMar>
            <w:vAlign w:val="center"/>
          </w:tcPr>
          <w:p>
            <w:pPr>
              <w:pStyle w:val="TableContents"/>
              <w:bidi w:val="0"/>
              <w:spacing w:lineRule="atLeast" w:line="180" w:before="0" w:after="0"/>
              <w:jc w:val="left"/>
              <w:rPr/>
            </w:pPr>
            <w:r>
              <w:rPr/>
              <w:t xml:space="preserve">Gagan Dhingra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lineRule="atLeast" w:line="180" w:before="0" w:after="0"/>
              <w:jc w:val="left"/>
              <w:rPr/>
            </w:pPr>
            <w:r>
              <w:rPr/>
              <w:t xml:space="preserve">44,933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lineRule="atLeast" w:line="180" w:before="0" w:after="0"/>
              <w:jc w:val="left"/>
              <w:rPr/>
            </w:pPr>
            <w:r>
              <w:rPr/>
              <w:t>68,584</w:t>
            </w:r>
            <w:r>
              <w:rPr>
                <w:sz w:val="10"/>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lineRule="atLeast" w:line="180" w:before="0" w:after="0"/>
              <w:jc w:val="left"/>
              <w:rPr/>
            </w:pPr>
            <w:r>
              <w:rPr/>
              <w:t>8</w:t>
            </w:r>
            <w:r>
              <w:rPr>
                <w:b/>
              </w:rPr>
              <w:t>.</w:t>
            </w:r>
            <w:r>
              <w:rPr/>
              <w:t xml:space="preserve">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 xml:space="preserve">09/10/2030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15,031</w:t>
            </w:r>
            <w:r>
              <w:rPr>
                <w:sz w:val="10"/>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45,394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12,850</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38,807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63,854</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192,839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31,794</w:t>
            </w:r>
            <w:r>
              <w:rPr>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96,018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338,937</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1,023,590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291"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270,730</w:t>
            </w:r>
            <w:r>
              <w:rPr>
                <w:sz w:val="10"/>
              </w:rPr>
              <w:t>(12)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817,605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312,865</w:t>
            </w:r>
            <w:r>
              <w:rPr>
                <w:sz w:val="10"/>
              </w:rPr>
              <w:t>(13)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944,852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8" w:type="dxa"/>
            </w:tcMar>
            <w:vAlign w:val="center"/>
          </w:tcPr>
          <w:p>
            <w:pPr>
              <w:pStyle w:val="TableContents"/>
              <w:bidi w:val="0"/>
              <w:spacing w:lineRule="atLeast" w:line="180" w:before="0" w:after="0"/>
              <w:jc w:val="left"/>
              <w:rPr/>
            </w:pPr>
            <w:r>
              <w:rPr/>
              <w:t xml:space="preserve">Marc Winterhoff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lineRule="atLeast" w:line="180" w:before="0" w:after="0"/>
              <w:jc w:val="left"/>
              <w:rPr/>
            </w:pPr>
            <w:r>
              <w:rPr/>
              <w:t xml:space="preserve">178,477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lineRule="atLeast" w:line="180" w:before="0" w:after="0"/>
              <w:jc w:val="left"/>
              <w:rPr/>
            </w:pPr>
            <w:r>
              <w:rPr/>
              <w:t>535,433</w:t>
            </w:r>
            <w:r>
              <w:rPr>
                <w:sz w:val="10"/>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lineRule="atLeast" w:line="180" w:before="0" w:after="0"/>
              <w:jc w:val="left"/>
              <w:rPr/>
            </w:pPr>
            <w:r>
              <w:rPr/>
              <w:t xml:space="preserve">5.25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 xml:space="preserve">12/4/2030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535,434</w:t>
            </w:r>
            <w:r>
              <w:rPr>
                <w:sz w:val="10"/>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1,617,011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291"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1,386,704</w:t>
            </w:r>
            <w:r>
              <w:rPr>
                <w:sz w:val="10"/>
              </w:rPr>
              <w:t>(12)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4,187,846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1,602,507</w:t>
            </w:r>
            <w:r>
              <w:rPr>
                <w:sz w:val="10"/>
              </w:rPr>
              <w:t>(13)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4,839,571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8" w:type="dxa"/>
            </w:tcMar>
            <w:vAlign w:val="center"/>
          </w:tcPr>
          <w:p>
            <w:pPr>
              <w:pStyle w:val="TableContents"/>
              <w:bidi w:val="0"/>
              <w:spacing w:lineRule="atLeast" w:line="180" w:before="0" w:after="0"/>
              <w:jc w:val="left"/>
              <w:rPr/>
            </w:pPr>
            <w:r>
              <w:rPr/>
              <w:t xml:space="preserve">Eric Bach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lineRule="atLeast" w:line="180" w:before="0" w:after="0"/>
              <w:jc w:val="left"/>
              <w:rPr/>
            </w:pPr>
            <w:r>
              <w:rPr/>
              <w:t xml:space="preserve">879,698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lineRule="atLeast" w:line="180" w:before="0" w:after="0"/>
              <w:jc w:val="left"/>
              <w:rPr/>
            </w:pPr>
            <w:r>
              <w:rPr/>
              <w:t xml:space="preserve">0.83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 xml:space="preserve">04/21/2029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lineRule="atLeast" w:line="180" w:before="0" w:after="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180" w:before="0" w:after="0"/>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1,850,800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0.93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 xml:space="preserve">07/15/2030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41,312</w:t>
            </w:r>
            <w:r>
              <w:rPr>
                <w:sz w:val="10"/>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124,762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85,664</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258,705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229,873</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694,216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143,074</w:t>
            </w:r>
            <w:r>
              <w:rPr>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432,083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161,762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246,901</w:t>
            </w:r>
            <w:r>
              <w:rPr>
                <w:sz w:val="10"/>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8.26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 xml:space="preserve">09/10/2030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813,449</w:t>
            </w:r>
            <w:r>
              <w:rPr>
                <w:sz w:val="10"/>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 xml:space="preserve">2,456,616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8"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291"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974,637</w:t>
            </w:r>
            <w:r>
              <w:rPr>
                <w:sz w:val="10"/>
              </w:rPr>
              <w:t>(12)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2,943,404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1,126,314</w:t>
            </w:r>
            <w:r>
              <w:rPr>
                <w:sz w:val="10"/>
              </w:rPr>
              <w:t>(13)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 xml:space="preserve">3,401,468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283"/>
              <w:jc w:val="left"/>
              <w:rPr/>
            </w:pPr>
            <w:r>
              <w:rPr/>
              <w:t>Michael Bell</w:t>
            </w:r>
            <w:r>
              <w:rPr>
                <w:szCs w:val="10"/>
              </w:rPr>
              <w:t>﻿</w:t>
            </w:r>
            <w:r>
              <w:rPr>
                <w:sz w:val="10"/>
              </w:rPr>
              <w:t>(14)</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91"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91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6" w:type="dxa"/>
            <w:tcBorders>
              <w:bottom w:val="single" w:sz="6" w:space="0" w:color="000000"/>
            </w:tcBorders>
            <w:tcMar>
              <w:bottom w:w="9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6" w:type="dxa"/>
            <w:tcBorders>
              <w:bottom w:val="single" w:sz="6" w:space="0" w:color="000000"/>
            </w:tcBorders>
            <w:tcMar>
              <w:bottom w:w="98" w:type="dxa"/>
            </w:tcMar>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16"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RSUs vest in 16 equal quarterly installments beginning on December 5, 2021 and ending September 5, 2025, subject to Mr. Rawlinson’s continued service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00660" distB="0" distL="0" distR="0" simplePos="0" locked="0" layoutInCell="1" allowOverlap="1" relativeHeight="240">
                <wp:simplePos x="0" y="0"/>
                <wp:positionH relativeFrom="column">
                  <wp:align>left</wp:align>
                </wp:positionH>
                <wp:positionV relativeFrom="line">
                  <wp:align>top</wp:align>
                </wp:positionV>
                <wp:extent cx="91440" cy="180340"/>
                <wp:effectExtent l="0" t="0" r="0" b="0"/>
                <wp:wrapSquare wrapText="right"/>
                <wp:docPr id="233" name="Frame172"/>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5.8pt;mso-wrap-distance-bottom:0pt;margin-top:15.8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4"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The CEO Performance RSUs vest in five tranches based on the achievement of market capitalization goals applicable to each tranche over any six-month period, subject to Mr. Rawlinson’s continued employment through the applicable vesting date. 13,934,271 CEO Performance RSUs relating to Tranche 1, Tranche 2, Tranche 3, and Tranche 4 vested </w:t>
      </w:r>
      <w:r>
        <mc:AlternateContent>
          <mc:Choice Requires="wps">
            <w:drawing>
              <wp:anchor behindDoc="0" distT="72390" distB="0" distL="0" distR="0" simplePos="0" locked="0" layoutInCell="1" allowOverlap="1" relativeHeight="241">
                <wp:simplePos x="0" y="0"/>
                <wp:positionH relativeFrom="column">
                  <wp:align>left</wp:align>
                </wp:positionH>
                <wp:positionV relativeFrom="line">
                  <wp:align>top</wp:align>
                </wp:positionV>
                <wp:extent cx="91440" cy="180340"/>
                <wp:effectExtent l="0" t="0" r="0" b="0"/>
                <wp:wrapSquare wrapText="right"/>
                <wp:docPr id="234" name="Frame173"/>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on March 5, 2022 and were settled on March 7, 2022. The amount reported is the number of CEO Performance RSUs relating to Tranche 5, which was not vested as of December 31, 2024. Amounts can be earned until July 23, 2026, subject to continued service as of each applicable vesting date.</w:t>
      </w:r>
      <w:r>
        <w:rPr>
          <w:rFonts w:ascii="Arial;Helvetica;sans-serif" w:hAnsi="Arial;Helvetica;sans-serif"/>
          <w:b w:val="false"/>
          <w:i w:val="false"/>
          <w:caps w:val="false"/>
          <w:smallCaps w:val="false"/>
          <w:color w:val="000000"/>
          <w:spacing w:val="2"/>
          <w:sz w:val="12"/>
        </w:rPr>
        <w:t xml:space="preserve"> </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25% of the RSUs vested on March 5, 2023 and 1/16 of the RSUs vest each quarter beginning June 5, 2023 and ending March 5, 2026,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2">
                <wp:simplePos x="0" y="0"/>
                <wp:positionH relativeFrom="column">
                  <wp:align>left</wp:align>
                </wp:positionH>
                <wp:positionV relativeFrom="line">
                  <wp:align>top</wp:align>
                </wp:positionV>
                <wp:extent cx="91440" cy="525780"/>
                <wp:effectExtent l="0" t="0" r="0" b="0"/>
                <wp:wrapSquare wrapText="right"/>
                <wp:docPr id="235" name="Frame174"/>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(3)</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1/8 of the RSUs vested on September 5, 2022 and 1/16 of the RSUs vest each quarter beginning December 5, 2022 and ending March 5, 2026,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3">
                <wp:simplePos x="0" y="0"/>
                <wp:positionH relativeFrom="column">
                  <wp:align>left</wp:align>
                </wp:positionH>
                <wp:positionV relativeFrom="line">
                  <wp:align>top</wp:align>
                </wp:positionV>
                <wp:extent cx="91440" cy="525780"/>
                <wp:effectExtent l="0" t="0" r="0" b="0"/>
                <wp:wrapSquare wrapText="right"/>
                <wp:docPr id="236" name="Frame175"/>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(4)</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7.2pt;mso-position-horizontal:left;mso-position-horizontal-relative:text">
                <v:textbox>
                  <w:txbxContent>
                    <w:p>
                      <w:pPr>
                        <w:pStyle w:val="TextBody"/>
                        <w:bidi w:val="0"/>
                        <w:spacing w:lineRule="atLeast" w:line="142" w:before="0" w:after="283"/>
                        <w:jc w:val="left"/>
                        <w:rPr/>
                      </w:pPr>
                      <w:r>
                        <w:rPr>
                          <w:sz w:val="9"/>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1/8 of the RSUs vested on September 10, 2023 and 1/16 of the RSUs vest each quarter beginning December 5, 2023 and ending March 5, 2027,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4">
                <wp:simplePos x="0" y="0"/>
                <wp:positionH relativeFrom="column">
                  <wp:align>left</wp:align>
                </wp:positionH>
                <wp:positionV relativeFrom="line">
                  <wp:align>top</wp:align>
                </wp:positionV>
                <wp:extent cx="91440" cy="525780"/>
                <wp:effectExtent l="0" t="0" r="0" b="0"/>
                <wp:wrapSquare wrapText="right"/>
                <wp:docPr id="237" name="Frame176"/>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(5)</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the number of unvested shares subject to the 2023 PSU award as of December 31, 2024 at the actual performance level. Such earned PSUs determined in April 2024 include: 76,306 shares for Mr. Dhingra and 343,380 shares for Mr. Bach. 1/3 of the earned PSUs vested on April 9, 2024, the date the Board certified the achievement of the performance metrics, and 1/12 of the earned PSUs vest each quarter beginning June 5, 2024 and ending March 5, 2026,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5">
                <wp:simplePos x="0" y="0"/>
                <wp:positionH relativeFrom="column">
                  <wp:align>left</wp:align>
                </wp:positionH>
                <wp:positionV relativeFrom="line">
                  <wp:align>top</wp:align>
                </wp:positionV>
                <wp:extent cx="91440" cy="525780"/>
                <wp:effectExtent l="0" t="0" r="0" b="0"/>
                <wp:wrapSquare wrapText="right"/>
                <wp:docPr id="238" name="Frame177"/>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(6)</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7.2pt;mso-position-horizontal:left;mso-position-horizontal-relative:text">
                <v:textbox>
                  <w:txbxContent>
                    <w:p>
                      <w:pPr>
                        <w:pStyle w:val="TextBody"/>
                        <w:bidi w:val="0"/>
                        <w:spacing w:lineRule="atLeast" w:line="142" w:before="0" w:after="283"/>
                        <w:jc w:val="left"/>
                        <w:rPr/>
                      </w:pPr>
                      <w:r>
                        <w:rPr>
                          <w:sz w:val="9"/>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1/8 of the RSUs vested on September 15, 2024 and 1/16 of the RSUs vest each quarter beginning December 5, 2024 and ending March 5, 2028,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6">
                <wp:simplePos x="0" y="0"/>
                <wp:positionH relativeFrom="column">
                  <wp:align>left</wp:align>
                </wp:positionH>
                <wp:positionV relativeFrom="line">
                  <wp:align>top</wp:align>
                </wp:positionV>
                <wp:extent cx="91440" cy="525780"/>
                <wp:effectExtent l="0" t="0" r="0" b="0"/>
                <wp:wrapSquare wrapText="right"/>
                <wp:docPr id="239" name="Frame178"/>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(7)</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(7)</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options to vest over four years, with 5/48 vested on the first monthly anniversary of September 10, 2023 and 1/48 of the options vest each monthly anniversary thereafter,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7">
                <wp:simplePos x="0" y="0"/>
                <wp:positionH relativeFrom="column">
                  <wp:align>left</wp:align>
                </wp:positionH>
                <wp:positionV relativeFrom="line">
                  <wp:align>top</wp:align>
                </wp:positionV>
                <wp:extent cx="91440" cy="525780"/>
                <wp:effectExtent l="0" t="0" r="0" b="0"/>
                <wp:wrapSquare wrapText="right"/>
                <wp:docPr id="240" name="Frame179"/>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(8)</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7.2pt;mso-position-horizontal:left;mso-position-horizontal-relative:text">
                <v:textbox>
                  <w:txbxContent>
                    <w:p>
                      <w:pPr>
                        <w:pStyle w:val="TextBody"/>
                        <w:bidi w:val="0"/>
                        <w:spacing w:lineRule="atLeast" w:line="142" w:before="0" w:after="283"/>
                        <w:jc w:val="left"/>
                        <w:rPr/>
                      </w:pPr>
                      <w:r>
                        <w:rPr>
                          <w:sz w:val="9"/>
                        </w:rPr>
                        <w:t>(8)</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options vested 25% on December 4, 2024 and 1/48 of the options vest each monthly anniversary thereafter,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8">
                <wp:simplePos x="0" y="0"/>
                <wp:positionH relativeFrom="column">
                  <wp:align>left</wp:align>
                </wp:positionH>
                <wp:positionV relativeFrom="line">
                  <wp:align>top</wp:align>
                </wp:positionV>
                <wp:extent cx="91440" cy="525780"/>
                <wp:effectExtent l="0" t="0" r="0" b="0"/>
                <wp:wrapSquare wrapText="right"/>
                <wp:docPr id="241" name="Frame180"/>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(9)</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(9)</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25% of the RSUs vested on December 5, 2024 and 1/16 of the RSUs vest each quarter over 12 quarters beginning March 5, 2025 and ending December 5, 2027,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49">
                <wp:simplePos x="0" y="0"/>
                <wp:positionH relativeFrom="column">
                  <wp:align>left</wp:align>
                </wp:positionH>
                <wp:positionV relativeFrom="line">
                  <wp:align>top</wp:align>
                </wp:positionV>
                <wp:extent cx="128270" cy="525780"/>
                <wp:effectExtent l="0" t="0" r="0" b="0"/>
                <wp:wrapSquare wrapText="right"/>
                <wp:docPr id="242" name="Frame181"/>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(10)</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4.3pt;mso-position-horizontal:left;mso-position-horizontal-relative:text">
                <v:textbox>
                  <w:txbxContent>
                    <w:p>
                      <w:pPr>
                        <w:pStyle w:val="TextBody"/>
                        <w:bidi w:val="0"/>
                        <w:spacing w:lineRule="atLeast" w:line="142" w:before="0" w:after="283"/>
                        <w:jc w:val="left"/>
                        <w:rPr/>
                      </w:pPr>
                      <w:r>
                        <w:rPr>
                          <w:sz w:val="9"/>
                        </w:rPr>
                        <w:t>(10)</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1/16 of the RSUs vested on June 5, 2021 and 1/16 of the RSUs vested each quarter beginning September 5, 2021 and ending March 5, 2025.</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50">
                <wp:simplePos x="0" y="0"/>
                <wp:positionH relativeFrom="column">
                  <wp:align>left</wp:align>
                </wp:positionH>
                <wp:positionV relativeFrom="line">
                  <wp:align>top</wp:align>
                </wp:positionV>
                <wp:extent cx="128270" cy="525780"/>
                <wp:effectExtent l="0" t="0" r="0" b="0"/>
                <wp:wrapSquare wrapText="right"/>
                <wp:docPr id="243" name="Frame182"/>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(11)</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14.4pt;mso-position-horizontal:left;mso-position-horizontal-relative:text">
                <v:textbox>
                  <w:txbxContent>
                    <w:p>
                      <w:pPr>
                        <w:pStyle w:val="TextBody"/>
                        <w:bidi w:val="0"/>
                        <w:spacing w:lineRule="atLeast" w:line="142" w:before="0" w:after="283"/>
                        <w:jc w:val="left"/>
                        <w:rPr/>
                      </w:pPr>
                      <w:r>
                        <w:rPr>
                          <w:sz w:val="9"/>
                        </w:rPr>
                        <w:t>(11)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PSUs at 129.8% of target level of performance, as adjusted by the achieved PSU Payout Factor for the 2024 tranche. The earned PSUs determined in March 2025 include: Mr. Dhingra, 270,730; Mr. Winterhoff, 1,386,704; Mr. Bach, 974,637. 1/2 of the earned PSUs vested on March 5, 2025, and 1/8 of the earned PSUs vest each quarter beginning June 5, 2025 and ending March 5, 2026, subject to the NEO’s continued employment as of each applicable vesting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51">
                <wp:simplePos x="0" y="0"/>
                <wp:positionH relativeFrom="column">
                  <wp:align>left</wp:align>
                </wp:positionH>
                <wp:positionV relativeFrom="line">
                  <wp:align>top</wp:align>
                </wp:positionV>
                <wp:extent cx="128270" cy="525780"/>
                <wp:effectExtent l="0" t="0" r="0" b="0"/>
                <wp:wrapSquare wrapText="right"/>
                <wp:docPr id="244" name="Frame183"/>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(12)</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unearned PSUs at maximum level of performance pursuant to the 2024 PSU awards for the 2025 Tranche to NEOs. For the 2025 Tranche: 50% of earned shares vest upon the later of March 5, 2026, or the certification of achievement which is expected to occur in the first quarter 2026. The remaining 50% of earned shares vest in equal quarterly installments over the following four quarters, subject to the NEO’s continued service through the applicable vesting dates.</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52">
                <wp:simplePos x="0" y="0"/>
                <wp:positionH relativeFrom="column">
                  <wp:align>left</wp:align>
                </wp:positionH>
                <wp:positionV relativeFrom="line">
                  <wp:align>top</wp:align>
                </wp:positionV>
                <wp:extent cx="128270" cy="525780"/>
                <wp:effectExtent l="0" t="0" r="0" b="0"/>
                <wp:wrapSquare wrapText="right"/>
                <wp:docPr id="245" name="Frame184"/>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(13)</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Mr. Bell separated from service effective May 3, 2024. On the date of his separation, Mr. Bell’s equity awards were (i) previously vested and exercisable as scheduled, (ii) subject to accelerated vesting pursuant to the terms of the Executive Severance Plan and his related participation agreement, or (iii) forfeited, as set forth in the table below. Mr. Bell’s vested stock options remained exercisable for three months following his separation date.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53">
                <wp:simplePos x="0" y="0"/>
                <wp:positionH relativeFrom="column">
                  <wp:align>left</wp:align>
                </wp:positionH>
                <wp:positionV relativeFrom="line">
                  <wp:align>top</wp:align>
                </wp:positionV>
                <wp:extent cx="128270" cy="525780"/>
                <wp:effectExtent l="0" t="0" r="0" b="0"/>
                <wp:wrapSquare wrapText="right"/>
                <wp:docPr id="246" name="Frame185"/>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(14)</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0" w:type="dxa"/>
          <w:right w:w="0" w:type="dxa"/>
        </w:tblCellMar>
      </w:tblPr>
      <w:tblGrid>
        <w:gridCol w:w="124"/>
        <w:gridCol w:w="1906"/>
        <w:gridCol w:w="109"/>
        <w:gridCol w:w="109"/>
        <w:gridCol w:w="823"/>
        <w:gridCol w:w="109"/>
        <w:gridCol w:w="109"/>
        <w:gridCol w:w="1210"/>
        <w:gridCol w:w="109"/>
        <w:gridCol w:w="109"/>
        <w:gridCol w:w="1124"/>
        <w:gridCol w:w="109"/>
        <w:gridCol w:w="109"/>
        <w:gridCol w:w="1599"/>
        <w:gridCol w:w="109"/>
        <w:gridCol w:w="109"/>
        <w:gridCol w:w="1452"/>
        <w:gridCol w:w="157"/>
      </w:tblGrid>
      <w:tr>
        <w:trPr/>
        <w:tc>
          <w:tcPr>
            <w:tcW w:w="124" w:type="dxa"/>
            <w:tcBorders/>
            <w:shd w:fill="000000" w:val="clear"/>
            <w:vAlign w:val="center"/>
          </w:tcPr>
          <w:p>
            <w:pPr>
              <w:pStyle w:val="TableContents"/>
              <w:bidi w:val="0"/>
              <w:spacing w:before="0" w:after="283"/>
              <w:jc w:val="left"/>
              <w:rPr/>
            </w:pPr>
            <w:r>
              <w:rPr/>
              <w:t>​</w:t>
            </w:r>
          </w:p>
        </w:tc>
        <w:tc>
          <w:tcPr>
            <w:tcW w:w="1906" w:type="dxa"/>
            <w:tcBorders/>
            <w:shd w:fill="000000" w:val="clear"/>
            <w:vAlign w:val="center"/>
          </w:tcPr>
          <w:p>
            <w:pPr>
              <w:pStyle w:val="TableContents"/>
              <w:bidi w:val="0"/>
              <w:spacing w:before="0" w:after="0"/>
              <w:jc w:val="left"/>
              <w:rPr/>
            </w:pPr>
            <w:r>
              <w:rPr/>
              <w:t xml:space="preserve">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23" w:type="dxa"/>
            <w:tcBorders/>
            <w:shd w:fill="000000" w:val="clear"/>
            <w:vAlign w:val="center"/>
          </w:tcPr>
          <w:p>
            <w:pPr>
              <w:pStyle w:val="TableContents"/>
              <w:bidi w:val="0"/>
              <w:spacing w:before="0" w:after="0"/>
              <w:jc w:val="left"/>
              <w:rPr/>
            </w:pPr>
            <w:r>
              <w:rPr/>
              <w:t xml:space="preserve">Grant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tcBorders/>
            <w:shd w:fill="000000" w:val="clear"/>
            <w:vAlign w:val="center"/>
          </w:tcPr>
          <w:p>
            <w:pPr>
              <w:pStyle w:val="TableContents"/>
              <w:bidi w:val="0"/>
              <w:spacing w:before="0" w:after="0"/>
              <w:jc w:val="left"/>
              <w:rPr/>
            </w:pPr>
            <w:r>
              <w:rPr/>
              <w:t xml:space="preserve">Total # Shares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24" w:type="dxa"/>
            <w:tcBorders/>
            <w:shd w:fill="000000" w:val="clear"/>
            <w:vAlign w:val="center"/>
          </w:tcPr>
          <w:p>
            <w:pPr>
              <w:pStyle w:val="TableContents"/>
              <w:bidi w:val="0"/>
              <w:spacing w:before="0" w:after="283"/>
              <w:jc w:val="left"/>
              <w:rPr/>
            </w:pPr>
            <w:r>
              <w:rPr/>
              <w:t>Previously</w:t>
              <w:br/>
              <w:t xml:space="preserve">Vested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99" w:type="dxa"/>
            <w:tcBorders/>
            <w:shd w:fill="000000" w:val="clear"/>
            <w:vAlign w:val="center"/>
          </w:tcPr>
          <w:p>
            <w:pPr>
              <w:pStyle w:val="TableContents"/>
              <w:bidi w:val="0"/>
              <w:spacing w:before="0" w:after="0"/>
              <w:jc w:val="left"/>
              <w:rPr/>
            </w:pPr>
            <w:r>
              <w:rPr/>
              <w:t xml:space="preserve">Accelerated Vesting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52" w:type="dxa"/>
            <w:tcBorders/>
            <w:shd w:fill="000000" w:val="clear"/>
            <w:vAlign w:val="center"/>
          </w:tcPr>
          <w:p>
            <w:pPr>
              <w:pStyle w:val="TableContents"/>
              <w:bidi w:val="0"/>
              <w:spacing w:before="0" w:after="0"/>
              <w:jc w:val="left"/>
              <w:rPr/>
            </w:pPr>
            <w:r>
              <w:rPr/>
              <w:t xml:space="preserve">Unvested/Forfeited (#)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906" w:type="dxa"/>
            <w:tcBorders>
              <w:bottom w:val="single" w:sz="6" w:space="0" w:color="000000"/>
            </w:tcBorders>
            <w:tcMar>
              <w:bottom w:w="148" w:type="dxa"/>
            </w:tcMar>
            <w:vAlign w:val="center"/>
          </w:tcPr>
          <w:p>
            <w:pPr>
              <w:pStyle w:val="TableContents"/>
              <w:bidi w:val="0"/>
              <w:spacing w:before="0" w:after="283"/>
              <w:jc w:val="left"/>
              <w:rPr/>
            </w:pPr>
            <w:r>
              <w:rPr/>
              <w:t xml:space="preserve">RSU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3" w:type="dxa"/>
            <w:tcBorders>
              <w:bottom w:val="single" w:sz="6" w:space="0" w:color="000000"/>
            </w:tcBorders>
            <w:tcMar>
              <w:bottom w:w="148" w:type="dxa"/>
            </w:tcMar>
            <w:vAlign w:val="center"/>
          </w:tcPr>
          <w:p>
            <w:pPr>
              <w:pStyle w:val="TableContents"/>
              <w:bidi w:val="0"/>
              <w:spacing w:before="0" w:after="283"/>
              <w:jc w:val="left"/>
              <w:rPr/>
            </w:pPr>
            <w:r>
              <w:rPr/>
              <w:t xml:space="preserve">03/31/21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1,322,000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4" w:type="dxa"/>
            <w:tcBorders>
              <w:bottom w:val="single" w:sz="6" w:space="0" w:color="000000"/>
            </w:tcBorders>
            <w:tcMar>
              <w:bottom w:w="148" w:type="dxa"/>
            </w:tcMar>
            <w:vAlign w:val="center"/>
          </w:tcPr>
          <w:p>
            <w:pPr>
              <w:pStyle w:val="TableContents"/>
              <w:bidi w:val="0"/>
              <w:spacing w:before="0" w:after="283"/>
              <w:jc w:val="left"/>
              <w:rPr/>
            </w:pPr>
            <w:r>
              <w:rPr/>
              <w:t xml:space="preserve">1,156,750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9" w:type="dxa"/>
            <w:tcBorders>
              <w:bottom w:val="single" w:sz="6" w:space="0" w:color="000000"/>
            </w:tcBorders>
            <w:tcMar>
              <w:bottom w:w="148" w:type="dxa"/>
            </w:tcMar>
            <w:vAlign w:val="center"/>
          </w:tcPr>
          <w:p>
            <w:pPr>
              <w:pStyle w:val="TableContents"/>
              <w:bidi w:val="0"/>
              <w:spacing w:before="0" w:after="283"/>
              <w:jc w:val="left"/>
              <w:rPr/>
            </w:pPr>
            <w:r>
              <w:rPr/>
              <w:t>66,100</w:t>
            </w:r>
            <w:r>
              <w:rPr>
                <w:sz w:val="10"/>
              </w:rPr>
              <w:t>(a)</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2" w:type="dxa"/>
            <w:tcBorders>
              <w:bottom w:val="single" w:sz="6" w:space="0" w:color="000000"/>
            </w:tcBorders>
            <w:tcMar>
              <w:bottom w:w="148" w:type="dxa"/>
            </w:tcMar>
            <w:vAlign w:val="center"/>
          </w:tcPr>
          <w:p>
            <w:pPr>
              <w:pStyle w:val="TableContents"/>
              <w:bidi w:val="0"/>
              <w:spacing w:before="0" w:after="283"/>
              <w:jc w:val="left"/>
              <w:rPr/>
            </w:pPr>
            <w:r>
              <w:rPr/>
              <w:t>99,150</w:t>
            </w:r>
            <w:r>
              <w:rPr>
                <w:sz w:val="10"/>
              </w:rPr>
              <w:t>(a)</w:t>
            </w: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906" w:type="dxa"/>
            <w:tcBorders>
              <w:bottom w:val="single" w:sz="6" w:space="0" w:color="000000"/>
            </w:tcBorders>
            <w:tcMar>
              <w:bottom w:w="148" w:type="dxa"/>
            </w:tcMar>
            <w:vAlign w:val="center"/>
          </w:tcPr>
          <w:p>
            <w:pPr>
              <w:pStyle w:val="TableContents"/>
              <w:bidi w:val="0"/>
              <w:spacing w:before="0" w:after="283"/>
              <w:jc w:val="left"/>
              <w:rPr/>
            </w:pPr>
            <w:r>
              <w:rPr/>
              <w:t xml:space="preserve">RSU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3" w:type="dxa"/>
            <w:tcBorders>
              <w:bottom w:val="single" w:sz="6" w:space="0" w:color="000000"/>
            </w:tcBorders>
            <w:tcMar>
              <w:bottom w:w="148" w:type="dxa"/>
            </w:tcMar>
            <w:vAlign w:val="center"/>
          </w:tcPr>
          <w:p>
            <w:pPr>
              <w:pStyle w:val="TableContents"/>
              <w:bidi w:val="0"/>
              <w:spacing w:before="0" w:after="283"/>
              <w:jc w:val="left"/>
              <w:rPr/>
            </w:pPr>
            <w:r>
              <w:rPr/>
              <w:t xml:space="preserve">06/06/22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274,122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4" w:type="dxa"/>
            <w:tcBorders>
              <w:bottom w:val="single" w:sz="6" w:space="0" w:color="000000"/>
            </w:tcBorders>
            <w:tcMar>
              <w:bottom w:w="148" w:type="dxa"/>
            </w:tcMar>
            <w:vAlign w:val="center"/>
          </w:tcPr>
          <w:p>
            <w:pPr>
              <w:pStyle w:val="TableContents"/>
              <w:bidi w:val="0"/>
              <w:spacing w:before="0" w:after="283"/>
              <w:jc w:val="left"/>
              <w:rPr/>
            </w:pPr>
            <w:r>
              <w:rPr/>
              <w:t>137,061</w:t>
            </w:r>
            <w:r>
              <w:rPr>
                <w:sz w:val="10"/>
              </w:rPr>
              <w:t>(4)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9"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2" w:type="dxa"/>
            <w:tcBorders>
              <w:bottom w:val="single" w:sz="6" w:space="0" w:color="000000"/>
            </w:tcBorders>
            <w:tcMar>
              <w:bottom w:w="148" w:type="dxa"/>
            </w:tcMar>
            <w:vAlign w:val="center"/>
          </w:tcPr>
          <w:p>
            <w:pPr>
              <w:pStyle w:val="TableContents"/>
              <w:bidi w:val="0"/>
              <w:spacing w:before="0" w:after="283"/>
              <w:jc w:val="left"/>
              <w:rPr/>
            </w:pPr>
            <w:r>
              <w:rPr/>
              <w:t xml:space="preserve">137,061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906" w:type="dxa"/>
            <w:tcBorders>
              <w:bottom w:val="single" w:sz="6" w:space="0" w:color="000000"/>
            </w:tcBorders>
            <w:tcMar>
              <w:bottom w:w="148" w:type="dxa"/>
            </w:tcMar>
            <w:vAlign w:val="center"/>
          </w:tcPr>
          <w:p>
            <w:pPr>
              <w:pStyle w:val="TableContents"/>
              <w:bidi w:val="0"/>
              <w:spacing w:before="0" w:after="283"/>
              <w:jc w:val="left"/>
              <w:rPr/>
            </w:pPr>
            <w:r>
              <w:rPr/>
              <w:t xml:space="preserve">RSU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3" w:type="dxa"/>
            <w:tcBorders>
              <w:bottom w:val="single" w:sz="6" w:space="0" w:color="000000"/>
            </w:tcBorders>
            <w:tcMar>
              <w:bottom w:w="148" w:type="dxa"/>
            </w:tcMar>
            <w:vAlign w:val="center"/>
          </w:tcPr>
          <w:p>
            <w:pPr>
              <w:pStyle w:val="TableContents"/>
              <w:bidi w:val="0"/>
              <w:spacing w:before="0" w:after="283"/>
              <w:jc w:val="left"/>
              <w:rPr/>
            </w:pPr>
            <w:r>
              <w:rPr/>
              <w:t xml:space="preserve">09/10/23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408,663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4" w:type="dxa"/>
            <w:tcBorders>
              <w:bottom w:val="single" w:sz="6" w:space="0" w:color="000000"/>
            </w:tcBorders>
            <w:tcMar>
              <w:bottom w:w="148" w:type="dxa"/>
            </w:tcMar>
            <w:vAlign w:val="center"/>
          </w:tcPr>
          <w:p>
            <w:pPr>
              <w:pStyle w:val="TableContents"/>
              <w:bidi w:val="0"/>
              <w:spacing w:before="0" w:after="283"/>
              <w:jc w:val="left"/>
              <w:rPr/>
            </w:pPr>
            <w:r>
              <w:rPr/>
              <w:t>102,165</w:t>
            </w:r>
            <w:r>
              <w:rPr>
                <w:sz w:val="10"/>
              </w:rPr>
              <w:t>(5)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9"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2" w:type="dxa"/>
            <w:tcBorders>
              <w:bottom w:val="single" w:sz="6" w:space="0" w:color="000000"/>
            </w:tcBorders>
            <w:tcMar>
              <w:bottom w:w="148" w:type="dxa"/>
            </w:tcMar>
            <w:vAlign w:val="center"/>
          </w:tcPr>
          <w:p>
            <w:pPr>
              <w:pStyle w:val="TableContents"/>
              <w:bidi w:val="0"/>
              <w:spacing w:before="0" w:after="283"/>
              <w:jc w:val="left"/>
              <w:rPr/>
            </w:pPr>
            <w:r>
              <w:rPr/>
              <w:t xml:space="preserve">306,498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906" w:type="dxa"/>
            <w:tcBorders>
              <w:bottom w:val="single" w:sz="6" w:space="0" w:color="000000"/>
            </w:tcBorders>
            <w:tcMar>
              <w:bottom w:w="148" w:type="dxa"/>
            </w:tcMar>
            <w:vAlign w:val="center"/>
          </w:tcPr>
          <w:p>
            <w:pPr>
              <w:pStyle w:val="TableContents"/>
              <w:bidi w:val="0"/>
              <w:spacing w:before="0" w:after="283"/>
              <w:jc w:val="left"/>
              <w:rPr/>
            </w:pPr>
            <w:r>
              <w:rPr/>
              <w:t xml:space="preserve">PSU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3" w:type="dxa"/>
            <w:tcBorders>
              <w:bottom w:val="single" w:sz="6" w:space="0" w:color="000000"/>
            </w:tcBorders>
            <w:tcMar>
              <w:bottom w:w="148" w:type="dxa"/>
            </w:tcMar>
            <w:vAlign w:val="center"/>
          </w:tcPr>
          <w:p>
            <w:pPr>
              <w:pStyle w:val="TableContents"/>
              <w:bidi w:val="0"/>
              <w:spacing w:before="0" w:after="283"/>
              <w:jc w:val="left"/>
              <w:rPr/>
            </w:pPr>
            <w:r>
              <w:rPr/>
              <w:t xml:space="preserve">09/10/23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817,327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4" w:type="dxa"/>
            <w:tcBorders>
              <w:bottom w:val="single" w:sz="6" w:space="0" w:color="000000"/>
            </w:tcBorders>
            <w:tcMar>
              <w:bottom w:w="148" w:type="dxa"/>
            </w:tcMar>
            <w:vAlign w:val="center"/>
          </w:tcPr>
          <w:p>
            <w:pPr>
              <w:pStyle w:val="TableContents"/>
              <w:bidi w:val="0"/>
              <w:spacing w:before="0" w:after="283"/>
              <w:jc w:val="left"/>
              <w:rPr/>
            </w:pPr>
            <w:r>
              <w:rPr/>
              <w:t>45,784</w:t>
            </w:r>
            <w:r>
              <w:rPr>
                <w:sz w:val="10"/>
              </w:rPr>
              <w:t>(c)</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9"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2" w:type="dxa"/>
            <w:tcBorders>
              <w:bottom w:val="single" w:sz="6" w:space="0" w:color="000000"/>
            </w:tcBorders>
            <w:tcMar>
              <w:bottom w:w="148" w:type="dxa"/>
            </w:tcMar>
            <w:vAlign w:val="center"/>
          </w:tcPr>
          <w:p>
            <w:pPr>
              <w:pStyle w:val="TableContents"/>
              <w:bidi w:val="0"/>
              <w:spacing w:before="0" w:after="283"/>
              <w:jc w:val="left"/>
              <w:rPr/>
            </w:pPr>
            <w:r>
              <w:rPr/>
              <w:t xml:space="preserve">771,543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906" w:type="dxa"/>
            <w:tcBorders>
              <w:bottom w:val="single" w:sz="2" w:space="0" w:color="FFFFFF"/>
            </w:tcBorders>
            <w:tcMar>
              <w:bottom w:w="148" w:type="dxa"/>
            </w:tcMar>
            <w:vAlign w:val="center"/>
          </w:tcPr>
          <w:p>
            <w:pPr>
              <w:pStyle w:val="TableContents"/>
              <w:bidi w:val="0"/>
              <w:spacing w:before="0" w:after="283"/>
              <w:jc w:val="left"/>
              <w:rPr/>
            </w:pPr>
            <w:r>
              <w:rPr/>
              <w:t xml:space="preserve">Premium-Priced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3" w:type="dxa"/>
            <w:tcBorders/>
            <w:vAlign w:val="center"/>
          </w:tcPr>
          <w:p>
            <w:pPr>
              <w:pStyle w:val="TableContents"/>
              <w:bidi w:val="0"/>
              <w:spacing w:before="0" w:after="283"/>
              <w:jc w:val="left"/>
              <w:rPr>
                <w:bdr w:val="single" w:sz="2" w:space="1" w:color="FEFEFE"/>
              </w:rPr>
            </w:pPr>
            <w:r>
              <w:rPr>
                <w:bdr w:val="single" w:sz="2" w:space="1" w:color="FEFEFE"/>
              </w:rPr>
              <w:t xml:space="preserve">09/10/23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left"/>
              <w:rPr>
                <w:bdr w:val="single" w:sz="2" w:space="1" w:color="FEFEFE"/>
              </w:rPr>
            </w:pPr>
            <w:r>
              <w:rPr>
                <w:bdr w:val="single" w:sz="2" w:space="1" w:color="FEFEFE"/>
              </w:rPr>
              <w:t xml:space="preserve">408,663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left"/>
              <w:rPr/>
            </w:pPr>
            <w:r>
              <w:rPr>
                <w:bdr w:val="single" w:sz="2" w:space="1" w:color="FEFEFE"/>
              </w:rPr>
              <w:t>93,651</w:t>
            </w:r>
            <w:r>
              <w:rPr>
                <w:sz w:val="10"/>
                <w:bdr w:val="single" w:sz="2" w:space="1" w:color="FEFEFE"/>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9" w:type="dxa"/>
            <w:tcBorders/>
            <w:vAlign w:val="center"/>
          </w:tcPr>
          <w:p>
            <w:pPr>
              <w:pStyle w:val="TableContents"/>
              <w:bidi w:val="0"/>
              <w:spacing w:before="0" w:after="283"/>
              <w:jc w:val="left"/>
              <w:rPr/>
            </w:pPr>
            <w:r>
              <w:rPr>
                <w:bdr w:val="single" w:sz="2" w:space="1" w:color="FEFEFE"/>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2" w:type="dxa"/>
            <w:tcBorders/>
            <w:vAlign w:val="center"/>
          </w:tcPr>
          <w:p>
            <w:pPr>
              <w:pStyle w:val="TableContents"/>
              <w:bidi w:val="0"/>
              <w:spacing w:before="0" w:after="283"/>
              <w:jc w:val="left"/>
              <w:rPr/>
            </w:pPr>
            <w:r>
              <w:rPr>
                <w:bdr w:val="single" w:sz="2" w:space="1" w:color="FEFEFE"/>
              </w:rPr>
              <w:t>408,663</w:t>
            </w:r>
            <w:r>
              <w:rPr>
                <w:sz w:val="10"/>
                <w:bdr w:val="single" w:sz="2" w:space="1" w:color="FEFEFE"/>
              </w:rPr>
              <w:t>(b)</w:t>
            </w:r>
            <w:r>
              <w:rPr/>
              <w:t xml:space="preserve"> </w:t>
            </w:r>
          </w:p>
        </w:tc>
        <w:tc>
          <w:tcPr>
            <w:tcW w:w="157" w:type="dxa"/>
            <w:tcBorders/>
            <w:vAlign w:val="center"/>
          </w:tcPr>
          <w:p>
            <w:pPr>
              <w:pStyle w:val="TableContents"/>
              <w:bidi w:val="0"/>
              <w:spacing w:before="0" w:after="283"/>
              <w:jc w:val="left"/>
              <w:rPr/>
            </w:pPr>
            <w:r>
              <w:rPr/>
              <w:t>​</w:t>
            </w:r>
          </w:p>
        </w:tc>
      </w:tr>
      <w:tr>
        <w:trPr/>
        <w:tc>
          <w:tcPr>
            <w:tcW w:w="9485" w:type="dxa"/>
            <w:gridSpan w:val="18"/>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0" w:after="0"/>
        <w:ind w:left="1033"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Of the 165,250 unvested RSUs, 66,100 RSUs (or 40%, calculated as 25% plus 5% for each year of Mr. Bell’s three years of service) were accelerated pursuant to the terms of the Executive Severance Plan and his participation agreement thereunder. The remaining 99,150 RSUs were cancelled and forfeited upon his separation date on May 3,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03200" distB="0" distL="114300" distR="0" simplePos="0" locked="0" layoutInCell="1" allowOverlap="1" relativeHeight="254">
                <wp:simplePos x="0" y="0"/>
                <wp:positionH relativeFrom="column">
                  <wp:align>left</wp:align>
                </wp:positionH>
                <wp:positionV relativeFrom="line">
                  <wp:align>top</wp:align>
                </wp:positionV>
                <wp:extent cx="84455" cy="525780"/>
                <wp:effectExtent l="0" t="0" r="0" b="0"/>
                <wp:wrapSquare wrapText="right"/>
                <wp:docPr id="247" name="Frame186"/>
                <a:graphic xmlns:a="http://schemas.openxmlformats.org/drawingml/2006/main">
                  <a:graphicData uri="http://schemas.microsoft.com/office/word/2010/wordprocessingShape">
                    <wps:wsp>
                      <wps:cNvSpPr txBox="1"/>
                      <wps:spPr>
                        <a:xfrm>
                          <a:off x="0" y="0"/>
                          <a:ext cx="84455" cy="525780"/>
                        </a:xfrm>
                        <a:prstGeom prst="rect"/>
                        <a:solidFill>
                          <a:srgbClr val="FFFFFF"/>
                        </a:solidFill>
                      </wps:spPr>
                      <wps:txbx>
                        <w:txbxContent>
                          <w:p>
                            <w:pPr>
                              <w:pStyle w:val="TextBody"/>
                              <w:bidi w:val="0"/>
                              <w:spacing w:lineRule="atLeast" w:line="142" w:before="0" w:after="283"/>
                              <w:jc w:val="left"/>
                              <w:rPr/>
                            </w:pPr>
                            <w:r>
                              <w:rPr>
                                <w:sz w:val="9"/>
                              </w:rPr>
                              <w:t>(a)</w:t>
                            </w:r>
                            <w:r>
                              <w:rPr/>
                              <w:t xml:space="preserve"> </w:t>
                              <w:br/>
                            </w:r>
                          </w:p>
                        </w:txbxContent>
                      </wps:txbx>
                      <wps:bodyPr anchor="t" lIns="0" tIns="0" rIns="0" bIns="0">
                        <a:noAutofit/>
                      </wps:bodyPr>
                    </wps:wsp>
                  </a:graphicData>
                </a:graphic>
              </wp:anchor>
            </w:drawing>
          </mc:Choice>
          <mc:Fallback>
            <w:pict>
              <v:rect style="position:absolute;rotation:-0;width:6.65pt;height:41.4pt;mso-wrap-distance-left:9pt;mso-wrap-distance-right:0pt;mso-wrap-distance-top:16pt;mso-wrap-distance-bottom:0pt;margin-top:16pt;mso-position-vertical:top;mso-position-vertical-relative:text;margin-left:9pt;mso-position-horizontal:left;mso-position-horizontal-relative:text">
                <v:textbox>
                  <w:txbxContent>
                    <w:p>
                      <w:pPr>
                        <w:pStyle w:val="TextBody"/>
                        <w:bidi w:val="0"/>
                        <w:spacing w:lineRule="atLeast" w:line="142" w:before="0" w:after="283"/>
                        <w:jc w:val="left"/>
                        <w:rPr/>
                      </w:pPr>
                      <w:r>
                        <w:rPr>
                          <w:sz w:val="9"/>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4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Includes Mr. Bell’s vested premium price options, which he did not exercise prior to their expiration.</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55">
                <wp:simplePos x="0" y="0"/>
                <wp:positionH relativeFrom="column">
                  <wp:align>left</wp:align>
                </wp:positionH>
                <wp:positionV relativeFrom="line">
                  <wp:align>top</wp:align>
                </wp:positionV>
                <wp:extent cx="91440" cy="525780"/>
                <wp:effectExtent l="0" t="0" r="0" b="0"/>
                <wp:wrapSquare wrapText="right"/>
                <wp:docPr id="248" name="Frame187"/>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(b)</w:t>
                            </w:r>
                            <w:r>
                              <w:rPr/>
                              <w:t xml:space="preserve"> </w:t>
                              <w:br/>
                            </w:r>
                          </w:p>
                        </w:txbxContent>
                      </wps:txbx>
                      <wps:bodyPr anchor="t" lIns="0" tIns="0" rIns="0" bIns="0">
                        <a:noAutofit/>
                      </wps:bodyPr>
                    </wps:wsp>
                  </a:graphicData>
                </a:graphic>
              </wp:anchor>
            </w:drawing>
          </mc:Choice>
          <mc:Fallback>
            <w:pict>
              <v:rect style="position:absolute;rotation:-0;width:7.2pt;height:41.4pt;mso-wrap-distance-left:9pt;mso-wrap-distance-right:0pt;mso-wrap-distance-top:5.5pt;mso-wrap-distance-bottom:0pt;margin-top:5.5pt;mso-position-vertical:top;mso-position-vertical-relative:text;margin-left:24.1pt;mso-position-horizontal:left;mso-position-horizontal-relative:text">
                <v:textbox>
                  <w:txbxContent>
                    <w:p>
                      <w:pPr>
                        <w:pStyle w:val="TextBody"/>
                        <w:bidi w:val="0"/>
                        <w:spacing w:lineRule="atLeast" w:line="142" w:before="0" w:after="283"/>
                        <w:jc w:val="left"/>
                        <w:rPr/>
                      </w:pPr>
                      <w:r>
                        <w:rPr>
                          <w:sz w:val="9"/>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33"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Includes the number of vested shares subject to Mr. Bell’s 2023 PSU award. The remaining 771,543 RSUs were cancelled and forfeited upon his separation date on May 3,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56">
                <wp:simplePos x="0" y="0"/>
                <wp:positionH relativeFrom="column">
                  <wp:align>left</wp:align>
                </wp:positionH>
                <wp:positionV relativeFrom="line">
                  <wp:align>top</wp:align>
                </wp:positionV>
                <wp:extent cx="84455" cy="525780"/>
                <wp:effectExtent l="0" t="0" r="0" b="0"/>
                <wp:wrapSquare wrapText="right"/>
                <wp:docPr id="249" name="Frame188"/>
                <a:graphic xmlns:a="http://schemas.openxmlformats.org/drawingml/2006/main">
                  <a:graphicData uri="http://schemas.microsoft.com/office/word/2010/wordprocessingShape">
                    <wps:wsp>
                      <wps:cNvSpPr txBox="1"/>
                      <wps:spPr>
                        <a:xfrm>
                          <a:off x="0" y="0"/>
                          <a:ext cx="84455" cy="525780"/>
                        </a:xfrm>
                        <a:prstGeom prst="rect"/>
                        <a:solidFill>
                          <a:srgbClr val="FFFFFF"/>
                        </a:solidFill>
                      </wps:spPr>
                      <wps:txbx>
                        <w:txbxContent>
                          <w:p>
                            <w:pPr>
                              <w:pStyle w:val="TextBody"/>
                              <w:bidi w:val="0"/>
                              <w:spacing w:lineRule="atLeast" w:line="142" w:before="0" w:after="283"/>
                              <w:jc w:val="left"/>
                              <w:rPr/>
                            </w:pPr>
                            <w:r>
                              <w:rPr>
                                <w:sz w:val="9"/>
                              </w:rPr>
                              <w:t>(c)</w:t>
                            </w:r>
                            <w:r>
                              <w:rPr/>
                              <w:t xml:space="preserve"> </w:t>
                              <w:br/>
                            </w:r>
                          </w:p>
                        </w:txbxContent>
                      </wps:txbx>
                      <wps:bodyPr anchor="t" lIns="0" tIns="0" rIns="0" bIns="0">
                        <a:noAutofit/>
                      </wps:bodyPr>
                    </wps:wsp>
                  </a:graphicData>
                </a:graphic>
              </wp:anchor>
            </w:drawing>
          </mc:Choice>
          <mc:Fallback>
            <w:pict>
              <v:rect style="position:absolute;rotation:-0;width:6.65pt;height:41.4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pPr>
                      <w:r>
                        <w:rPr>
                          <w:sz w:val="9"/>
                        </w:rPr>
                        <w:t>(c)</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Market value is calculated based on $3.02 per share, the closing price of our common stock on December 31, 2024. </w:t>
      </w:r>
      <w:r>
        <mc:AlternateContent>
          <mc:Choice Requires="wps">
            <w:drawing>
              <wp:anchor behindDoc="0" distT="69850" distB="0" distL="0" distR="0" simplePos="0" locked="0" layoutInCell="1" allowOverlap="1" relativeHeight="257">
                <wp:simplePos x="0" y="0"/>
                <wp:positionH relativeFrom="column">
                  <wp:align>left</wp:align>
                </wp:positionH>
                <wp:positionV relativeFrom="line">
                  <wp:align>top</wp:align>
                </wp:positionV>
                <wp:extent cx="128270" cy="180340"/>
                <wp:effectExtent l="0" t="0" r="0" b="0"/>
                <wp:wrapSquare wrapText="right"/>
                <wp:docPr id="250" name="Frame189"/>
                <a:graphic xmlns:a="http://schemas.openxmlformats.org/drawingml/2006/main">
                  <a:graphicData uri="http://schemas.microsoft.com/office/word/2010/wordprocessingShape">
                    <wps:wsp>
                      <wps:cNvSpPr txBox="1"/>
                      <wps:spPr>
                        <a:xfrm>
                          <a:off x="0" y="0"/>
                          <a:ext cx="128270"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(15) </w:t>
                              <w:br/>
                            </w:r>
                          </w:p>
                        </w:txbxContent>
                      </wps:txbx>
                      <wps:bodyPr anchor="t" lIns="0" tIns="0" rIns="0" bIns="0">
                        <a:noAutofit/>
                      </wps:bodyPr>
                    </wps:wsp>
                  </a:graphicData>
                </a:graphic>
              </wp:anchor>
            </w:drawing>
          </mc:Choice>
          <mc:Fallback>
            <w:pict>
              <v:rect style="position:absolute;rotation:-0;width:10.1pt;height:14.2pt;mso-wrap-distance-left:0pt;mso-wrap-distance-right:0pt;mso-wrap-distance-top:5.5pt;mso-wrap-distance-bottom:0pt;margin-top:5.5pt;mso-position-vertical:top;mso-position-vertical-relative:text;margin-left:21.2pt;mso-position-horizontal:left;mso-position-horizontal-relative:text">
                <v:textbox>
                  <w:txbxContent>
                    <w:p>
                      <w:pPr>
                        <w:pStyle w:val="TextBody"/>
                        <w:bidi w:val="0"/>
                        <w:spacing w:lineRule="atLeast" w:line="142" w:before="0" w:after="283"/>
                        <w:jc w:val="left"/>
                        <w:rPr>
                          <w:sz w:val="9"/>
                        </w:rPr>
                      </w:pPr>
                      <w:r>
                        <w:rPr>
                          <w:sz w:val="9"/>
                        </w:rPr>
                        <w:t xml:space="preserve">(15)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EAS"/>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Option Exercises and Stock Vested</w:t>
      </w:r>
      <w:r>
        <w:rPr>
          <w:rFonts w:ascii="Times New Roman;Times;serif" w:hAnsi="Times New Roman;Times;serif"/>
          <w:b w:val="false"/>
          <w:i w:val="false"/>
          <w:caps w:val="false"/>
          <w:smallCaps w:val="false"/>
          <w:color w:val="000000"/>
          <w:spacing w:val="8"/>
          <w:sz w:val="40"/>
        </w:rPr>
        <w:t xml:space="preserve"> </w:t>
      </w:r>
    </w:p>
    <w:tbl>
      <w:tblPr>
        <w:tblW w:w="9485" w:type="dxa"/>
        <w:jc w:val="left"/>
        <w:tblInd w:w="720" w:type="dxa"/>
        <w:tblLayout w:type="fixed"/>
        <w:tblCellMar>
          <w:top w:w="0" w:type="dxa"/>
          <w:left w:w="0" w:type="dxa"/>
          <w:bottom w:w="28" w:type="dxa"/>
          <w:right w:w="0" w:type="dxa"/>
        </w:tblCellMar>
      </w:tblPr>
      <w:tblGrid>
        <w:gridCol w:w="124"/>
        <w:gridCol w:w="1648"/>
        <w:gridCol w:w="109"/>
        <w:gridCol w:w="109"/>
        <w:gridCol w:w="2042"/>
        <w:gridCol w:w="109"/>
        <w:gridCol w:w="109"/>
        <w:gridCol w:w="1453"/>
        <w:gridCol w:w="109"/>
        <w:gridCol w:w="109"/>
        <w:gridCol w:w="1696"/>
        <w:gridCol w:w="109"/>
        <w:gridCol w:w="109"/>
        <w:gridCol w:w="1495"/>
        <w:gridCol w:w="155"/>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648"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713" w:type="dxa"/>
            <w:gridSpan w:val="4"/>
            <w:tcBorders>
              <w:bottom w:val="single" w:sz="2" w:space="0" w:color="FEFEFE"/>
            </w:tcBorders>
            <w:shd w:fill="000000" w:val="clear"/>
            <w:tcMar>
              <w:bottom w:w="160" w:type="dxa"/>
            </w:tcMar>
            <w:vAlign w:val="center"/>
          </w:tcPr>
          <w:p>
            <w:pPr>
              <w:pStyle w:val="TableContents"/>
              <w:bidi w:val="0"/>
              <w:spacing w:before="0" w:after="0"/>
              <w:jc w:val="left"/>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09" w:type="dxa"/>
            <w:gridSpan w:val="4"/>
            <w:tcBorders>
              <w:bottom w:val="single" w:sz="2" w:space="0" w:color="FEFEFE"/>
            </w:tcBorders>
            <w:shd w:fill="000000" w:val="clear"/>
            <w:tcMar>
              <w:bottom w:w="160" w:type="dxa"/>
            </w:tcMar>
            <w:vAlign w:val="center"/>
          </w:tcPr>
          <w:p>
            <w:pPr>
              <w:pStyle w:val="TableContents"/>
              <w:bidi w:val="0"/>
              <w:spacing w:before="0" w:after="0"/>
              <w:jc w:val="left"/>
              <w:rPr/>
            </w:pPr>
            <w:r>
              <w:rPr/>
              <w:t xml:space="preserve">Stock Awards </w:t>
            </w:r>
          </w:p>
        </w:tc>
        <w:tc>
          <w:tcPr>
            <w:tcW w:w="155"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648"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2042" w:type="dxa"/>
            <w:tcBorders/>
            <w:shd w:fill="000000" w:val="clear"/>
            <w:tcMar>
              <w:bottom w:w="0" w:type="dxa"/>
            </w:tcMar>
            <w:vAlign w:val="center"/>
          </w:tcPr>
          <w:p>
            <w:pPr>
              <w:pStyle w:val="TableContents"/>
              <w:bidi w:val="0"/>
              <w:spacing w:lineRule="atLeast" w:line="142" w:before="0" w:after="283"/>
              <w:jc w:val="left"/>
              <w:rPr/>
            </w:pPr>
            <w:r>
              <w:rPr/>
              <w:t>Number of Shares</w:t>
              <w:br/>
              <w:t>Acquired on Exercise</w:t>
            </w:r>
            <w:r>
              <w:rPr>
                <w:sz w:val="9"/>
              </w:rPr>
              <w:t>(1)</w:t>
            </w:r>
            <w:r>
              <w:rPr/>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53" w:type="dxa"/>
            <w:tcBorders/>
            <w:shd w:fill="000000" w:val="clear"/>
            <w:tcMar>
              <w:bottom w:w="0" w:type="dxa"/>
            </w:tcMar>
            <w:vAlign w:val="center"/>
          </w:tcPr>
          <w:p>
            <w:pPr>
              <w:pStyle w:val="TableContents"/>
              <w:bidi w:val="0"/>
              <w:spacing w:lineRule="atLeast" w:line="142" w:before="0" w:after="283"/>
              <w:jc w:val="left"/>
              <w:rPr/>
            </w:pPr>
            <w:r>
              <w:rPr/>
              <w:t>Value Realized</w:t>
              <w:br/>
              <w:t>on Exercise</w:t>
            </w:r>
            <w:r>
              <w:rPr>
                <w:sz w:val="9"/>
              </w:rPr>
              <w:t>(2)</w:t>
            </w:r>
            <w:r>
              <w:rPr/>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96" w:type="dxa"/>
            <w:tcBorders/>
            <w:shd w:fill="000000" w:val="clear"/>
            <w:tcMar>
              <w:bottom w:w="0" w:type="dxa"/>
            </w:tcMar>
            <w:vAlign w:val="center"/>
          </w:tcPr>
          <w:p>
            <w:pPr>
              <w:pStyle w:val="TableContents"/>
              <w:bidi w:val="0"/>
              <w:spacing w:lineRule="atLeast" w:line="142" w:before="0" w:after="283"/>
              <w:jc w:val="left"/>
              <w:rPr/>
            </w:pPr>
            <w:r>
              <w:rPr/>
              <w:t>Number of Shares</w:t>
              <w:br/>
              <w:t>Acquired on</w:t>
              <w:br/>
              <w:t>Vesting</w:t>
            </w:r>
            <w:r>
              <w:rPr>
                <w:sz w:val="9"/>
              </w:rPr>
              <w:t>(3)</w:t>
            </w:r>
            <w:r>
              <w:rPr/>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95" w:type="dxa"/>
            <w:tcBorders/>
            <w:shd w:fill="000000" w:val="clear"/>
            <w:tcMar>
              <w:bottom w:w="0" w:type="dxa"/>
            </w:tcMar>
            <w:vAlign w:val="center"/>
          </w:tcPr>
          <w:p>
            <w:pPr>
              <w:pStyle w:val="TableContents"/>
              <w:bidi w:val="0"/>
              <w:spacing w:lineRule="atLeast" w:line="142" w:before="0" w:after="283"/>
              <w:jc w:val="left"/>
              <w:rPr/>
            </w:pPr>
            <w:r>
              <w:rPr/>
              <w:t>Value Realized</w:t>
              <w:br/>
              <w:t>on Vesting</w:t>
            </w:r>
            <w:r>
              <w:rPr>
                <w:sz w:val="9"/>
              </w:rPr>
              <w:t>(4)</w:t>
            </w:r>
            <w:r>
              <w:rPr/>
              <w:br/>
              <w:t xml:space="preserve">($) </w:t>
            </w:r>
          </w:p>
        </w:tc>
        <w:tc>
          <w:tcPr>
            <w:tcW w:w="155"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48" w:type="dxa"/>
            <w:tcBorders>
              <w:bottom w:val="single" w:sz="6" w:space="0" w:color="000000"/>
            </w:tcBorders>
            <w:tcMar>
              <w:bottom w:w="148"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42" w:type="dxa"/>
            <w:tcBorders>
              <w:bottom w:val="single" w:sz="6" w:space="0" w:color="000000"/>
            </w:tcBorders>
            <w:tcMar>
              <w:bottom w:w="148" w:type="dxa"/>
            </w:tcMar>
            <w:vAlign w:val="center"/>
          </w:tcPr>
          <w:p>
            <w:pPr>
              <w:pStyle w:val="TableContents"/>
              <w:bidi w:val="0"/>
              <w:spacing w:before="0" w:after="283"/>
              <w:jc w:val="left"/>
              <w:rPr/>
            </w:pPr>
            <w:r>
              <w:rPr/>
              <w:t xml:space="preserve">181,467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3" w:type="dxa"/>
            <w:tcBorders>
              <w:bottom w:val="single" w:sz="6" w:space="0" w:color="000000"/>
            </w:tcBorders>
            <w:tcMar>
              <w:bottom w:w="148" w:type="dxa"/>
            </w:tcMar>
            <w:vAlign w:val="center"/>
          </w:tcPr>
          <w:p>
            <w:pPr>
              <w:pStyle w:val="TableContents"/>
              <w:bidi w:val="0"/>
              <w:spacing w:before="0" w:after="283"/>
              <w:jc w:val="left"/>
              <w:rPr/>
            </w:pPr>
            <w:r>
              <w:rPr/>
              <w:t xml:space="preserve">266,756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148" w:type="dxa"/>
            </w:tcMar>
            <w:vAlign w:val="center"/>
          </w:tcPr>
          <w:p>
            <w:pPr>
              <w:pStyle w:val="TableContents"/>
              <w:bidi w:val="0"/>
              <w:spacing w:before="0" w:after="283"/>
              <w:jc w:val="left"/>
              <w:rPr/>
            </w:pPr>
            <w:r>
              <w:rPr/>
              <w:t xml:space="preserve">3,458,684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95" w:type="dxa"/>
            <w:tcBorders>
              <w:bottom w:val="single" w:sz="6" w:space="0" w:color="000000"/>
            </w:tcBorders>
            <w:tcMar>
              <w:bottom w:w="148" w:type="dxa"/>
            </w:tcMar>
            <w:vAlign w:val="center"/>
          </w:tcPr>
          <w:p>
            <w:pPr>
              <w:pStyle w:val="TableContents"/>
              <w:bidi w:val="0"/>
              <w:spacing w:before="0" w:after="283"/>
              <w:jc w:val="left"/>
              <w:rPr/>
            </w:pPr>
            <w:r>
              <w:rPr/>
              <w:t xml:space="preserve">10,358,760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48" w:type="dxa"/>
            <w:tcBorders>
              <w:bottom w:val="single" w:sz="6" w:space="0" w:color="000000"/>
            </w:tcBorders>
            <w:tcMar>
              <w:bottom w:w="148"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42"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3"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148" w:type="dxa"/>
            </w:tcMar>
            <w:vAlign w:val="center"/>
          </w:tcPr>
          <w:p>
            <w:pPr>
              <w:pStyle w:val="TableContents"/>
              <w:bidi w:val="0"/>
              <w:spacing w:before="0" w:after="283"/>
              <w:jc w:val="left"/>
              <w:rPr/>
            </w:pPr>
            <w:r>
              <w:rPr/>
              <w:t xml:space="preserve">290,775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95" w:type="dxa"/>
            <w:tcBorders>
              <w:bottom w:val="single" w:sz="6" w:space="0" w:color="000000"/>
            </w:tcBorders>
            <w:tcMar>
              <w:bottom w:w="148" w:type="dxa"/>
            </w:tcMar>
            <w:vAlign w:val="center"/>
          </w:tcPr>
          <w:p>
            <w:pPr>
              <w:pStyle w:val="TableContents"/>
              <w:bidi w:val="0"/>
              <w:spacing w:before="0" w:after="283"/>
              <w:jc w:val="left"/>
              <w:rPr/>
            </w:pPr>
            <w:r>
              <w:rPr/>
              <w:t xml:space="preserve">825,385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48" w:type="dxa"/>
            <w:tcBorders>
              <w:bottom w:val="single" w:sz="6" w:space="0" w:color="000000"/>
            </w:tcBorders>
            <w:tcMar>
              <w:bottom w:w="148"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42"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3"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148" w:type="dxa"/>
            </w:tcMar>
            <w:vAlign w:val="center"/>
          </w:tcPr>
          <w:p>
            <w:pPr>
              <w:pStyle w:val="TableContents"/>
              <w:bidi w:val="0"/>
              <w:spacing w:before="0" w:after="283"/>
              <w:jc w:val="left"/>
              <w:rPr/>
            </w:pPr>
            <w:r>
              <w:rPr/>
              <w:t xml:space="preserve">178,477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95" w:type="dxa"/>
            <w:tcBorders>
              <w:bottom w:val="single" w:sz="6" w:space="0" w:color="000000"/>
            </w:tcBorders>
            <w:tcMar>
              <w:bottom w:w="148" w:type="dxa"/>
            </w:tcMar>
            <w:vAlign w:val="center"/>
          </w:tcPr>
          <w:p>
            <w:pPr>
              <w:pStyle w:val="TableContents"/>
              <w:bidi w:val="0"/>
              <w:spacing w:before="0" w:after="283"/>
              <w:jc w:val="left"/>
              <w:rPr/>
            </w:pPr>
            <w:r>
              <w:rPr/>
              <w:t xml:space="preserve">374,802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48" w:type="dxa"/>
            <w:tcBorders>
              <w:bottom w:val="single" w:sz="6" w:space="0" w:color="000000"/>
            </w:tcBorders>
            <w:tcMar>
              <w:bottom w:w="148"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42"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3"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148" w:type="dxa"/>
            </w:tcMar>
            <w:vAlign w:val="center"/>
          </w:tcPr>
          <w:p>
            <w:pPr>
              <w:pStyle w:val="TableContents"/>
              <w:bidi w:val="0"/>
              <w:spacing w:before="0" w:after="283"/>
              <w:jc w:val="left"/>
              <w:rPr/>
            </w:pPr>
            <w:r>
              <w:rPr/>
              <w:t xml:space="preserve">723,969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95" w:type="dxa"/>
            <w:tcBorders>
              <w:bottom w:val="single" w:sz="6" w:space="0" w:color="000000"/>
            </w:tcBorders>
            <w:tcMar>
              <w:bottom w:w="148" w:type="dxa"/>
            </w:tcMar>
            <w:vAlign w:val="center"/>
          </w:tcPr>
          <w:p>
            <w:pPr>
              <w:pStyle w:val="TableContents"/>
              <w:bidi w:val="0"/>
              <w:spacing w:before="0" w:after="283"/>
              <w:jc w:val="left"/>
              <w:rPr/>
            </w:pPr>
            <w:r>
              <w:rPr/>
              <w:t xml:space="preserve">2,183,762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48" w:type="dxa"/>
            <w:tcBorders>
              <w:bottom w:val="single" w:sz="6" w:space="0" w:color="000000"/>
            </w:tcBorders>
            <w:tcMar>
              <w:bottom w:w="148"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042"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53"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148" w:type="dxa"/>
            </w:tcMar>
            <w:vAlign w:val="center"/>
          </w:tcPr>
          <w:p>
            <w:pPr>
              <w:pStyle w:val="TableContents"/>
              <w:bidi w:val="0"/>
              <w:spacing w:before="0" w:after="283"/>
              <w:jc w:val="left"/>
              <w:rPr/>
            </w:pPr>
            <w:r>
              <w:rPr/>
              <w:t xml:space="preserve">237,183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95" w:type="dxa"/>
            <w:tcBorders>
              <w:bottom w:val="single" w:sz="6" w:space="0" w:color="000000"/>
            </w:tcBorders>
            <w:tcMar>
              <w:bottom w:w="148" w:type="dxa"/>
            </w:tcMar>
            <w:vAlign w:val="center"/>
          </w:tcPr>
          <w:p>
            <w:pPr>
              <w:pStyle w:val="TableContents"/>
              <w:bidi w:val="0"/>
              <w:spacing w:before="0" w:after="283"/>
              <w:jc w:val="left"/>
              <w:rPr/>
            </w:pPr>
            <w:r>
              <w:rPr/>
              <w:t>706,838</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the number of shares of common stock underlying stock options exercised during fiscal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58">
                <wp:simplePos x="0" y="0"/>
                <wp:positionH relativeFrom="column">
                  <wp:align>left</wp:align>
                </wp:positionH>
                <wp:positionV relativeFrom="line">
                  <wp:align>top</wp:align>
                </wp:positionV>
                <wp:extent cx="91440" cy="180340"/>
                <wp:effectExtent l="0" t="0" r="0" b="0"/>
                <wp:wrapSquare wrapText="right"/>
                <wp:docPr id="251" name="Frame190"/>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Computed as the aggregate dollar amount realized upon the exercise of options, determined by multiplying the number of shares of common stock underlying stock options exercised and the difference between the closing price of the underlying shares on the date of exercise and the exercise price of the options.</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59">
                <wp:simplePos x="0" y="0"/>
                <wp:positionH relativeFrom="column">
                  <wp:align>left</wp:align>
                </wp:positionH>
                <wp:positionV relativeFrom="line">
                  <wp:align>top</wp:align>
                </wp:positionV>
                <wp:extent cx="91440" cy="180340"/>
                <wp:effectExtent l="0" t="0" r="0" b="0"/>
                <wp:wrapSquare wrapText="right"/>
                <wp:docPr id="252" name="Frame191"/>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the number of shares of common stock acquired on vesting of the underlying RSUs and PSUs during fiscal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0">
                <wp:simplePos x="0" y="0"/>
                <wp:positionH relativeFrom="column">
                  <wp:align>left</wp:align>
                </wp:positionH>
                <wp:positionV relativeFrom="line">
                  <wp:align>top</wp:align>
                </wp:positionV>
                <wp:extent cx="91440" cy="180340"/>
                <wp:effectExtent l="0" t="0" r="0" b="0"/>
                <wp:wrapSquare wrapText="right"/>
                <wp:docPr id="253" name="Frame192"/>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Computed as the aggregate dollar amount realized upon the vesting of RSUs or PSUs, determined by multiplying the number of units vesting as of the applicable vesting date by the closing price of our Common Stock on the trading day prior to the applicable vesting date. </w:t>
      </w:r>
      <w:r>
        <mc:AlternateContent>
          <mc:Choice Requires="wps">
            <w:drawing>
              <wp:anchor behindDoc="0" distT="69850" distB="0" distL="0" distR="0" simplePos="0" locked="0" layoutInCell="1" allowOverlap="1" relativeHeight="261">
                <wp:simplePos x="0" y="0"/>
                <wp:positionH relativeFrom="column">
                  <wp:align>left</wp:align>
                </wp:positionH>
                <wp:positionV relativeFrom="line">
                  <wp:align>top</wp:align>
                </wp:positionV>
                <wp:extent cx="91440" cy="180340"/>
                <wp:effectExtent l="0" t="0" r="0" b="0"/>
                <wp:wrapSquare wrapText="right"/>
                <wp:docPr id="254" name="Frame193"/>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PUT"/>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Potential Payments Upon Termination or Change in Control</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table below sets forth the payments and benefits that each NEO would have been entitled to receive upon a qualifying termination of employment with the Company with or without the occurrence of a change in control, assuming the relevant termination event (or termination and change in control events) occurred on December 31, 2024. With respect to Mr. Rawlinson, who transitioned to the role of Strategic Technical Advisor in February 2025, please also see “</w:t>
      </w:r>
      <w:r>
        <w:rPr>
          <w:rFonts w:ascii="Arial;Helvetica;sans-serif" w:hAnsi="Arial;Helvetica;sans-serif"/>
          <w:b w:val="false"/>
          <w:i/>
          <w:caps w:val="false"/>
          <w:smallCaps w:val="false"/>
          <w:color w:val="000000"/>
          <w:sz w:val="18"/>
        </w:rPr>
        <w:t>Mr. Rawlinson Transition Agreement</w:t>
      </w:r>
      <w:r>
        <w:rPr>
          <w:rFonts w:ascii="Arial;Helvetica;sans-serif" w:hAnsi="Arial;Helvetica;sans-serif"/>
          <w:b w:val="false"/>
          <w:i w:val="false"/>
          <w:caps w:val="false"/>
          <w:smallCaps w:val="false"/>
          <w:color w:val="000000"/>
          <w:sz w:val="18"/>
        </w:rPr>
        <w:t>” for a description of severance amounts he is actually entitled to. With respect to Mr. Bell, see “</w:t>
      </w:r>
      <w:r>
        <w:rPr>
          <w:rFonts w:ascii="Arial;Helvetica;sans-serif" w:hAnsi="Arial;Helvetica;sans-serif"/>
          <w:b w:val="false"/>
          <w:i/>
          <w:caps w:val="false"/>
          <w:smallCaps w:val="false"/>
          <w:color w:val="000000"/>
          <w:sz w:val="18"/>
        </w:rPr>
        <w:t>Termination and Change in Control Agreements — Bell Separation Agreement”</w:t>
      </w:r>
      <w:r>
        <w:rPr>
          <w:rFonts w:ascii="Arial;Helvetica;sans-serif" w:hAnsi="Arial;Helvetica;sans-serif"/>
          <w:b w:val="false"/>
          <w:i w:val="false"/>
          <w:caps w:val="false"/>
          <w:smallCaps w:val="false"/>
          <w:color w:val="000000"/>
          <w:sz w:val="18"/>
        </w:rPr>
        <w:t xml:space="preserve"> for a description of the severance Mr. Bell became entitled to in connection with his termination of employment in May 2024.</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515"/>
        <w:gridCol w:w="109"/>
        <w:gridCol w:w="109"/>
        <w:gridCol w:w="2470"/>
        <w:gridCol w:w="109"/>
        <w:gridCol w:w="109"/>
        <w:gridCol w:w="1601"/>
        <w:gridCol w:w="109"/>
        <w:gridCol w:w="109"/>
        <w:gridCol w:w="1560"/>
        <w:gridCol w:w="109"/>
        <w:gridCol w:w="109"/>
        <w:gridCol w:w="1186"/>
        <w:gridCol w:w="157"/>
      </w:tblGrid>
      <w:tr>
        <w:trPr/>
        <w:tc>
          <w:tcPr>
            <w:tcW w:w="124" w:type="dxa"/>
            <w:tcBorders/>
            <w:shd w:fill="000000" w:val="clear"/>
            <w:vAlign w:val="center"/>
          </w:tcPr>
          <w:p>
            <w:pPr>
              <w:pStyle w:val="TableContents"/>
              <w:bidi w:val="0"/>
              <w:spacing w:before="0" w:after="283"/>
              <w:jc w:val="left"/>
              <w:rPr/>
            </w:pPr>
            <w:r>
              <w:rPr/>
              <w:t>​</w:t>
            </w:r>
          </w:p>
        </w:tc>
        <w:tc>
          <w:tcPr>
            <w:tcW w:w="1515"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470" w:type="dxa"/>
            <w:tcBorders/>
            <w:shd w:fill="000000" w:val="clear"/>
            <w:vAlign w:val="center"/>
          </w:tcPr>
          <w:p>
            <w:pPr>
              <w:pStyle w:val="TableContents"/>
              <w:bidi w:val="0"/>
              <w:spacing w:before="0" w:after="0"/>
              <w:jc w:val="left"/>
              <w:rPr/>
            </w:pPr>
            <w:r>
              <w:rPr/>
              <w:t xml:space="preserve">Benefit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01" w:type="dxa"/>
            <w:tcBorders/>
            <w:shd w:fill="000000" w:val="clear"/>
            <w:vAlign w:val="center"/>
          </w:tcPr>
          <w:p>
            <w:pPr>
              <w:pStyle w:val="TableContents"/>
              <w:bidi w:val="0"/>
              <w:spacing w:before="0" w:after="283"/>
              <w:jc w:val="left"/>
              <w:rPr/>
            </w:pPr>
            <w:r>
              <w:rPr/>
              <w:t>Termination</w:t>
              <w:br/>
              <w:t>Without Cause or</w:t>
              <w:br/>
              <w:t>Resignation for</w:t>
              <w:br/>
              <w:t>Good Reason Other</w:t>
              <w:br/>
              <w:t>than Change in</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60" w:type="dxa"/>
            <w:tcBorders/>
            <w:shd w:fill="000000" w:val="clear"/>
            <w:vAlign w:val="center"/>
          </w:tcPr>
          <w:p>
            <w:pPr>
              <w:pStyle w:val="TableContents"/>
              <w:bidi w:val="0"/>
              <w:spacing w:before="0" w:after="283"/>
              <w:jc w:val="left"/>
              <w:rPr/>
            </w:pPr>
            <w:r>
              <w:rPr/>
              <w:t>Termination</w:t>
              <w:br/>
              <w:t>Without Cause or</w:t>
              <w:br/>
              <w:t>Resignation for</w:t>
              <w:br/>
              <w:t>Good Reason in</w:t>
              <w:br/>
              <w:t>Connection with a</w:t>
              <w:br/>
              <w:t xml:space="preserve">Change in 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86" w:type="dxa"/>
            <w:tcBorders/>
            <w:shd w:fill="000000" w:val="clear"/>
            <w:vAlign w:val="center"/>
          </w:tcPr>
          <w:p>
            <w:pPr>
              <w:pStyle w:val="TableContents"/>
              <w:bidi w:val="0"/>
              <w:spacing w:lineRule="atLeast" w:line="142" w:before="0" w:after="283"/>
              <w:jc w:val="left"/>
              <w:rPr/>
            </w:pPr>
            <w:r>
              <w:rPr/>
              <w:t>Death or</w:t>
              <w:br/>
              <w:t>Disability</w:t>
            </w:r>
            <w:r>
              <w:rPr>
                <w:sz w:val="9"/>
              </w:rPr>
              <w:t>(1)</w:t>
            </w:r>
            <w:r>
              <w:rP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515" w:type="dxa"/>
            <w:vMerge w:val="restart"/>
            <w:tcBorders>
              <w:bottom w:val="single" w:sz="6" w:space="0" w:color="000000"/>
            </w:tcBorders>
            <w:tcMar>
              <w:bottom w:w="78" w:type="dxa"/>
            </w:tcMar>
            <w:vAlign w:val="center"/>
          </w:tcPr>
          <w:p>
            <w:pPr>
              <w:pStyle w:val="TableContents"/>
              <w:bidi w:val="0"/>
              <w:spacing w:lineRule="atLeast" w:line="180" w:before="0" w:after="0"/>
              <w:jc w:val="left"/>
              <w:rPr/>
            </w:pPr>
            <w:r>
              <w:rPr/>
              <w:t xml:space="preserve">Peter Rawlinson**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lineRule="atLeast" w:line="180" w:before="0" w:after="0"/>
              <w:jc w:val="left"/>
              <w:rPr/>
            </w:pPr>
            <w:r>
              <w:rPr/>
              <w:t>625,000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lineRule="atLeast" w:line="180" w:before="0" w:after="0"/>
              <w:jc w:val="left"/>
              <w:rPr/>
            </w:pPr>
            <w:r>
              <w:rPr/>
              <w:t>1,875,000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r>
              <w:rPr>
                <w:sz w:val="10"/>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7,833,928</w:t>
            </w:r>
            <w:r>
              <w:rPr>
                <w:sz w:val="10"/>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8,374</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12,561</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470" w:type="dxa"/>
            <w:tcBorders>
              <w:bottom w:val="single" w:sz="6" w:space="0" w:color="000000"/>
            </w:tcBorders>
            <w:tcMar>
              <w:bottom w:w="78" w:type="dxa"/>
            </w:tcMar>
            <w:vAlign w:val="center"/>
          </w:tcPr>
          <w:p>
            <w:pPr>
              <w:pStyle w:val="TableContents"/>
              <w:bidi w:val="0"/>
              <w:spacing w:before="0" w:after="283"/>
              <w:jc w:val="left"/>
              <w:rPr/>
            </w:pPr>
            <w:r>
              <w:rPr/>
              <w:t>Total</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01" w:type="dxa"/>
            <w:tcBorders>
              <w:bottom w:val="single" w:sz="6" w:space="0" w:color="000000"/>
            </w:tcBorders>
            <w:tcMar>
              <w:bottom w:w="78" w:type="dxa"/>
            </w:tcMar>
            <w:vAlign w:val="center"/>
          </w:tcPr>
          <w:p>
            <w:pPr>
              <w:pStyle w:val="TableContents"/>
              <w:bidi w:val="0"/>
              <w:spacing w:before="0" w:after="283"/>
              <w:jc w:val="left"/>
              <w:rPr/>
            </w:pPr>
            <w:r>
              <w:rPr/>
              <w:t>$633,374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78" w:type="dxa"/>
            </w:tcMar>
            <w:vAlign w:val="center"/>
          </w:tcPr>
          <w:p>
            <w:pPr>
              <w:pStyle w:val="TableContents"/>
              <w:bidi w:val="0"/>
              <w:spacing w:before="0" w:after="283"/>
              <w:jc w:val="left"/>
              <w:rPr/>
            </w:pPr>
            <w:r>
              <w:rPr/>
              <w:t>$9,721,489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7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515" w:type="dxa"/>
            <w:vMerge w:val="restart"/>
            <w:tcBorders>
              <w:bottom w:val="single" w:sz="6" w:space="0" w:color="000000"/>
            </w:tcBorders>
            <w:tcMar>
              <w:bottom w:w="78" w:type="dxa"/>
            </w:tcMar>
            <w:vAlign w:val="center"/>
          </w:tcPr>
          <w:p>
            <w:pPr>
              <w:pStyle w:val="TableContents"/>
              <w:bidi w:val="0"/>
              <w:spacing w:lineRule="atLeast" w:line="180" w:before="0" w:after="0"/>
              <w:jc w:val="left"/>
              <w:rPr/>
            </w:pPr>
            <w:r>
              <w:rPr/>
              <w:t xml:space="preserve">Gagan Dhingra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lineRule="atLeast" w:line="180" w:before="0" w:after="0"/>
              <w:jc w:val="left"/>
              <w:rPr/>
            </w:pPr>
            <w:r>
              <w:rPr/>
              <w:t>200,000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lineRule="atLeast" w:line="180" w:before="0" w:after="0"/>
              <w:jc w:val="left"/>
              <w:rPr/>
            </w:pPr>
            <w:r>
              <w:rPr/>
              <w:t>450,000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r>
              <w:rPr>
                <w:sz w:val="10"/>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2,656,450</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2,656,450 </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10,009</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15,013</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470" w:type="dxa"/>
            <w:tcBorders>
              <w:bottom w:val="single" w:sz="6" w:space="0" w:color="000000"/>
            </w:tcBorders>
            <w:tcMar>
              <w:bottom w:w="78" w:type="dxa"/>
            </w:tcMar>
            <w:vAlign w:val="center"/>
          </w:tcPr>
          <w:p>
            <w:pPr>
              <w:pStyle w:val="TableContents"/>
              <w:bidi w:val="0"/>
              <w:spacing w:before="0" w:after="283"/>
              <w:jc w:val="left"/>
              <w:rPr/>
            </w:pPr>
            <w:r>
              <w:rPr/>
              <w:t>Total</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01" w:type="dxa"/>
            <w:tcBorders>
              <w:bottom w:val="single" w:sz="6" w:space="0" w:color="000000"/>
            </w:tcBorders>
            <w:tcMar>
              <w:bottom w:w="78" w:type="dxa"/>
            </w:tcMar>
            <w:vAlign w:val="center"/>
          </w:tcPr>
          <w:p>
            <w:pPr>
              <w:pStyle w:val="TableContents"/>
              <w:bidi w:val="0"/>
              <w:spacing w:before="0" w:after="283"/>
              <w:jc w:val="left"/>
              <w:rPr/>
            </w:pPr>
            <w:r>
              <w:rPr/>
              <w:t>$210,009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78" w:type="dxa"/>
            </w:tcMar>
            <w:vAlign w:val="center"/>
          </w:tcPr>
          <w:p>
            <w:pPr>
              <w:pStyle w:val="TableContents"/>
              <w:bidi w:val="0"/>
              <w:spacing w:before="0" w:after="283"/>
              <w:jc w:val="left"/>
              <w:rPr/>
            </w:pPr>
            <w:r>
              <w:rPr/>
              <w:t>$3,121,463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78" w:type="dxa"/>
            </w:tcMar>
            <w:vAlign w:val="center"/>
          </w:tcPr>
          <w:p>
            <w:pPr>
              <w:pStyle w:val="TableContents"/>
              <w:bidi w:val="0"/>
              <w:spacing w:before="0" w:after="283"/>
              <w:jc w:val="left"/>
              <w:rPr/>
            </w:pPr>
            <w:r>
              <w:rPr/>
              <w:t>$2,656,450</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515" w:type="dxa"/>
            <w:vMerge w:val="restart"/>
            <w:tcBorders>
              <w:bottom w:val="single" w:sz="6" w:space="0" w:color="000000"/>
            </w:tcBorders>
            <w:tcMar>
              <w:bottom w:w="78" w:type="dxa"/>
            </w:tcMar>
            <w:vAlign w:val="center"/>
          </w:tcPr>
          <w:p>
            <w:pPr>
              <w:pStyle w:val="TableContents"/>
              <w:bidi w:val="0"/>
              <w:spacing w:lineRule="atLeast" w:line="180" w:before="0" w:after="0"/>
              <w:jc w:val="left"/>
              <w:rPr/>
            </w:pPr>
            <w:r>
              <w:rPr/>
              <w:t xml:space="preserve">Marc Winterhoff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lineRule="atLeast" w:line="180" w:before="0" w:after="0"/>
              <w:jc w:val="left"/>
              <w:rPr/>
            </w:pPr>
            <w:r>
              <w:rPr/>
              <w:t>981,750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lineRule="atLeast" w:line="180" w:before="0" w:after="0"/>
              <w:jc w:val="left"/>
              <w:rPr/>
            </w:pPr>
            <w:r>
              <w:rPr/>
              <w:t>1,130,500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8,069,773</w:t>
            </w:r>
            <w:r>
              <w:rPr>
                <w:sz w:val="10"/>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8,069,773</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8,069,773 </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15,013</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20,018</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470" w:type="dxa"/>
            <w:tcBorders>
              <w:bottom w:val="single" w:sz="6" w:space="0" w:color="000000"/>
            </w:tcBorders>
            <w:tcMar>
              <w:bottom w:w="78" w:type="dxa"/>
            </w:tcMar>
            <w:vAlign w:val="center"/>
          </w:tcPr>
          <w:p>
            <w:pPr>
              <w:pStyle w:val="TableContents"/>
              <w:bidi w:val="0"/>
              <w:spacing w:before="0" w:after="283"/>
              <w:jc w:val="left"/>
              <w:rPr/>
            </w:pPr>
            <w:r>
              <w:rPr/>
              <w:t>Total</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01" w:type="dxa"/>
            <w:tcBorders>
              <w:bottom w:val="single" w:sz="6" w:space="0" w:color="000000"/>
            </w:tcBorders>
            <w:tcMar>
              <w:bottom w:w="78" w:type="dxa"/>
            </w:tcMar>
            <w:vAlign w:val="center"/>
          </w:tcPr>
          <w:p>
            <w:pPr>
              <w:pStyle w:val="TableContents"/>
              <w:bidi w:val="0"/>
              <w:spacing w:before="0" w:after="283"/>
              <w:jc w:val="left"/>
              <w:rPr/>
            </w:pPr>
            <w:r>
              <w:rPr/>
              <w:t>$9,066,536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78" w:type="dxa"/>
            </w:tcMar>
            <w:vAlign w:val="center"/>
          </w:tcPr>
          <w:p>
            <w:pPr>
              <w:pStyle w:val="TableContents"/>
              <w:bidi w:val="0"/>
              <w:spacing w:before="0" w:after="283"/>
              <w:jc w:val="left"/>
              <w:rPr/>
            </w:pPr>
            <w:r>
              <w:rPr/>
              <w:t>$9,220,291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6" w:type="dxa"/>
            <w:tcBorders>
              <w:bottom w:val="single" w:sz="6" w:space="0" w:color="000000"/>
            </w:tcBorders>
            <w:tcMar>
              <w:bottom w:w="78" w:type="dxa"/>
            </w:tcMar>
            <w:vAlign w:val="center"/>
          </w:tcPr>
          <w:p>
            <w:pPr>
              <w:pStyle w:val="TableContents"/>
              <w:bidi w:val="0"/>
              <w:spacing w:before="0" w:after="283"/>
              <w:jc w:val="left"/>
              <w:rPr/>
            </w:pPr>
            <w:r>
              <w:rPr/>
              <w:t>$8,069,773</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515" w:type="dxa"/>
            <w:vMerge w:val="restart"/>
            <w:tcBorders>
              <w:bottom w:val="single" w:sz="6" w:space="0" w:color="000000"/>
            </w:tcBorders>
            <w:tcMar>
              <w:bottom w:w="78" w:type="dxa"/>
            </w:tcMar>
            <w:vAlign w:val="center"/>
          </w:tcPr>
          <w:p>
            <w:pPr>
              <w:pStyle w:val="TableContents"/>
              <w:bidi w:val="0"/>
              <w:spacing w:lineRule="atLeast" w:line="180" w:before="0" w:after="0"/>
              <w:jc w:val="left"/>
              <w:rPr/>
            </w:pPr>
            <w:r>
              <w:rPr/>
              <w:t xml:space="preserve">Eric Bach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lineRule="atLeast" w:line="180" w:before="0" w:after="0"/>
              <w:jc w:val="left"/>
              <w:rPr/>
            </w:pPr>
            <w:r>
              <w:rPr/>
              <w:t>453,750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lineRule="atLeast" w:line="180" w:before="0" w:after="0"/>
              <w:jc w:val="left"/>
              <w:rPr/>
            </w:pPr>
            <w:r>
              <w:rPr/>
              <w:t>1,058,750</w:t>
            </w:r>
            <w:r>
              <w:rPr>
                <w:sz w:val="10"/>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lineRule="atLeast" w:line="180" w:before="0" w:after="0"/>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124,762</w:t>
            </w:r>
            <w:r>
              <w:rPr>
                <w:sz w:val="10"/>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8,501,673</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 xml:space="preserve">8,501,673 </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15,013</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20,018</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515" w:type="dxa"/>
            <w:vMerge w:val="continue"/>
            <w:tcBorders>
              <w:bottom w:val="single" w:sz="6" w:space="0" w:color="000000"/>
            </w:tcBorders>
            <w:tcMar>
              <w:bottom w:w="7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470" w:type="dxa"/>
            <w:tcBorders/>
            <w:vAlign w:val="center"/>
          </w:tcPr>
          <w:p>
            <w:pPr>
              <w:pStyle w:val="TableContents"/>
              <w:bidi w:val="0"/>
              <w:spacing w:before="0" w:after="283"/>
              <w:jc w:val="left"/>
              <w:rPr/>
            </w:pPr>
            <w:r>
              <w:rPr/>
              <w:t>Total</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$593,525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$9,580,441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left"/>
              <w:rPr/>
            </w:pPr>
            <w:r>
              <w:rPr/>
              <w:t>$8,501,673</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00"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Equity awards are valued at $3.02 per share, the closing price of a share of our Common Stock on December 31, 2024, the last trading day of fiscal year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62">
                <wp:simplePos x="0" y="0"/>
                <wp:positionH relativeFrom="column">
                  <wp:align>left</wp:align>
                </wp:positionH>
                <wp:positionV relativeFrom="line">
                  <wp:align>top</wp:align>
                </wp:positionV>
                <wp:extent cx="50800" cy="180340"/>
                <wp:effectExtent l="0" t="0" r="0" b="0"/>
                <wp:wrapSquare wrapText="right"/>
                <wp:docPr id="255" name="Frame194"/>
                <a:graphic xmlns:a="http://schemas.openxmlformats.org/drawingml/2006/main">
                  <a:graphicData uri="http://schemas.microsoft.com/office/word/2010/wordprocessingShape">
                    <wps:wsp>
                      <wps:cNvSpPr txBox="1"/>
                      <wps:spPr>
                        <a:xfrm>
                          <a:off x="0" y="0"/>
                          <a:ext cx="50800" cy="180340"/>
                        </a:xfrm>
                        <a:prstGeom prst="rect"/>
                        <a:solidFill>
                          <a:srgbClr val="FFFFFF"/>
                        </a:solidFill>
                      </wps:spPr>
                      <wps:txbx>
                        <w:txbxContent>
                          <w:p>
                            <w:pPr>
                              <w:pStyle w:val="TextBody"/>
                              <w:bidi w:val="0"/>
                              <w:spacing w:lineRule="atLeast" w:line="142" w:before="0" w:after="283"/>
                              <w:jc w:val="left"/>
                              <w:rPr>
                                <w:sz w:val="12"/>
                              </w:rPr>
                            </w:pPr>
                            <w:r>
                              <w:rPr>
                                <w:sz w:val="12"/>
                              </w:rPr>
                              <w:t>*</w:t>
                              <w:br/>
                            </w:r>
                          </w:p>
                        </w:txbxContent>
                      </wps:txbx>
                      <wps:bodyPr anchor="t" lIns="0" tIns="0" rIns="0" bIns="0">
                        <a:noAutofit/>
                      </wps:bodyPr>
                    </wps:wsp>
                  </a:graphicData>
                </a:graphic>
              </wp:anchor>
            </w:drawing>
          </mc:Choice>
          <mc:Fallback>
            <w:pict>
              <v:rect style="position:absolute;rotation:-0;width:4pt;height:14.2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12"/>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0"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table assumes that Mr. Rawlinson terminated employment on December 31, 2024, and that he received severance in connection with his employment documentation in effect at such time. In February 2025, Mr. Rawlinson entered into a Transition Agreement, as described under the heading “</w:t>
      </w:r>
      <w:r>
        <w:rPr>
          <w:rFonts w:ascii="Arial;Helvetica;sans-serif" w:hAnsi="Arial;Helvetica;sans-serif"/>
          <w:b w:val="false"/>
          <w:i/>
          <w:caps w:val="false"/>
          <w:smallCaps w:val="false"/>
          <w:color w:val="000000"/>
          <w:sz w:val="12"/>
        </w:rPr>
        <w:t>Mr. Rawlinson Transition Agreement</w:t>
      </w:r>
      <w:r>
        <w:rPr>
          <w:rFonts w:ascii="Arial;Helvetica;sans-serif" w:hAnsi="Arial;Helvetica;sans-serif"/>
          <w:b w:val="false"/>
          <w:i w:val="false"/>
          <w:caps w:val="false"/>
          <w:smallCaps w:val="false"/>
          <w:color w:val="000000"/>
          <w:sz w:val="12"/>
        </w:rPr>
        <w:t>.”</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3">
                <wp:simplePos x="0" y="0"/>
                <wp:positionH relativeFrom="column">
                  <wp:align>left</wp:align>
                </wp:positionH>
                <wp:positionV relativeFrom="line">
                  <wp:align>top</wp:align>
                </wp:positionV>
                <wp:extent cx="88900" cy="180340"/>
                <wp:effectExtent l="0" t="0" r="0" b="0"/>
                <wp:wrapSquare wrapText="right"/>
                <wp:docPr id="256" name="Frame195"/>
                <a:graphic xmlns:a="http://schemas.openxmlformats.org/drawingml/2006/main">
                  <a:graphicData uri="http://schemas.microsoft.com/office/word/2010/wordprocessingShape">
                    <wps:wsp>
                      <wps:cNvSpPr txBox="1"/>
                      <wps:spPr>
                        <a:xfrm>
                          <a:off x="0" y="0"/>
                          <a:ext cx="88900" cy="180340"/>
                        </a:xfrm>
                        <a:prstGeom prst="rect"/>
                        <a:solidFill>
                          <a:srgbClr val="FFFFFF"/>
                        </a:solidFill>
                      </wps:spPr>
                      <wps:txbx>
                        <w:txbxContent>
                          <w:p>
                            <w:pPr>
                              <w:pStyle w:val="TextBody"/>
                              <w:bidi w:val="0"/>
                              <w:spacing w:lineRule="atLeast" w:line="142" w:before="0" w:after="283"/>
                              <w:jc w:val="left"/>
                              <w:rPr>
                                <w:sz w:val="12"/>
                              </w:rPr>
                            </w:pPr>
                            <w:r>
                              <w:rPr>
                                <w:sz w:val="12"/>
                              </w:rPr>
                              <w:t>**</w:t>
                              <w:br/>
                            </w:r>
                          </w:p>
                        </w:txbxContent>
                      </wps:txbx>
                      <wps:bodyPr anchor="t" lIns="0" tIns="0" rIns="0" bIns="0">
                        <a:noAutofit/>
                      </wps:bodyPr>
                    </wps:wsp>
                  </a:graphicData>
                </a:graphic>
              </wp:anchor>
            </w:drawing>
          </mc:Choice>
          <mc:Fallback>
            <w:pict>
              <v:rect style="position:absolute;rotation:-0;width:7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12"/>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Death or Disability Accelerated Vesting. Under the Acceleration Policy, except in the case of the CEO Time-Based RSUs and CEO Performance RSUs, upon the death or disability of a NEO on December 31, 2024, all of such NEO’s outstanding equity awards would have vested.</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4">
                <wp:simplePos x="0" y="0"/>
                <wp:positionH relativeFrom="column">
                  <wp:align>left</wp:align>
                </wp:positionH>
                <wp:positionV relativeFrom="line">
                  <wp:align>top</wp:align>
                </wp:positionV>
                <wp:extent cx="91440" cy="180340"/>
                <wp:effectExtent l="0" t="0" r="0" b="0"/>
                <wp:wrapSquare wrapText="right"/>
                <wp:docPr id="257" name="Frame19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Cash Severance. Under the Executive Severance Plan, the amount includes (i) for a qualifying non-Change in Control Termination, base salary continuation for the number of months set forth in the NEO’s participation agreement (12 months for Mr. Rawlinson, six months for Mr. Dhingra, and nine months for Messrs. Winterhoff and Bach); and (ii) for a qualifying Change in Control Termination, a lump-sum payment equal to the sum of the NEO’s annual base salary and target annual cash incentive divided by 12, and multiplied by the number of months set forth in the NEO’s participation agreement (18 months for Mr. Rawlinson, nine months for Mr. Dhingra, and 12 months for Messrs. Winterhoff and Bach). Pursuant to the terms of Mr. Winterhoff’s offer letter, he is eligible to receive a prorated bonus upon a qualified termination.</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5">
                <wp:simplePos x="0" y="0"/>
                <wp:positionH relativeFrom="column">
                  <wp:align>left</wp:align>
                </wp:positionH>
                <wp:positionV relativeFrom="line">
                  <wp:align>top</wp:align>
                </wp:positionV>
                <wp:extent cx="91440" cy="180340"/>
                <wp:effectExtent l="0" t="0" r="0" b="0"/>
                <wp:wrapSquare wrapText="right"/>
                <wp:docPr id="258" name="Frame19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2021 CEO Grant. Upon a termination for any reason that is not in connection with a change in control, the unvested CEO Time-Based RSUs would be forfeited; and forfeiture is assumed for the unvested CEO Performance RSUs, which would remain outstanding for six months following such termination and may vest to the extent that the applicable six-month market capitalization threshold has been satisfied. For a Change in Control Termination, the amount includes the unvested CEO Time-Based RSUs as of December 31, 2024 valued at $3.02 per share. The CEO Performance RSUs would vest to the extent the change in control value (the product of the number of shares outstanding as of such date and the per share price received in the change in control) equaled or exceeded the six-month market capitalization threshold applicable to such tranche. Assuming a per share price in such a hypothetical change in control on December 31, 2024 equal to $3.02, the outstanding CEO Performance RSUs would not have vested and would have been forfeited upon such change in control. Refer to “Compensation Discussion and Analysis — 2021 CEO Grant” for additional information regarding the CEO Time-Based RSUs and CEO Performance RSUs. No value is attributable to the outstanding stock options, which were fully vested prior to December 31,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6">
                <wp:simplePos x="0" y="0"/>
                <wp:positionH relativeFrom="column">
                  <wp:align>left</wp:align>
                </wp:positionH>
                <wp:positionV relativeFrom="line">
                  <wp:align>top</wp:align>
                </wp:positionV>
                <wp:extent cx="91440" cy="180340"/>
                <wp:effectExtent l="0" t="0" r="0" b="0"/>
                <wp:wrapSquare wrapText="right"/>
                <wp:docPr id="259" name="Frame198"/>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Qualified Non-Change in Control Termination. In general, under the Executive Severance Plan, unvested equity awards are forfeited upon the NEO’s termination for any reason that is not in connection with a change in control. However, vesting for equity awards granted prior to the July 23, 2021 effective date of the Executive Severance Plan (the “Effective Date”) accelerate by a percentage equal to 25% plus 5% for each year of service, up to a maximum of 50% (the “Applicable Percentage”). Mr. Bach’s unvested equity awards granted prior to the Effective Date include 41,312 RSUs, the value of a share is $3.02, and his Applicable Percentage is 50%. Messrs. Gagan and Winterhoff do not have any equity awards that were granted prior to the Effective Date. Pursuant to Mr. Winterhoff’s offer letter, his unvested equity awards in the form of 535,434 RSUs and 535,433 Premium-Priced Options with an exercise price of  $5.25 fully accelerate upon his qualifying termination. The amount for Mr. Winterhoff includes (i) the unvested RSUs valued at $3.02 per share; (ii) unvested </w:t>
      </w:r>
      <w:r>
        <mc:AlternateContent>
          <mc:Choice Requires="wps">
            <w:drawing>
              <wp:anchor behindDoc="0" distT="69850" distB="0" distL="0" distR="0" simplePos="0" locked="0" layoutInCell="1" allowOverlap="1" relativeHeight="267">
                <wp:simplePos x="0" y="0"/>
                <wp:positionH relativeFrom="column">
                  <wp:align>left</wp:align>
                </wp:positionH>
                <wp:positionV relativeFrom="line">
                  <wp:align>top</wp:align>
                </wp:positionV>
                <wp:extent cx="91440" cy="180340"/>
                <wp:effectExtent l="0" t="0" r="0" b="0"/>
                <wp:wrapSquare wrapText="right"/>
                <wp:docPr id="260" name="Frame19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stock options valued by the product of  (a) the difference between $3.02 (the closing price of a share of our Common Stock on December 31, 2024, the last trading day of fiscal year 2024) and $5.25 (the exercise price per share for each option) by (b) the number of unvested shares subject to the option, unless such product results in a negative value; (iii) and PSUs with a grant value of  $6,000,000, subject to applicable performance-vesting conditions.</w:t>
      </w:r>
      <w:r>
        <w:rPr>
          <w:rFonts w:ascii="Arial;Helvetica;sans-serif" w:hAnsi="Arial;Helvetica;sans-serif"/>
          <w:b w:val="false"/>
          <w:i w:val="false"/>
          <w:caps w:val="false"/>
          <w:smallCaps w:val="false"/>
          <w:color w:val="000000"/>
          <w:spacing w:val="2"/>
          <w:sz w:val="12"/>
        </w:rPr>
        <w:t xml:space="preserve"> </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Qualified Change in Control Termination. Amount includes the value of unvested options computed by multiplying (i) the difference between (a) $3.02 and (b) the exercise price per share for each option (but not below zero) by (ii) the number of unvested shares subject to the option. Amount also includes unvested RSUs and PSUs valued at $3.02 per share based on target performance with respect to PSUs. Pursuant to Mr. Winterhoff’s offer letter, the amount for Mr. Winterhoff includes (i) the unvested RSUs valued at $3.02 per share; (ii) unvested stock options valued by the product of  (a) the difference between $3.02 (the closing price of a share of our Common Stock on December 31, 2024, the last trading day of fiscal year 2024) and $5.25 (the exercise price per share for each option) by (b) the number of unvested shares subject to the option, unless such product results in a negative value; (iii) and PSUs with a grant value of  $6,000,000, subject to applicable performance-vesting conditions.</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8">
                <wp:simplePos x="0" y="0"/>
                <wp:positionH relativeFrom="column">
                  <wp:align>left</wp:align>
                </wp:positionH>
                <wp:positionV relativeFrom="line">
                  <wp:align>top</wp:align>
                </wp:positionV>
                <wp:extent cx="91440" cy="525780"/>
                <wp:effectExtent l="0" t="0" r="0" b="0"/>
                <wp:wrapSquare wrapText="right"/>
                <wp:docPr id="261" name="Frame200"/>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(5)</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COBRA. Amount includes Company-paid COBRA premiums for medical, dental, and vision coverage continuation for the number of months set for the NEO’s participation agreement. For a qualifying non-Change in Control Termination: 12 months for Mr. Rawlinson, six months for Mr. Dhingra, and nine months for Messrs. Winterhoff and Bach. For a qualifying Change in Control Termination: 18 months for Mr. Rawlinson, nine months for Mr. Dhingra, and 12 months for Messrs. Winterhoff and Bach. In addition to the amount shown, the NEO would be entitled to receive a gross-up for applicable taxes on the Company-paid COBRA premiums. </w:t>
      </w:r>
      <w:r>
        <mc:AlternateContent>
          <mc:Choice Requires="wps">
            <w:drawing>
              <wp:anchor behindDoc="0" distT="69850" distB="0" distL="0" distR="0" simplePos="0" locked="0" layoutInCell="1" allowOverlap="1" relativeHeight="269">
                <wp:simplePos x="0" y="0"/>
                <wp:positionH relativeFrom="column">
                  <wp:align>left</wp:align>
                </wp:positionH>
                <wp:positionV relativeFrom="line">
                  <wp:align>top</wp:align>
                </wp:positionV>
                <wp:extent cx="91440" cy="525780"/>
                <wp:effectExtent l="0" t="0" r="0" b="0"/>
                <wp:wrapSquare wrapText="right"/>
                <wp:docPr id="262" name="Frame201"/>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(6)</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I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Director Compensation</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Currently, our director compensation program permits our non-employee directors to receive the following annual retainers and annual equity compensation grants: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Board Member:</w:t>
      </w:r>
      <w:r>
        <w:rPr>
          <w:rFonts w:ascii="Arial;Helvetica;sans-serif" w:hAnsi="Arial;Helvetica;sans-serif"/>
          <w:b w:val="false"/>
          <w:i w:val="false"/>
          <w:caps w:val="false"/>
          <w:smallCaps w:val="false"/>
          <w:color w:val="000000"/>
          <w:sz w:val="18"/>
        </w:rPr>
        <w:t xml:space="preserve"> $300,000, of which $30,000 is an annual cash retainer paid in quarterly installments and $270,000 of which is an annual equity retainer in the form of RSUs (increased from the $250,000 rate that was in effect for 2023) vesting in full on the earlier of the one-year anniversary of the grant date or the date of the next annual meeting following the grant, subject to the director’s continued service as of the applicable vesting date. For new directors, the initial equity retainer is $375,000 (instead of  $270,000) in RSUs which vest in three equal installments each year for a period of three years on the earlier of the first, second and third anniversary date of the grant or the date of the first, second and third annual meetings following the grant, respectively, subject to the director’s continued service as of each of the applicable vesting dates.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70">
                <wp:simplePos x="0" y="0"/>
                <wp:positionH relativeFrom="column">
                  <wp:align>left</wp:align>
                </wp:positionH>
                <wp:positionV relativeFrom="line">
                  <wp:align>top</wp:align>
                </wp:positionV>
                <wp:extent cx="114300" cy="525780"/>
                <wp:effectExtent l="0" t="0" r="0" b="0"/>
                <wp:wrapSquare wrapText="right"/>
                <wp:docPr id="263" name="Frame20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Independent Chairman:</w:t>
      </w:r>
      <w:r>
        <w:rPr>
          <w:rFonts w:ascii="Arial;Helvetica;sans-serif" w:hAnsi="Arial;Helvetica;sans-serif"/>
          <w:b w:val="false"/>
          <w:i w:val="false"/>
          <w:caps w:val="false"/>
          <w:smallCaps w:val="false"/>
          <w:color w:val="000000"/>
          <w:sz w:val="18"/>
        </w:rPr>
        <w:t xml:space="preserve"> An additional $30,000 is paid for service as an independent Chairman of the Board, as an annual cash retainer.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71">
                <wp:simplePos x="0" y="0"/>
                <wp:positionH relativeFrom="column">
                  <wp:align>left</wp:align>
                </wp:positionH>
                <wp:positionV relativeFrom="line">
                  <wp:align>top</wp:align>
                </wp:positionV>
                <wp:extent cx="114300" cy="525780"/>
                <wp:effectExtent l="0" t="0" r="0" b="0"/>
                <wp:wrapSquare wrapText="right"/>
                <wp:docPr id="264" name="Frame20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Committee Chairs:</w:t>
      </w:r>
      <w:r>
        <w:rPr>
          <w:rFonts w:ascii="Arial;Helvetica;sans-serif" w:hAnsi="Arial;Helvetica;sans-serif"/>
          <w:b w:val="false"/>
          <w:i w:val="false"/>
          <w:caps w:val="false"/>
          <w:smallCaps w:val="false"/>
          <w:color w:val="000000"/>
          <w:sz w:val="18"/>
        </w:rPr>
        <w:t xml:space="preserve"> Chairs of the audit, compensation and human capital, nominating and corporate governance, and executive committees receive an additional $20,000, $15,000, $10,000 (increased from the $8,000 rate that was in effect for 2023), and $20,000, respectively, as an annual cash retainer.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72">
                <wp:simplePos x="0" y="0"/>
                <wp:positionH relativeFrom="column">
                  <wp:align>left</wp:align>
                </wp:positionH>
                <wp:positionV relativeFrom="line">
                  <wp:align>top</wp:align>
                </wp:positionV>
                <wp:extent cx="114300" cy="525780"/>
                <wp:effectExtent l="0" t="0" r="0" b="0"/>
                <wp:wrapSquare wrapText="right"/>
                <wp:docPr id="265" name="Frame20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z w:val="18"/>
        </w:rPr>
        <w:t>Committee Members:</w:t>
      </w:r>
      <w:r>
        <w:rPr>
          <w:rFonts w:ascii="Arial;Helvetica;sans-serif" w:hAnsi="Arial;Helvetica;sans-serif"/>
          <w:b w:val="false"/>
          <w:i w:val="false"/>
          <w:caps w:val="false"/>
          <w:smallCaps w:val="false"/>
          <w:color w:val="000000"/>
          <w:sz w:val="18"/>
        </w:rPr>
        <w:t xml:space="preserve"> Members of the audit, compensation and human capital, nominating and corporate governance, and executive committees receive an additional $10,000, $7,500, $5,000 (increased from the $4,000 rate that was in effect for 2023), and $10,000, respectively, as an annual cash retainer. We also reimburse all of our directors for (i) up to $10,000 annually for director educational programs and (ii) their reasonable travel and other expenses incurred in attending meetings of the Board or committees and training and educational conferences.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73">
                <wp:simplePos x="0" y="0"/>
                <wp:positionH relativeFrom="column">
                  <wp:align>left</wp:align>
                </wp:positionH>
                <wp:positionV relativeFrom="line">
                  <wp:align>top</wp:align>
                </wp:positionV>
                <wp:extent cx="114300" cy="525780"/>
                <wp:effectExtent l="0" t="0" r="0" b="0"/>
                <wp:wrapSquare wrapText="right"/>
                <wp:docPr id="266" name="Frame20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do not pay directors meeting fees for attending Board or standing committee (audit, compensation and human capital, nominating and corporate governance, and executive committee) meetings; however, effective June 4, 2024, certain non-employee directors providing ad hoc committee services may receive a grant of fully vested RSUs on the date of the Annual Meeting with a target grant date value equal to $2,000 times the number of special committee meetings such non-employee director attended since the previous annual meeting date (“Special Committee Fees”), subject to a $20,000 cap. However, if a non-employee director separates from service with us prior to the date of the Annual Meeting when their Special Committee Fees would otherwise be granted in the form of fully vested RSUs, their Special Committee fees will instead be paid in cash on the date of their separation or shortly thereafter. Based on non-employee director special committee service from the previous annual meeting until the Record Date, the target grant date value of Special Committee Fees awarded to non-employee directors on the date of the Annual Meeting are estimated to be as follows: $10,000, $14,000, $14,000 and $8,000 for Mr. Alnowaiser, Ms. Lambert, Ms. Wong and Mr. Liveris, respectively. Actual equity award grants made to non-employee directors in fiscal year 2025, including applicable Special Committee Fees, will be reported in the Director Compensation Table in our proxy statement filed in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Pursuant to our Amended and Restated 2021 Stock Incentive Plan, we permit directors to elect to defer settlement (beyond vesting) of initial and annual RSUs granted following the conclusion of each regular annual meeting of stockholders, commencing with the 2022 annual meeting of stockholders. Such an election generally only applies to initial and annual RSU awards granted after the year the election is made and will continue to apply to future annual RSU awards unless the director revokes the election with respect to annual RSU awards granted after the year of revocation. Deferred RSUs, together with any additional RSUs credited by reason of a dividend paid by us, are settled upon the earlier of  (i) termination of service and (ii) a change in control.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table reflects information with respect to the compensation of all non-employee directors of the Company for 2024. For part of 2024 prior to the above-referenced increases, the annual equity retainer was $250,000.</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100"/>
        <w:gridCol w:w="109"/>
        <w:gridCol w:w="109"/>
        <w:gridCol w:w="983"/>
        <w:gridCol w:w="109"/>
        <w:gridCol w:w="109"/>
        <w:gridCol w:w="1040"/>
        <w:gridCol w:w="109"/>
        <w:gridCol w:w="109"/>
        <w:gridCol w:w="1050"/>
        <w:gridCol w:w="109"/>
        <w:gridCol w:w="109"/>
        <w:gridCol w:w="1471"/>
        <w:gridCol w:w="109"/>
        <w:gridCol w:w="109"/>
        <w:gridCol w:w="1471"/>
        <w:gridCol w:w="156"/>
      </w:tblGrid>
      <w:tr>
        <w:trPr/>
        <w:tc>
          <w:tcPr>
            <w:tcW w:w="124" w:type="dxa"/>
            <w:tcBorders/>
            <w:shd w:fill="000000" w:val="clear"/>
            <w:vAlign w:val="center"/>
          </w:tcPr>
          <w:p>
            <w:pPr>
              <w:pStyle w:val="TableContents"/>
              <w:bidi w:val="0"/>
              <w:spacing w:before="0" w:after="283"/>
              <w:jc w:val="left"/>
              <w:rPr/>
            </w:pPr>
            <w:r>
              <w:rPr/>
              <w:t>​</w:t>
            </w:r>
          </w:p>
        </w:tc>
        <w:tc>
          <w:tcPr>
            <w:tcW w:w="2100"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83" w:type="dxa"/>
            <w:tcBorders/>
            <w:shd w:fill="000000" w:val="clear"/>
            <w:vAlign w:val="center"/>
          </w:tcPr>
          <w:p>
            <w:pPr>
              <w:pStyle w:val="TableContents"/>
              <w:bidi w:val="0"/>
              <w:spacing w:before="0" w:after="283"/>
              <w:jc w:val="left"/>
              <w:rPr/>
            </w:pPr>
            <w:r>
              <w:rPr/>
              <w:t>Fees Earned or</w:t>
              <w:br/>
              <w:t>Paid in Cash</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40" w:type="dxa"/>
            <w:tcBorders/>
            <w:shd w:fill="000000" w:val="clear"/>
            <w:vAlign w:val="center"/>
          </w:tcPr>
          <w:p>
            <w:pPr>
              <w:pStyle w:val="TableContents"/>
              <w:bidi w:val="0"/>
              <w:spacing w:lineRule="atLeast" w:line="142" w:before="0" w:after="283"/>
              <w:jc w:val="left"/>
              <w:rPr/>
            </w:pPr>
            <w:r>
              <w:rPr/>
              <w:t>Stock Awards</w:t>
              <w:br/>
              <w:t>($)</w:t>
            </w:r>
            <w:r>
              <w:rPr>
                <w:sz w:val="9"/>
              </w:rPr>
              <w:t>(1)(4)</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0" w:type="dxa"/>
            <w:tcBorders/>
            <w:shd w:fill="000000" w:val="clear"/>
            <w:vAlign w:val="center"/>
          </w:tcPr>
          <w:p>
            <w:pPr>
              <w:pStyle w:val="TableContents"/>
              <w:bidi w:val="0"/>
              <w:spacing w:before="0" w:after="283"/>
              <w:jc w:val="left"/>
              <w:rPr/>
            </w:pPr>
            <w:r>
              <w:rPr/>
              <w:t>Option Awards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lineRule="atLeast" w:line="142" w:before="0" w:after="283"/>
              <w:jc w:val="left"/>
              <w:rPr/>
            </w:pPr>
            <w:r>
              <w:rPr/>
              <w:t>All Other</w:t>
              <w:br/>
              <w:t>Compensation</w:t>
              <w:br/>
              <w:t>($)</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before="0" w:after="283"/>
              <w:jc w:val="left"/>
              <w:rPr/>
            </w:pPr>
            <w:r>
              <w:rPr/>
              <w:t>Total</w:t>
              <w:br/>
              <w:t>Compensation</w:t>
              <w:br/>
              <w:t xml:space="preserve">($)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Turqi Alnowaiser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89,148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365,091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Andrew Liveris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55,000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19,220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350,163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Sherif Marakby</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40,000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19,220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335,163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Nichelle Maynard-Elliott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47,816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21,254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345,013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Chabi Nouri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42,871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318,814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Ori Winitzer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41,758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17,318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335,019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Janet S. Wong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50,000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275,943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21,004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346,947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 xml:space="preserve">Lisa M. Lambert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22,967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 xml:space="preserve">383,257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6,655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412,879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00" w:type="dxa"/>
            <w:tcBorders>
              <w:bottom w:val="single" w:sz="6" w:space="0" w:color="000000"/>
            </w:tcBorders>
            <w:tcMar>
              <w:bottom w:w="148" w:type="dxa"/>
            </w:tcMar>
            <w:vAlign w:val="center"/>
          </w:tcPr>
          <w:p>
            <w:pPr>
              <w:pStyle w:val="TableContents"/>
              <w:bidi w:val="0"/>
              <w:spacing w:before="0" w:after="283"/>
              <w:jc w:val="left"/>
              <w:rPr/>
            </w:pPr>
            <w:r>
              <w:rPr/>
              <w:t>Glenn R. August, former director</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83" w:type="dxa"/>
            <w:tcBorders>
              <w:bottom w:val="single" w:sz="6" w:space="0" w:color="000000"/>
            </w:tcBorders>
            <w:tcMar>
              <w:bottom w:w="148" w:type="dxa"/>
            </w:tcMar>
            <w:vAlign w:val="center"/>
          </w:tcPr>
          <w:p>
            <w:pPr>
              <w:pStyle w:val="TableContents"/>
              <w:bidi w:val="0"/>
              <w:spacing w:before="0" w:after="283"/>
              <w:jc w:val="left"/>
              <w:rPr/>
            </w:pPr>
            <w:r>
              <w:rPr/>
              <w:t xml:space="preserve">18,736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5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18,736</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amounts in this column reflect the grant date fair values of the RSUs granted to our non-employee directors during 2024, calculated in accordance with FASB ASC Topic 718. Messrs. Liveris, and Marakby, and Ms. Maynard-Elliott have elected to defer settlement of the RSUs.</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03200" distB="0" distL="0" distR="0" simplePos="0" locked="0" layoutInCell="1" allowOverlap="1" relativeHeight="274">
                <wp:simplePos x="0" y="0"/>
                <wp:positionH relativeFrom="column">
                  <wp:align>left</wp:align>
                </wp:positionH>
                <wp:positionV relativeFrom="line">
                  <wp:align>top</wp:align>
                </wp:positionV>
                <wp:extent cx="91440" cy="180340"/>
                <wp:effectExtent l="0" t="0" r="0" b="0"/>
                <wp:wrapSquare wrapText="right"/>
                <wp:docPr id="267" name="Frame20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Represents the value of the personal usage of Company-owned Lucid Air vehicles and the related tax reimbursement attributable to this perquisite.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5">
                <wp:simplePos x="0" y="0"/>
                <wp:positionH relativeFrom="column">
                  <wp:align>left</wp:align>
                </wp:positionH>
                <wp:positionV relativeFrom="line">
                  <wp:align>top</wp:align>
                </wp:positionV>
                <wp:extent cx="91440" cy="180340"/>
                <wp:effectExtent l="0" t="0" r="0" b="0"/>
                <wp:wrapSquare wrapText="right"/>
                <wp:docPr id="268" name="Frame207"/>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Mr. Marakby will not stand for reelection at the Annual Meeting and will complete his service on June 5, 2025. Mr. August did not stand for reelection at the 2024 annual meeting of stockholders and completed his service on June 4,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6">
                <wp:simplePos x="0" y="0"/>
                <wp:positionH relativeFrom="column">
                  <wp:align>left</wp:align>
                </wp:positionH>
                <wp:positionV relativeFrom="line">
                  <wp:align>top</wp:align>
                </wp:positionV>
                <wp:extent cx="91440" cy="180340"/>
                <wp:effectExtent l="0" t="0" r="0" b="0"/>
                <wp:wrapSquare wrapText="right"/>
                <wp:docPr id="269" name="Frame208"/>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following table provides information on the number of shares of unvested RSUs and the number of shares of vested RSUs for which payment has been deferred as of December 31, 2024.</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7">
                <wp:simplePos x="0" y="0"/>
                <wp:positionH relativeFrom="column">
                  <wp:align>left</wp:align>
                </wp:positionH>
                <wp:positionV relativeFrom="line">
                  <wp:align>top</wp:align>
                </wp:positionV>
                <wp:extent cx="91440" cy="180340"/>
                <wp:effectExtent l="0" t="0" r="0" b="0"/>
                <wp:wrapSquare wrapText="right"/>
                <wp:docPr id="270" name="Frame209"/>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4878" w:type="dxa"/>
        <w:jc w:val="left"/>
        <w:tblInd w:w="720" w:type="dxa"/>
        <w:tblLayout w:type="fixed"/>
        <w:tblCellMar>
          <w:top w:w="0" w:type="dxa"/>
          <w:left w:w="0" w:type="dxa"/>
          <w:bottom w:w="0" w:type="dxa"/>
          <w:right w:w="0" w:type="dxa"/>
        </w:tblCellMar>
      </w:tblPr>
      <w:tblGrid>
        <w:gridCol w:w="124"/>
        <w:gridCol w:w="3316"/>
        <w:gridCol w:w="109"/>
        <w:gridCol w:w="109"/>
        <w:gridCol w:w="1066"/>
        <w:gridCol w:w="154"/>
      </w:tblGrid>
      <w:tr>
        <w:trPr/>
        <w:tc>
          <w:tcPr>
            <w:tcW w:w="124" w:type="dxa"/>
            <w:tcBorders/>
            <w:shd w:fill="000000" w:val="clear"/>
            <w:vAlign w:val="center"/>
          </w:tcPr>
          <w:p>
            <w:pPr>
              <w:pStyle w:val="TableContents"/>
              <w:bidi w:val="0"/>
              <w:spacing w:before="0" w:after="283"/>
              <w:jc w:val="left"/>
              <w:rPr/>
            </w:pPr>
            <w:r>
              <w:rPr/>
              <w:t>​</w:t>
            </w:r>
          </w:p>
        </w:tc>
        <w:tc>
          <w:tcPr>
            <w:tcW w:w="331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66" w:type="dxa"/>
            <w:tcBorders/>
            <w:shd w:fill="000000" w:val="clear"/>
            <w:vAlign w:val="center"/>
          </w:tcPr>
          <w:p>
            <w:pPr>
              <w:pStyle w:val="TableContents"/>
              <w:bidi w:val="0"/>
              <w:spacing w:before="0" w:after="0"/>
              <w:jc w:val="left"/>
              <w:rPr/>
            </w:pPr>
            <w:r>
              <w:rPr/>
              <w:t xml:space="preserve">RSUs (#)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Turqi Alnowaiser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96,822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Andrew Liveris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138,905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Sherif Marakby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145,209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Nichelle Maynard-Elliott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138,905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Chabi Nouri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129,080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Ori Winitzer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129,080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Janet S. Wong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96,822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Lisa M. Lambert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 xml:space="preserve">134,476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3316" w:type="dxa"/>
            <w:tcBorders>
              <w:bottom w:val="single" w:sz="6" w:space="0" w:color="000000"/>
            </w:tcBorders>
            <w:tcMar>
              <w:bottom w:w="148" w:type="dxa"/>
            </w:tcMar>
            <w:vAlign w:val="center"/>
          </w:tcPr>
          <w:p>
            <w:pPr>
              <w:pStyle w:val="TableContents"/>
              <w:bidi w:val="0"/>
              <w:spacing w:before="0" w:after="283"/>
              <w:jc w:val="left"/>
              <w:rPr/>
            </w:pPr>
            <w:r>
              <w:rPr/>
              <w:t xml:space="preserve">Glenn R. August, former director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66" w:type="dxa"/>
            <w:tcBorders>
              <w:bottom w:val="single" w:sz="6" w:space="0" w:color="000000"/>
            </w:tcBorders>
            <w:tcMar>
              <w:bottom w:w="148" w:type="dxa"/>
            </w:tcMar>
            <w:vAlign w:val="center"/>
          </w:tcPr>
          <w:p>
            <w:pPr>
              <w:pStyle w:val="TableContents"/>
              <w:bidi w:val="0"/>
              <w:spacing w:before="0" w:after="283"/>
              <w:jc w:val="left"/>
              <w:rPr/>
            </w:pPr>
            <w:r>
              <w:rPr/>
              <w:t>0</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P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CEO P</w:t>
      </w:r>
      <w:r>
        <w:rPr>
          <w:rFonts w:ascii="Times New Roman;Times;serif" w:hAnsi="Times New Roman;Times;serif"/>
          <w:b w:val="false"/>
          <w:i w:val="false"/>
          <w:caps w:val="false"/>
          <w:smallCaps w:val="false"/>
          <w:color w:val="000000"/>
          <w:sz w:val="40"/>
        </w:rPr>
        <w:t>AY</w:t>
      </w:r>
      <w:r>
        <w:rPr>
          <w:rFonts w:ascii="Times New Roman;Times;serif" w:hAnsi="Times New Roman;Times;serif"/>
          <w:b w:val="false"/>
          <w:i w:val="false"/>
          <w:caps w:val="false"/>
          <w:smallCaps w:val="false"/>
          <w:color w:val="000000"/>
          <w:sz w:val="40"/>
        </w:rPr>
        <w:t xml:space="preserve"> R</w:t>
      </w:r>
      <w:r>
        <w:rPr>
          <w:rFonts w:ascii="Times New Roman;Times;serif" w:hAnsi="Times New Roman;Times;serif"/>
          <w:b w:val="false"/>
          <w:i w:val="false"/>
          <w:caps w:val="false"/>
          <w:smallCaps w:val="false"/>
          <w:color w:val="000000"/>
          <w:sz w:val="40"/>
        </w:rPr>
        <w:t>ATIO</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accordance with the requirements of Section 953(b) of the Dodd-Frank Act and Item 402(u) of Regulation S-K (which we collectively refer to as the “Pay Ratio Rule”), we are providing the following estimated information for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Annual Total Compensation of Mr. Rawlinson, our former CEO, was $1,498,241;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78">
                <wp:simplePos x="0" y="0"/>
                <wp:positionH relativeFrom="column">
                  <wp:align>left</wp:align>
                </wp:positionH>
                <wp:positionV relativeFrom="line">
                  <wp:align>top</wp:align>
                </wp:positionV>
                <wp:extent cx="114300" cy="525780"/>
                <wp:effectExtent l="0" t="0" r="0" b="0"/>
                <wp:wrapSquare wrapText="right"/>
                <wp:docPr id="271" name="Frame21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Annual Total Compensation of our median employee was $120,394;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79">
                <wp:simplePos x="0" y="0"/>
                <wp:positionH relativeFrom="column">
                  <wp:align>left</wp:align>
                </wp:positionH>
                <wp:positionV relativeFrom="line">
                  <wp:align>top</wp:align>
                </wp:positionV>
                <wp:extent cx="114300" cy="525780"/>
                <wp:effectExtent l="0" t="0" r="0" b="0"/>
                <wp:wrapSquare wrapText="right"/>
                <wp:docPr id="272" name="Frame21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ratio of these two amounts was 12 to 1. We believe that this ratio is a reasonable estimate calculated in a manner consistent with the requirements of the Pay Ratio Rule.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80">
                <wp:simplePos x="0" y="0"/>
                <wp:positionH relativeFrom="column">
                  <wp:align>left</wp:align>
                </wp:positionH>
                <wp:positionV relativeFrom="line">
                  <wp:align>top</wp:align>
                </wp:positionV>
                <wp:extent cx="114300" cy="525780"/>
                <wp:effectExtent l="0" t="0" r="0" b="0"/>
                <wp:wrapSquare wrapText="right"/>
                <wp:docPr id="273" name="Frame21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8"/>
        </w:rPr>
        <w:t>Annual Total Compensation” of our CEO and median employee for purposes of the Pay Ratio Rule was calculated using the same methodology we used for purposes of determining the annual total compensation for our NEOs for 2024 (as set forth in the Summary Compensation Table), adjusted to include the cost to the Company in 2024 of group medical, dental, and vision coverages, which are provided to all employees on a non-discriminatory basis. SEC rules for identifying the median employee and calculating the pay ratio allow companies to apply various methodologies and apply various assumptions and, as result, the pay ratio reported by us may not be comparable to the pay ratio reported by other companies.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used December 31, 2024, as the date for determining the employees to be considered in computing the pay ratio. As of December 31, 2024, our employee population consisted of approximately 6,800 individuals excluding the CEO (of which approximately 88% were located in the United States and approximately 12% were located in jurisdictions outside the United States). Our employee population consisted of our global workforce of full-time, part-time, seasonal, and temporary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To identify our median employee from our total employee population (excluding our CEO), we used “base pay” for the full 2024 calendar year as our consistently applied compensation measure, which was determined using base salary or base hourly wage as reflected in our payroll records. Based on our consistently applied compensation measure, several employees were at the median compensation level. The median employee was determined by calculating Annual Total Compensation for all such employees and identifying the median compensated employee from this group. Using the methodologies described above, our median employee was a full-time employee located in Germany with Annual Total Compensation of  $120,394.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VP"/>
      <w:bookmarkEnd w:id="22"/>
      <w:r>
        <w:rPr>
          <w:rFonts w:ascii="calibri;arial;sans-serif" w:hAnsi="calibri;arial;sans-serif"/>
          <w:b w:val="false"/>
          <w:i w:val="false"/>
          <w:caps w:val="false"/>
          <w:smallCaps w:val="false"/>
          <w:color w:val="FEFEFE"/>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P</w:t>
      </w:r>
      <w:r>
        <w:rPr>
          <w:rFonts w:ascii="Times New Roman;Times;serif" w:hAnsi="Times New Roman;Times;serif"/>
          <w:b w:val="false"/>
          <w:i w:val="false"/>
          <w:caps w:val="false"/>
          <w:smallCaps w:val="false"/>
          <w:color w:val="000000"/>
          <w:sz w:val="40"/>
        </w:rPr>
        <w:t>AY</w:t>
      </w:r>
      <w:r>
        <w:rPr>
          <w:rFonts w:ascii="Times New Roman;Times;serif" w:hAnsi="Times New Roman;Times;serif"/>
          <w:b w:val="false"/>
          <w:i w:val="false"/>
          <w:caps w:val="false"/>
          <w:smallCaps w:val="false"/>
          <w:color w:val="000000"/>
          <w:sz w:val="40"/>
        </w:rPr>
        <w:t xml:space="preserve"> V</w:t>
      </w:r>
      <w:r>
        <w:rPr>
          <w:rFonts w:ascii="Times New Roman;Times;serif" w:hAnsi="Times New Roman;Times;serif"/>
          <w:b w:val="false"/>
          <w:i w:val="false"/>
          <w:caps w:val="false"/>
          <w:smallCaps w:val="false"/>
          <w:color w:val="000000"/>
          <w:sz w:val="40"/>
        </w:rPr>
        <w:t>ERSUS</w:t>
      </w:r>
      <w:r>
        <w:rPr>
          <w:rFonts w:ascii="Times New Roman;Times;serif" w:hAnsi="Times New Roman;Times;serif"/>
          <w:b w:val="false"/>
          <w:i w:val="false"/>
          <w:caps w:val="false"/>
          <w:smallCaps w:val="false"/>
          <w:color w:val="000000"/>
          <w:sz w:val="40"/>
        </w:rPr>
        <w:t xml:space="preserve"> P</w:t>
      </w:r>
      <w:r>
        <w:rPr>
          <w:rFonts w:ascii="Times New Roman;Times;serif" w:hAnsi="Times New Roman;Times;serif"/>
          <w:b w:val="false"/>
          <w:i w:val="false"/>
          <w:caps w:val="false"/>
          <w:smallCaps w:val="false"/>
          <w:color w:val="000000"/>
          <w:sz w:val="40"/>
        </w:rPr>
        <w:t>ERFORMANCE</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table sets forth the compensation for our former CEO (also referred to as “PEO”) and the average compensation for our other NEOs, both as reported in the Summary Compensation Table and with certain adjustments to reflect the “compensation actually paid” to such individuals, as defined under SEC rules, for each of 2024, 2023, 2022 and 2021. The table also provides information on our cumulative total shareholder return (“TSR”), the cumulative TSR of our peer group, Net Income and Free Cash Flow.</w:t>
      </w:r>
      <w:r>
        <w:rPr>
          <w:rFonts w:ascii="Arial;Helvetica;sans-serif" w:hAnsi="Arial;Helvetica;sans-serif"/>
          <w:b w:val="false"/>
          <w:i w:val="false"/>
          <w:caps w:val="false"/>
          <w:smallCaps w:val="false"/>
          <w:color w:val="000000"/>
          <w:spacing w:val="4"/>
          <w:sz w:val="18"/>
        </w:rPr>
        <w:t xml:space="preserve"> </w:t>
      </w:r>
    </w:p>
    <w:tbl>
      <w:tblPr>
        <w:tblW w:w="13356" w:type="dxa"/>
        <w:jc w:val="left"/>
        <w:tblInd w:w="720" w:type="dxa"/>
        <w:tblLayout w:type="fixed"/>
        <w:tblCellMar>
          <w:top w:w="0" w:type="dxa"/>
          <w:left w:w="0" w:type="dxa"/>
          <w:bottom w:w="28" w:type="dxa"/>
          <w:right w:w="0" w:type="dxa"/>
        </w:tblCellMar>
      </w:tblPr>
      <w:tblGrid>
        <w:gridCol w:w="124"/>
        <w:gridCol w:w="586"/>
        <w:gridCol w:w="109"/>
        <w:gridCol w:w="109"/>
        <w:gridCol w:w="1471"/>
        <w:gridCol w:w="109"/>
        <w:gridCol w:w="109"/>
        <w:gridCol w:w="1486"/>
        <w:gridCol w:w="109"/>
        <w:gridCol w:w="109"/>
        <w:gridCol w:w="1471"/>
        <w:gridCol w:w="109"/>
        <w:gridCol w:w="109"/>
        <w:gridCol w:w="1471"/>
        <w:gridCol w:w="109"/>
        <w:gridCol w:w="109"/>
        <w:gridCol w:w="1246"/>
        <w:gridCol w:w="109"/>
        <w:gridCol w:w="109"/>
        <w:gridCol w:w="1246"/>
        <w:gridCol w:w="109"/>
        <w:gridCol w:w="109"/>
        <w:gridCol w:w="1141"/>
        <w:gridCol w:w="109"/>
        <w:gridCol w:w="109"/>
        <w:gridCol w:w="1216"/>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3078" w:type="dxa"/>
            <w:gridSpan w:val="25"/>
            <w:tcBorders>
              <w:bottom w:val="single" w:sz="2" w:space="0" w:color="FEFEFE"/>
            </w:tcBorders>
            <w:shd w:fill="000000" w:val="clear"/>
            <w:tcMar>
              <w:bottom w:w="160" w:type="dxa"/>
            </w:tcMar>
            <w:vAlign w:val="center"/>
          </w:tcPr>
          <w:p>
            <w:pPr>
              <w:pStyle w:val="TableContents"/>
              <w:bidi w:val="0"/>
              <w:spacing w:before="0" w:after="0"/>
              <w:jc w:val="center"/>
              <w:rPr/>
            </w:pPr>
            <w:r>
              <w:rPr/>
              <w:t xml:space="preserve">Pay Versus Performance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58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47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48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47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47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710" w:type="dxa"/>
            <w:gridSpan w:val="4"/>
            <w:tcBorders>
              <w:bottom w:val="single" w:sz="2" w:space="0" w:color="FEFEFE"/>
            </w:tcBorders>
            <w:shd w:fill="000000" w:val="clear"/>
            <w:tcMar>
              <w:bottom w:w="153" w:type="dxa"/>
            </w:tcMar>
            <w:vAlign w:val="center"/>
          </w:tcPr>
          <w:p>
            <w:pPr>
              <w:pStyle w:val="TableContents"/>
              <w:bidi w:val="0"/>
              <w:spacing w:before="0" w:after="283"/>
              <w:jc w:val="left"/>
              <w:rPr/>
            </w:pPr>
            <w:r>
              <w:rPr/>
              <w:t xml:space="preserve">Value of Initial Fixed </w:t>
              <w:br/>
              <w:t xml:space="preserve">$100 Investment Based </w:t>
              <w:br/>
              <w:t xml:space="preserve">On: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14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216" w:type="dxa"/>
            <w:tcBorders>
              <w:bottom w:val="single" w:sz="2" w:space="0" w:color="000000"/>
            </w:tcBorders>
            <w:shd w:fill="000000" w:val="clear"/>
            <w:vAlign w:val="center"/>
          </w:tcPr>
          <w:p>
            <w:pPr>
              <w:pStyle w:val="TableContents"/>
              <w:bidi w:val="0"/>
              <w:spacing w:before="0" w:after="283"/>
              <w:jc w:val="left"/>
              <w:rPr/>
            </w:pPr>
            <w:r>
              <w:rPr/>
              <w:t>​</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586" w:type="dxa"/>
            <w:tcBorders/>
            <w:shd w:fill="000000" w:val="clear"/>
            <w:tcMar>
              <w:bottom w:w="0" w:type="dxa"/>
            </w:tcMar>
            <w:vAlign w:val="center"/>
          </w:tcPr>
          <w:p>
            <w:pPr>
              <w:pStyle w:val="TableContents"/>
              <w:bidi w:val="0"/>
              <w:spacing w:before="0" w:after="0"/>
              <w:jc w:val="left"/>
              <w:rPr/>
            </w:pPr>
            <w:r>
              <w:rPr/>
              <w:t xml:space="preserve">Year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71" w:type="dxa"/>
            <w:tcBorders/>
            <w:shd w:fill="000000" w:val="clear"/>
            <w:tcMar>
              <w:bottom w:w="0" w:type="dxa"/>
            </w:tcMar>
            <w:vAlign w:val="center"/>
          </w:tcPr>
          <w:p>
            <w:pPr>
              <w:pStyle w:val="TableContents"/>
              <w:bidi w:val="0"/>
              <w:spacing w:lineRule="atLeast" w:line="142" w:before="0" w:after="283"/>
              <w:jc w:val="left"/>
              <w:rPr/>
            </w:pPr>
            <w:r>
              <w:rPr/>
              <w:t>Summary</w:t>
              <w:br/>
              <w:t>Compensation</w:t>
              <w:br/>
              <w:t>Table Total for</w:t>
              <w:br/>
              <w:t>PEO</w:t>
              <w:br/>
              <w:t>($)</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86" w:type="dxa"/>
            <w:tcBorders/>
            <w:shd w:fill="000000" w:val="clear"/>
            <w:tcMar>
              <w:bottom w:w="0" w:type="dxa"/>
            </w:tcMar>
            <w:vAlign w:val="center"/>
          </w:tcPr>
          <w:p>
            <w:pPr>
              <w:pStyle w:val="TableContents"/>
              <w:bidi w:val="0"/>
              <w:spacing w:lineRule="atLeast" w:line="142" w:before="0" w:after="283"/>
              <w:jc w:val="left"/>
              <w:rPr/>
            </w:pPr>
            <w:r>
              <w:rPr/>
              <w:t>Compensation</w:t>
              <w:br/>
              <w:t xml:space="preserve">Actually Paid to </w:t>
              <w:br/>
              <w:t>PEO</w:t>
              <w:br/>
              <w:t>($)</w:t>
            </w:r>
            <w:r>
              <w:rPr>
                <w:sz w:val="9"/>
              </w:rPr>
              <w:t>(1) (4)</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71" w:type="dxa"/>
            <w:tcBorders/>
            <w:shd w:fill="000000" w:val="clear"/>
            <w:tcMar>
              <w:bottom w:w="0" w:type="dxa"/>
            </w:tcMar>
            <w:vAlign w:val="center"/>
          </w:tcPr>
          <w:p>
            <w:pPr>
              <w:pStyle w:val="TableContents"/>
              <w:bidi w:val="0"/>
              <w:spacing w:lineRule="atLeast" w:line="142" w:before="0" w:after="283"/>
              <w:jc w:val="left"/>
              <w:rPr/>
            </w:pPr>
            <w:r>
              <w:rPr/>
              <w:t>Average</w:t>
              <w:br/>
              <w:t>Summary</w:t>
              <w:br/>
              <w:t>Compensation</w:t>
              <w:br/>
              <w:t>Table Total</w:t>
              <w:br/>
              <w:t>for Non-PEO</w:t>
              <w:br/>
              <w:t>Named</w:t>
              <w:br/>
              <w:t>Executive</w:t>
              <w:br/>
              <w:t>Officers</w:t>
              <w:br/>
              <w:t>($)</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71" w:type="dxa"/>
            <w:tcBorders/>
            <w:shd w:fill="000000" w:val="clear"/>
            <w:tcMar>
              <w:bottom w:w="0" w:type="dxa"/>
            </w:tcMar>
            <w:vAlign w:val="center"/>
          </w:tcPr>
          <w:p>
            <w:pPr>
              <w:pStyle w:val="TableContents"/>
              <w:bidi w:val="0"/>
              <w:spacing w:lineRule="atLeast" w:line="142" w:before="0" w:after="283"/>
              <w:jc w:val="left"/>
              <w:rPr/>
            </w:pPr>
            <w:r>
              <w:rPr/>
              <w:t>Average</w:t>
              <w:br/>
              <w:t>Compensation</w:t>
              <w:br/>
              <w:t>Actually Paid to</w:t>
              <w:br/>
              <w:t>Non-PEO</w:t>
              <w:br/>
              <w:t>Named</w:t>
              <w:br/>
              <w:t>Executive</w:t>
              <w:br/>
              <w:t>Officers</w:t>
              <w:br/>
              <w:t>($)</w:t>
            </w:r>
            <w:r>
              <w:rPr>
                <w:sz w:val="9"/>
              </w:rPr>
              <w:t>(1) (4)</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46" w:type="dxa"/>
            <w:tcBorders/>
            <w:shd w:fill="000000" w:val="clear"/>
            <w:tcMar>
              <w:bottom w:w="0" w:type="dxa"/>
            </w:tcMar>
            <w:vAlign w:val="center"/>
          </w:tcPr>
          <w:p>
            <w:pPr>
              <w:pStyle w:val="TableContents"/>
              <w:bidi w:val="0"/>
              <w:spacing w:before="0" w:after="283"/>
              <w:jc w:val="left"/>
              <w:rPr/>
            </w:pPr>
            <w:r>
              <w:rPr/>
              <w:t>Total</w:t>
              <w:br/>
              <w:t>Shareholder</w:t>
              <w:br/>
              <w:t>Return</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46" w:type="dxa"/>
            <w:tcBorders/>
            <w:shd w:fill="000000" w:val="clear"/>
            <w:tcMar>
              <w:bottom w:w="0" w:type="dxa"/>
            </w:tcMar>
            <w:vAlign w:val="center"/>
          </w:tcPr>
          <w:p>
            <w:pPr>
              <w:pStyle w:val="TableContents"/>
              <w:bidi w:val="0"/>
              <w:spacing w:lineRule="atLeast" w:line="142" w:before="0" w:after="283"/>
              <w:jc w:val="left"/>
              <w:rPr/>
            </w:pPr>
            <w:r>
              <w:rPr/>
              <w:t>Peer Group</w:t>
              <w:br/>
              <w:t>Total</w:t>
              <w:br/>
              <w:t>Shareholder</w:t>
              <w:br/>
              <w:t>Return</w:t>
              <w:br/>
              <w:t>($)</w:t>
            </w:r>
            <w:r>
              <w:rPr>
                <w:sz w:val="9"/>
              </w:rPr>
              <w:t>(2)</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41" w:type="dxa"/>
            <w:tcBorders/>
            <w:shd w:fill="000000" w:val="clear"/>
            <w:tcMar>
              <w:bottom w:w="0" w:type="dxa"/>
            </w:tcMar>
            <w:vAlign w:val="center"/>
          </w:tcPr>
          <w:p>
            <w:pPr>
              <w:pStyle w:val="TableContents"/>
              <w:bidi w:val="0"/>
              <w:spacing w:before="0" w:after="283"/>
              <w:jc w:val="left"/>
              <w:rPr/>
            </w:pPr>
            <w:r>
              <w:rPr/>
              <w:t>Net Income (in</w:t>
              <w:br/>
              <w:t>Thousands)</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16" w:type="dxa"/>
            <w:tcBorders/>
            <w:shd w:fill="000000" w:val="clear"/>
            <w:tcMar>
              <w:bottom w:w="0" w:type="dxa"/>
            </w:tcMar>
            <w:vAlign w:val="center"/>
          </w:tcPr>
          <w:p>
            <w:pPr>
              <w:pStyle w:val="TableContents"/>
              <w:bidi w:val="0"/>
              <w:spacing w:lineRule="atLeast" w:line="142" w:before="0" w:after="283"/>
              <w:jc w:val="left"/>
              <w:rPr/>
            </w:pPr>
            <w:r>
              <w:rPr/>
              <w:t>Free Cash Flow (in</w:t>
              <w:br/>
              <w:t>Thousands)</w:t>
              <w:br/>
              <w:t>($)</w:t>
            </w:r>
            <w:r>
              <w:rPr>
                <w:sz w:val="9"/>
              </w:rPr>
              <w:t>(3)</w:t>
            </w:r>
            <w:r>
              <w:rPr/>
              <w:t xml:space="preserv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86" w:type="dxa"/>
            <w:tcBorders>
              <w:bottom w:val="single" w:sz="6" w:space="0" w:color="000000"/>
            </w:tcBorders>
            <w:tcMar>
              <w:bottom w:w="148" w:type="dxa"/>
            </w:tcMar>
            <w:vAlign w:val="center"/>
          </w:tcPr>
          <w:p>
            <w:pPr>
              <w:pStyle w:val="TableContents"/>
              <w:bidi w:val="0"/>
              <w:spacing w:before="0" w:after="283"/>
              <w:jc w:val="left"/>
              <w:rPr/>
            </w:pPr>
            <w:r>
              <w:rPr/>
              <w:t xml:space="preserve">2024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1,490,490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6" w:type="dxa"/>
            <w:tcBorders>
              <w:bottom w:val="single" w:sz="6" w:space="0" w:color="000000"/>
            </w:tcBorders>
            <w:tcMar>
              <w:bottom w:w="148" w:type="dxa"/>
            </w:tcMar>
            <w:vAlign w:val="center"/>
          </w:tcPr>
          <w:p>
            <w:pPr>
              <w:pStyle w:val="TableContents"/>
              <w:bidi w:val="0"/>
              <w:spacing w:before="0" w:after="283"/>
              <w:jc w:val="left"/>
              <w:rPr/>
            </w:pPr>
            <w:r>
              <w:rPr/>
              <w:t xml:space="preserve">(6,467,228)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5,869,874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3,898,596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6" w:type="dxa"/>
            <w:tcBorders>
              <w:bottom w:val="single" w:sz="6" w:space="0" w:color="000000"/>
            </w:tcBorders>
            <w:tcMar>
              <w:bottom w:w="148" w:type="dxa"/>
            </w:tcMar>
            <w:vAlign w:val="center"/>
          </w:tcPr>
          <w:p>
            <w:pPr>
              <w:pStyle w:val="TableContents"/>
              <w:bidi w:val="0"/>
              <w:spacing w:before="0" w:after="283"/>
              <w:jc w:val="left"/>
              <w:rPr/>
            </w:pPr>
            <w:r>
              <w:rPr/>
              <w:t xml:space="preserve">12.45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6" w:type="dxa"/>
            <w:tcBorders>
              <w:bottom w:val="single" w:sz="6" w:space="0" w:color="000000"/>
            </w:tcBorders>
            <w:tcMar>
              <w:bottom w:w="148" w:type="dxa"/>
            </w:tcMar>
            <w:vAlign w:val="center"/>
          </w:tcPr>
          <w:p>
            <w:pPr>
              <w:pStyle w:val="TableContents"/>
              <w:bidi w:val="0"/>
              <w:spacing w:before="0" w:after="283"/>
              <w:jc w:val="left"/>
              <w:rPr/>
            </w:pPr>
            <w:r>
              <w:rPr/>
              <w:t xml:space="preserve">224.42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1" w:type="dxa"/>
            <w:tcBorders>
              <w:bottom w:val="single" w:sz="6" w:space="0" w:color="000000"/>
            </w:tcBorders>
            <w:tcMar>
              <w:bottom w:w="148" w:type="dxa"/>
            </w:tcMar>
            <w:vAlign w:val="center"/>
          </w:tcPr>
          <w:p>
            <w:pPr>
              <w:pStyle w:val="TableContents"/>
              <w:bidi w:val="0"/>
              <w:spacing w:before="0" w:after="283"/>
              <w:jc w:val="left"/>
              <w:rPr/>
            </w:pPr>
            <w:r>
              <w:rPr/>
              <w:t xml:space="preserve">(2,713,942)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6" w:type="dxa"/>
            <w:tcBorders>
              <w:bottom w:val="single" w:sz="6" w:space="0" w:color="000000"/>
            </w:tcBorders>
            <w:tcMar>
              <w:bottom w:w="148" w:type="dxa"/>
            </w:tcMar>
            <w:vAlign w:val="center"/>
          </w:tcPr>
          <w:p>
            <w:pPr>
              <w:pStyle w:val="TableContents"/>
              <w:bidi w:val="0"/>
              <w:spacing w:before="0" w:after="283"/>
              <w:jc w:val="left"/>
              <w:rPr/>
            </w:pPr>
            <w:r>
              <w:rPr/>
              <w:t xml:space="preserve">(2,903,515)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86" w:type="dxa"/>
            <w:tcBorders>
              <w:bottom w:val="single" w:sz="6" w:space="0" w:color="000000"/>
            </w:tcBorders>
            <w:tcMar>
              <w:bottom w:w="148" w:type="dxa"/>
            </w:tcMar>
            <w:vAlign w:val="center"/>
          </w:tcPr>
          <w:p>
            <w:pPr>
              <w:pStyle w:val="TableContents"/>
              <w:bidi w:val="0"/>
              <w:spacing w:before="0" w:after="283"/>
              <w:jc w:val="left"/>
              <w:rPr/>
            </w:pPr>
            <w:r>
              <w:rPr/>
              <w:t xml:space="preserve">2023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6,837,213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6" w:type="dxa"/>
            <w:tcBorders>
              <w:bottom w:val="single" w:sz="6" w:space="0" w:color="000000"/>
            </w:tcBorders>
            <w:tcMar>
              <w:bottom w:w="148" w:type="dxa"/>
            </w:tcMar>
            <w:vAlign w:val="center"/>
          </w:tcPr>
          <w:p>
            <w:pPr>
              <w:pStyle w:val="TableContents"/>
              <w:bidi w:val="0"/>
              <w:spacing w:before="0" w:after="283"/>
              <w:jc w:val="left"/>
              <w:rPr/>
            </w:pPr>
            <w:r>
              <w:rPr/>
              <w:t xml:space="preserve">(13,293,519)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8,544,858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3,677,588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6" w:type="dxa"/>
            <w:tcBorders>
              <w:bottom w:val="single" w:sz="6" w:space="0" w:color="000000"/>
            </w:tcBorders>
            <w:tcMar>
              <w:bottom w:w="148" w:type="dxa"/>
            </w:tcMar>
            <w:vAlign w:val="center"/>
          </w:tcPr>
          <w:p>
            <w:pPr>
              <w:pStyle w:val="TableContents"/>
              <w:bidi w:val="0"/>
              <w:spacing w:before="0" w:after="283"/>
              <w:jc w:val="left"/>
              <w:rPr/>
            </w:pPr>
            <w:r>
              <w:rPr/>
              <w:t xml:space="preserve">17.36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6" w:type="dxa"/>
            <w:tcBorders>
              <w:bottom w:val="single" w:sz="6" w:space="0" w:color="000000"/>
            </w:tcBorders>
            <w:tcMar>
              <w:bottom w:w="148" w:type="dxa"/>
            </w:tcMar>
            <w:vAlign w:val="center"/>
          </w:tcPr>
          <w:p>
            <w:pPr>
              <w:pStyle w:val="TableContents"/>
              <w:bidi w:val="0"/>
              <w:spacing w:before="0" w:after="283"/>
              <w:jc w:val="left"/>
              <w:rPr/>
            </w:pPr>
            <w:r>
              <w:rPr/>
              <w:t xml:space="preserve">162.40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1" w:type="dxa"/>
            <w:tcBorders>
              <w:bottom w:val="single" w:sz="6" w:space="0" w:color="000000"/>
            </w:tcBorders>
            <w:tcMar>
              <w:bottom w:w="148" w:type="dxa"/>
            </w:tcMar>
            <w:vAlign w:val="center"/>
          </w:tcPr>
          <w:p>
            <w:pPr>
              <w:pStyle w:val="TableContents"/>
              <w:bidi w:val="0"/>
              <w:spacing w:before="0" w:after="283"/>
              <w:jc w:val="left"/>
              <w:rPr/>
            </w:pPr>
            <w:r>
              <w:rPr/>
              <w:t xml:space="preserve">(2,828,420)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6" w:type="dxa"/>
            <w:tcBorders>
              <w:bottom w:val="single" w:sz="6" w:space="0" w:color="000000"/>
            </w:tcBorders>
            <w:tcMar>
              <w:bottom w:w="148" w:type="dxa"/>
            </w:tcMar>
            <w:vAlign w:val="center"/>
          </w:tcPr>
          <w:p>
            <w:pPr>
              <w:pStyle w:val="TableContents"/>
              <w:bidi w:val="0"/>
              <w:spacing w:before="0" w:after="283"/>
              <w:jc w:val="left"/>
              <w:rPr/>
            </w:pPr>
            <w:r>
              <w:rPr/>
              <w:t xml:space="preserve">(3,400,397)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86" w:type="dxa"/>
            <w:tcBorders>
              <w:bottom w:val="single" w:sz="6" w:space="0" w:color="000000"/>
            </w:tcBorders>
            <w:tcMar>
              <w:bottom w:w="148" w:type="dxa"/>
            </w:tcMar>
            <w:vAlign w:val="center"/>
          </w:tcPr>
          <w:p>
            <w:pPr>
              <w:pStyle w:val="TableContents"/>
              <w:bidi w:val="0"/>
              <w:spacing w:before="0" w:after="283"/>
              <w:jc w:val="left"/>
              <w:rPr/>
            </w:pPr>
            <w:r>
              <w:rPr/>
              <w:t xml:space="preserve">2022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596,430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6" w:type="dxa"/>
            <w:tcBorders>
              <w:bottom w:val="single" w:sz="6" w:space="0" w:color="000000"/>
            </w:tcBorders>
            <w:tcMar>
              <w:bottom w:w="148" w:type="dxa"/>
            </w:tcMar>
            <w:vAlign w:val="center"/>
          </w:tcPr>
          <w:p>
            <w:pPr>
              <w:pStyle w:val="TableContents"/>
              <w:bidi w:val="0"/>
              <w:spacing w:before="0" w:after="283"/>
              <w:jc w:val="left"/>
              <w:rPr/>
            </w:pPr>
            <w:r>
              <w:rPr/>
              <w:t xml:space="preserve">(643,851,664)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5,756,135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71" w:type="dxa"/>
            <w:tcBorders>
              <w:bottom w:val="single" w:sz="6" w:space="0" w:color="000000"/>
            </w:tcBorders>
            <w:tcMar>
              <w:bottom w:w="148" w:type="dxa"/>
            </w:tcMar>
            <w:vAlign w:val="center"/>
          </w:tcPr>
          <w:p>
            <w:pPr>
              <w:pStyle w:val="TableContents"/>
              <w:bidi w:val="0"/>
              <w:spacing w:before="0" w:after="283"/>
              <w:jc w:val="left"/>
              <w:rPr/>
            </w:pPr>
            <w:r>
              <w:rPr/>
              <w:t xml:space="preserve">(29,632,802)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6" w:type="dxa"/>
            <w:tcBorders>
              <w:bottom w:val="single" w:sz="6" w:space="0" w:color="000000"/>
            </w:tcBorders>
            <w:tcMar>
              <w:bottom w:w="148" w:type="dxa"/>
            </w:tcMar>
            <w:vAlign w:val="center"/>
          </w:tcPr>
          <w:p>
            <w:pPr>
              <w:pStyle w:val="TableContents"/>
              <w:bidi w:val="0"/>
              <w:spacing w:before="0" w:after="283"/>
              <w:jc w:val="left"/>
              <w:rPr/>
            </w:pPr>
            <w:r>
              <w:rPr/>
              <w:t xml:space="preserve">28.16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6" w:type="dxa"/>
            <w:tcBorders>
              <w:bottom w:val="single" w:sz="6" w:space="0" w:color="000000"/>
            </w:tcBorders>
            <w:tcMar>
              <w:bottom w:w="148" w:type="dxa"/>
            </w:tcMar>
            <w:vAlign w:val="center"/>
          </w:tcPr>
          <w:p>
            <w:pPr>
              <w:pStyle w:val="TableContents"/>
              <w:bidi w:val="0"/>
              <w:spacing w:before="0" w:after="283"/>
              <w:jc w:val="left"/>
              <w:rPr/>
            </w:pPr>
            <w:r>
              <w:rPr/>
              <w:t xml:space="preserve">79.05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1" w:type="dxa"/>
            <w:tcBorders>
              <w:bottom w:val="single" w:sz="6" w:space="0" w:color="000000"/>
            </w:tcBorders>
            <w:tcMar>
              <w:bottom w:w="148" w:type="dxa"/>
            </w:tcMar>
            <w:vAlign w:val="center"/>
          </w:tcPr>
          <w:p>
            <w:pPr>
              <w:pStyle w:val="TableContents"/>
              <w:bidi w:val="0"/>
              <w:spacing w:before="0" w:after="283"/>
              <w:jc w:val="left"/>
              <w:rPr/>
            </w:pPr>
            <w:r>
              <w:rPr/>
              <w:t xml:space="preserve">(1,304,460)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6" w:type="dxa"/>
            <w:tcBorders>
              <w:bottom w:val="single" w:sz="6" w:space="0" w:color="000000"/>
            </w:tcBorders>
            <w:tcMar>
              <w:bottom w:w="148" w:type="dxa"/>
            </w:tcMar>
            <w:vAlign w:val="center"/>
          </w:tcPr>
          <w:p>
            <w:pPr>
              <w:pStyle w:val="TableContents"/>
              <w:bidi w:val="0"/>
              <w:spacing w:before="0" w:after="283"/>
              <w:jc w:val="left"/>
              <w:rPr/>
            </w:pPr>
            <w:r>
              <w:rPr/>
              <w:t xml:space="preserve">(3,301,110)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before="0" w:after="283"/>
              <w:jc w:val="left"/>
              <w:rPr/>
            </w:pPr>
            <w:r>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565,591,512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6"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1,148,791,229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21,230,163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55,097,849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156.91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109.93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bdr w:val="single" w:sz="2" w:space="1" w:color="FEFEFE"/>
              </w:rPr>
            </w:pPr>
            <w:r>
              <w:rPr>
                <w:bdr w:val="single" w:sz="2" w:space="1" w:color="FEFEFE"/>
              </w:rPr>
              <w:t xml:space="preserve">(2,579,761)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tcBorders/>
            <w:tcMar>
              <w:bottom w:w="0" w:type="dxa"/>
            </w:tcMar>
            <w:vAlign w:val="center"/>
          </w:tcPr>
          <w:p>
            <w:pPr>
              <w:pStyle w:val="TableContents"/>
              <w:bidi w:val="0"/>
              <w:spacing w:before="0" w:after="283"/>
              <w:jc w:val="left"/>
              <w:rPr/>
            </w:pPr>
            <w:r>
              <w:rPr>
                <w:bdr w:val="single" w:sz="2" w:space="1" w:color="FEFEFE"/>
              </w:rPr>
              <w:t>(1,479,353)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3356" w:type="dxa"/>
            <w:gridSpan w:val="27"/>
            <w:tcBorders/>
            <w:tcMar>
              <w:bottom w:w="0"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FEFEFE"/>
        </w:rPr>
      </w:pPr>
      <w:r>
        <w:rPr>
          <w:caps w:val="false"/>
          <w:smallCaps w:val="false"/>
          <w:color w:val="FEFEFE"/>
        </w:rPr>
        <w:t>​</w:t>
      </w:r>
    </w:p>
    <w:p>
      <w:pPr>
        <w:pStyle w:val="TextBody"/>
        <w:bidi w:val="0"/>
        <w:spacing w:lineRule="atLeast" w:line="142" w:before="32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Mr. Rawlinson served as our PEO for each of the fiscal years presented. For 2024, our non-PEO NEOs included Messrs. Dhingra, Winterhoff, Bach and Bell. For 2023, our non-PEO NEOs included Messrs. Dhingra, Winterhoff, Bach and Bell and Sherry House and for 2022 and 2021, our non-PEO NEOs included Messrs. Bach and Bell and Ms. House.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03200" distB="0" distL="0" distR="0" simplePos="0" locked="0" layoutInCell="1" allowOverlap="1" relativeHeight="281">
                <wp:simplePos x="0" y="0"/>
                <wp:positionH relativeFrom="column">
                  <wp:align>left</wp:align>
                </wp:positionH>
                <wp:positionV relativeFrom="line">
                  <wp:align>top</wp:align>
                </wp:positionV>
                <wp:extent cx="91440" cy="180340"/>
                <wp:effectExtent l="0" t="0" r="0" b="0"/>
                <wp:wrapSquare wrapText="right"/>
                <wp:docPr id="274" name="Frame213"/>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b w:val="false"/>
                                <w:color w:val="000000"/>
                                <w:sz w:val="12"/>
                              </w:rPr>
                            </w:pPr>
                            <w:r>
                              <w:rPr>
                                <w:b w:val="false"/>
                                <w:color w:val="000000"/>
                                <w:sz w:val="9"/>
                              </w:rPr>
                              <w:t>(1)</w:t>
                            </w:r>
                            <w:r>
                              <w:rPr>
                                <w:b w:val="false"/>
                                <w:color w:val="000000"/>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42" w:before="0" w:after="283"/>
                        <w:jc w:val="left"/>
                        <w:rPr>
                          <w:b w:val="false"/>
                          <w:color w:val="000000"/>
                          <w:sz w:val="12"/>
                        </w:rPr>
                      </w:pPr>
                      <w:r>
                        <w:rPr>
                          <w:b w:val="false"/>
                          <w:color w:val="000000"/>
                          <w:sz w:val="9"/>
                        </w:rPr>
                        <w:t>(1)</w:t>
                      </w:r>
                      <w:r>
                        <w:rPr>
                          <w:b w:val="false"/>
                          <w:color w:val="000000"/>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FEFEFE"/>
        </w:rPr>
      </w:pPr>
      <w:r>
        <w:rPr>
          <w:caps w:val="false"/>
          <w:smallCaps w:val="false"/>
          <w:color w:val="FEFEFE"/>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The Peer Group TSR set forth in this table utilizes the 20 largest public companies sharing the same SIC code as us, which is SIC code 3711, “Motor Vehicles and Passenger Car Bodies” ​(“Motor Vehicles and Passenger Car Bodies Public Company Group”), which we also utilize in the stock performance graph required by Item 201(e) of Regulation S-K included in our Annual Report for the year ended December 31, 2024. The comparison assumes $100 was invested for the period starting July 23, 2021, through the end of the listed year in the Company and in the Motor Vehicles and Passenger Car Bodies Public Company Group, respectively. Historical stock performance is not necessarily indicative of future stock performance.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2">
                <wp:simplePos x="0" y="0"/>
                <wp:positionH relativeFrom="column">
                  <wp:align>left</wp:align>
                </wp:positionH>
                <wp:positionV relativeFrom="line">
                  <wp:align>top</wp:align>
                </wp:positionV>
                <wp:extent cx="91440" cy="180340"/>
                <wp:effectExtent l="0" t="0" r="0" b="0"/>
                <wp:wrapSquare wrapText="right"/>
                <wp:docPr id="275" name="Frame214"/>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b w:val="false"/>
                                <w:color w:val="000000"/>
                                <w:sz w:val="12"/>
                              </w:rPr>
                            </w:pPr>
                            <w:r>
                              <w:rPr>
                                <w:b w:val="false"/>
                                <w:color w:val="000000"/>
                                <w:sz w:val="9"/>
                              </w:rPr>
                              <w:t>(2)</w:t>
                            </w:r>
                            <w:r>
                              <w:rPr>
                                <w:b w:val="false"/>
                                <w:color w:val="000000"/>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b w:val="false"/>
                          <w:color w:val="000000"/>
                          <w:sz w:val="12"/>
                        </w:rPr>
                      </w:pPr>
                      <w:r>
                        <w:rPr>
                          <w:b w:val="false"/>
                          <w:color w:val="000000"/>
                          <w:sz w:val="9"/>
                        </w:rPr>
                        <w:t>(2)</w:t>
                      </w:r>
                      <w:r>
                        <w:rPr>
                          <w:b w:val="false"/>
                          <w:color w:val="000000"/>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FEFEFE"/>
        </w:rPr>
      </w:pPr>
      <w:r>
        <w:rPr>
          <w:caps w:val="false"/>
          <w:smallCaps w:val="false"/>
          <w:color w:val="FEFEFE"/>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Free Cash Flow is not a financial measure prepared in accordance with GAAP. For information on how we compute these non-GAAP financial measures and a reconciliation to the most directly comparable financial measures prepared in accordance with GAAP, please refer to “Annex B: Reconciliation of Non-GAAP Financial Measures” in this Proxy Statement. </w:t>
      </w:r>
      <w:r>
        <mc:AlternateContent>
          <mc:Choice Requires="wps">
            <w:drawing>
              <wp:anchor behindDoc="0" distT="69850" distB="0" distL="0" distR="0" simplePos="0" locked="0" layoutInCell="1" allowOverlap="1" relativeHeight="283">
                <wp:simplePos x="0" y="0"/>
                <wp:positionH relativeFrom="column">
                  <wp:align>left</wp:align>
                </wp:positionH>
                <wp:positionV relativeFrom="line">
                  <wp:align>top</wp:align>
                </wp:positionV>
                <wp:extent cx="91440" cy="180340"/>
                <wp:effectExtent l="0" t="0" r="0" b="0"/>
                <wp:wrapSquare wrapText="right"/>
                <wp:docPr id="276" name="Frame215"/>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b w:val="false"/>
                                <w:color w:val="000000"/>
                                <w:sz w:val="12"/>
                              </w:rPr>
                            </w:pPr>
                            <w:r>
                              <w:rPr>
                                <w:b w:val="false"/>
                                <w:color w:val="000000"/>
                                <w:sz w:val="9"/>
                              </w:rPr>
                              <w:t>(3)</w:t>
                            </w:r>
                            <w:r>
                              <w:rPr>
                                <w:b w:val="false"/>
                                <w:color w:val="000000"/>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b w:val="false"/>
                          <w:color w:val="000000"/>
                          <w:sz w:val="12"/>
                        </w:rPr>
                      </w:pPr>
                      <w:r>
                        <w:rPr>
                          <w:b w:val="false"/>
                          <w:color w:val="000000"/>
                          <w:sz w:val="9"/>
                        </w:rPr>
                        <w:t>(3)</w:t>
                      </w:r>
                      <w:r>
                        <w:rPr>
                          <w:b w:val="false"/>
                          <w:color w:val="000000"/>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FEFEFE"/>
        </w:rPr>
      </w:pPr>
      <w:r>
        <w:rPr>
          <w:caps w:val="false"/>
          <w:smallCaps w:val="false"/>
          <w:color w:val="FEFEFE"/>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 xml:space="preserve">The following table shows the adjustments from the Summary Compensation Table total compensation to calculate the “compensation actually paid” to our PEO and Non-PEO NEOs in accordance with the Pay Versus Performance Rules in 2024: </w:t>
      </w:r>
      <w:r>
        <mc:AlternateContent>
          <mc:Choice Requires="wps">
            <w:drawing>
              <wp:anchor behindDoc="0" distT="69850" distB="0" distL="0" distR="0" simplePos="0" locked="0" layoutInCell="1" allowOverlap="1" relativeHeight="284">
                <wp:simplePos x="0" y="0"/>
                <wp:positionH relativeFrom="column">
                  <wp:align>left</wp:align>
                </wp:positionH>
                <wp:positionV relativeFrom="line">
                  <wp:align>top</wp:align>
                </wp:positionV>
                <wp:extent cx="91440" cy="180340"/>
                <wp:effectExtent l="0" t="0" r="0" b="0"/>
                <wp:wrapSquare wrapText="right"/>
                <wp:docPr id="277" name="Frame216"/>
                <a:graphic xmlns:a="http://schemas.openxmlformats.org/drawingml/2006/main">
                  <a:graphicData uri="http://schemas.microsoft.com/office/word/2010/wordprocessingShape">
                    <wps:wsp>
                      <wps:cNvSpPr txBox="1"/>
                      <wps:spPr>
                        <a:xfrm>
                          <a:off x="0" y="0"/>
                          <a:ext cx="91440" cy="180340"/>
                        </a:xfrm>
                        <a:prstGeom prst="rect"/>
                        <a:solidFill>
                          <a:srgbClr val="FFFFFF"/>
                        </a:solidFill>
                      </wps:spPr>
                      <wps:txbx>
                        <w:txbxContent>
                          <w:p>
                            <w:pPr>
                              <w:pStyle w:val="TextBody"/>
                              <w:bidi w:val="0"/>
                              <w:spacing w:lineRule="atLeast" w:line="142" w:before="0" w:after="283"/>
                              <w:jc w:val="left"/>
                              <w:rPr>
                                <w:b w:val="false"/>
                                <w:color w:val="000000"/>
                                <w:sz w:val="12"/>
                              </w:rPr>
                            </w:pPr>
                            <w:r>
                              <w:rPr>
                                <w:b w:val="false"/>
                                <w:color w:val="000000"/>
                                <w:sz w:val="9"/>
                              </w:rPr>
                              <w:t>(4)</w:t>
                            </w:r>
                            <w:r>
                              <w:rPr>
                                <w:b w:val="false"/>
                                <w:color w:val="000000"/>
                                <w:sz w:val="12"/>
                              </w:rPr>
                              <w:t xml:space="preserve"> </w:t>
                              <w:br/>
                            </w:r>
                          </w:p>
                        </w:txbxContent>
                      </wps:txbx>
                      <wps:bodyPr anchor="t" lIns="0" tIns="0" rIns="0" bIns="0">
                        <a:noAutofit/>
                      </wps:bodyPr>
                    </wps:wsp>
                  </a:graphicData>
                </a:graphic>
              </wp:anchor>
            </w:drawing>
          </mc:Choice>
          <mc:Fallback>
            <w:pict>
              <v:rect style="position:absolute;rotation:-0;width:7.2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b w:val="false"/>
                          <w:color w:val="000000"/>
                          <w:sz w:val="12"/>
                        </w:rPr>
                      </w:pPr>
                      <w:r>
                        <w:rPr>
                          <w:b w:val="false"/>
                          <w:color w:val="000000"/>
                          <w:sz w:val="9"/>
                        </w:rPr>
                        <w:t>(4)</w:t>
                      </w:r>
                      <w:r>
                        <w:rPr>
                          <w:b w:val="false"/>
                          <w:color w:val="000000"/>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FEFEFE"/>
        </w:rPr>
      </w:pPr>
      <w:r>
        <w:rPr>
          <w:caps w:val="false"/>
          <w:smallCaps w:val="false"/>
          <w:color w:val="FEFEFE"/>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6343"/>
        <w:gridCol w:w="109"/>
        <w:gridCol w:w="109"/>
        <w:gridCol w:w="1210"/>
        <w:gridCol w:w="109"/>
        <w:gridCol w:w="109"/>
        <w:gridCol w:w="1217"/>
        <w:gridCol w:w="155"/>
      </w:tblGrid>
      <w:tr>
        <w:trPr/>
        <w:tc>
          <w:tcPr>
            <w:tcW w:w="124" w:type="dxa"/>
            <w:tcBorders/>
            <w:shd w:fill="000000" w:val="clear"/>
            <w:vAlign w:val="center"/>
          </w:tcPr>
          <w:p>
            <w:pPr>
              <w:pStyle w:val="TableContents"/>
              <w:bidi w:val="0"/>
              <w:spacing w:before="0" w:after="283"/>
              <w:jc w:val="left"/>
              <w:rPr/>
            </w:pPr>
            <w:r>
              <w:rPr/>
              <w:t>​</w:t>
            </w:r>
          </w:p>
        </w:tc>
        <w:tc>
          <w:tcPr>
            <w:tcW w:w="6343"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tcBorders/>
            <w:shd w:fill="000000" w:val="clear"/>
            <w:vAlign w:val="center"/>
          </w:tcPr>
          <w:p>
            <w:pPr>
              <w:pStyle w:val="TableContents"/>
              <w:bidi w:val="0"/>
              <w:spacing w:before="0" w:after="283"/>
              <w:jc w:val="left"/>
              <w:rPr/>
            </w:pPr>
            <w:r>
              <w:rPr/>
              <w:t>PEO 2024</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7" w:type="dxa"/>
            <w:tcBorders/>
            <w:shd w:fill="000000" w:val="clear"/>
            <w:vAlign w:val="center"/>
          </w:tcPr>
          <w:p>
            <w:pPr>
              <w:pStyle w:val="TableContents"/>
              <w:bidi w:val="0"/>
              <w:spacing w:before="0" w:after="283"/>
              <w:jc w:val="left"/>
              <w:rPr/>
            </w:pPr>
            <w:r>
              <w:rPr/>
              <w:t xml:space="preserve">Non-PEOs </w:t>
              <w:br/>
              <w:t>2024</w:t>
              <w:br/>
              <w:t xml:space="preserve">($)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b/>
              </w:rPr>
            </w:pPr>
            <w:r>
              <w:rPr>
                <w:b/>
              </w:rPr>
              <w:t>Summary Compensation Total</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1,490,490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 xml:space="preserve">5,869,874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i/>
              </w:rPr>
            </w:pPr>
            <w:r>
              <w:rPr>
                <w:i/>
              </w:rPr>
              <w:t>Less</w:t>
            </w:r>
            <w:r>
              <w:rPr>
                <w:i/>
                <w:caps w:val="false"/>
                <w:smallCaps w:val="false"/>
              </w:rPr>
              <w:t xml:space="preserve"> </w:t>
            </w:r>
            <w:r>
              <w:rPr>
                <w:i w:val="false"/>
                <w:caps w:val="false"/>
                <w:smallCaps w:val="false"/>
              </w:rPr>
              <w:t xml:space="preserve">Stock Award Value Reported in Summary Compensation Table for the Covered Year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 xml:space="preserve">(4,617,249)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1" w:type="dxa"/>
            </w:tcMar>
            <w:vAlign w:val="center"/>
          </w:tcPr>
          <w:p>
            <w:pPr>
              <w:pStyle w:val="TableContents"/>
              <w:bidi w:val="0"/>
              <w:spacing w:before="0" w:after="283"/>
              <w:jc w:val="left"/>
              <w:rPr/>
            </w:pPr>
            <w:r>
              <w:rPr>
                <w:i/>
              </w:rPr>
              <w:t>Plus</w:t>
            </w:r>
            <w:r>
              <w:rPr/>
              <w:t xml:space="preserve"> Fiscal Year-End Fair Value for Awards Granted in the Covered Year and Outstanding at Fiscal Year-End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1" w:type="dxa"/>
            </w:tcMar>
            <w:vAlign w:val="center"/>
          </w:tcPr>
          <w:p>
            <w:pPr>
              <w:pStyle w:val="TableContents"/>
              <w:bidi w:val="0"/>
              <w:spacing w:before="0" w:after="283"/>
              <w:jc w:val="left"/>
              <w:rPr/>
            </w:pPr>
            <w:r>
              <w:rPr/>
              <w:t xml:space="preserve">4,337,714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1" w:type="dxa"/>
            </w:tcMar>
            <w:vAlign w:val="center"/>
          </w:tcPr>
          <w:p>
            <w:pPr>
              <w:pStyle w:val="TableContents"/>
              <w:bidi w:val="0"/>
              <w:spacing w:before="0" w:after="283"/>
              <w:jc w:val="left"/>
              <w:rPr/>
            </w:pPr>
            <w:r>
              <w:rPr>
                <w:i/>
              </w:rPr>
              <w:t>Plus</w:t>
            </w:r>
            <w:r>
              <w:rPr/>
              <w:t xml:space="preserve"> Fair Value as of the Vesting Date for Awards Granted in the Covered Year and Vested in the Covered Year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1" w:type="dxa"/>
            </w:tcMar>
            <w:vAlign w:val="center"/>
          </w:tcPr>
          <w:p>
            <w:pPr>
              <w:pStyle w:val="TableContents"/>
              <w:bidi w:val="0"/>
              <w:spacing w:before="0" w:after="283"/>
              <w:jc w:val="left"/>
              <w:rPr/>
            </w:pPr>
            <w:r>
              <w:rPr/>
              <w:t xml:space="preserve">220,948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i/>
              </w:rPr>
            </w:pPr>
            <w:r>
              <w:rPr>
                <w:i/>
              </w:rPr>
              <w:t>Change</w:t>
            </w:r>
            <w:r>
              <w:rPr>
                <w:i/>
                <w:caps w:val="false"/>
                <w:smallCaps w:val="false"/>
              </w:rPr>
              <w:t xml:space="preserve"> </w:t>
            </w:r>
            <w:r>
              <w:rPr>
                <w:i w:val="false"/>
                <w:caps w:val="false"/>
                <w:smallCaps w:val="false"/>
              </w:rPr>
              <w:t xml:space="preserve">in Fiscal Year-End Fair Values of Outstanding Unvested Awards Granted from Prior Years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(3,504,663)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 xml:space="preserve">(483,850)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1" w:type="dxa"/>
            </w:tcMar>
            <w:vAlign w:val="center"/>
          </w:tcPr>
          <w:p>
            <w:pPr>
              <w:pStyle w:val="TableContents"/>
              <w:bidi w:val="0"/>
              <w:spacing w:before="0" w:after="283"/>
              <w:jc w:val="left"/>
              <w:rPr/>
            </w:pPr>
            <w:r>
              <w:rPr>
                <w:i/>
              </w:rPr>
              <w:t>Change</w:t>
            </w:r>
            <w:r>
              <w:rPr/>
              <w:t xml:space="preserve"> in Fair Value as of Vesting Date of Awards Granted from Prior Years that Vested in the Covered Year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1" w:type="dxa"/>
            </w:tcMar>
            <w:vAlign w:val="center"/>
          </w:tcPr>
          <w:p>
            <w:pPr>
              <w:pStyle w:val="TableContents"/>
              <w:bidi w:val="0"/>
              <w:spacing w:before="0" w:after="283"/>
              <w:jc w:val="left"/>
              <w:rPr/>
            </w:pPr>
            <w:r>
              <w:rPr/>
              <w:t xml:space="preserve">(4,453,055)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1" w:type="dxa"/>
            </w:tcMar>
            <w:vAlign w:val="center"/>
          </w:tcPr>
          <w:p>
            <w:pPr>
              <w:pStyle w:val="TableContents"/>
              <w:bidi w:val="0"/>
              <w:spacing w:before="0" w:after="283"/>
              <w:jc w:val="left"/>
              <w:rPr/>
            </w:pPr>
            <w:r>
              <w:rPr/>
              <w:t xml:space="preserve">(516,531)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i/>
              </w:rPr>
            </w:pPr>
            <w:r>
              <w:rPr>
                <w:i/>
              </w:rPr>
              <w:t>Less</w:t>
            </w:r>
            <w:r>
              <w:rPr>
                <w:i/>
                <w:caps w:val="false"/>
                <w:smallCaps w:val="false"/>
              </w:rPr>
              <w:t xml:space="preserve"> </w:t>
            </w:r>
            <w:r>
              <w:rPr>
                <w:i w:val="false"/>
                <w:caps w:val="false"/>
                <w:smallCaps w:val="false"/>
              </w:rPr>
              <w:t xml:space="preserve">Fair Value of Awards Forfeited during the Covered Year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 xml:space="preserve">(912,310)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i/>
              </w:rPr>
            </w:pPr>
            <w:r>
              <w:rPr>
                <w:i/>
              </w:rPr>
              <w:t>Plus</w:t>
            </w:r>
            <w:r>
              <w:rPr>
                <w:i/>
                <w:caps w:val="false"/>
                <w:smallCaps w:val="false"/>
              </w:rPr>
              <w:t xml:space="preserve"> </w:t>
            </w:r>
            <w:r>
              <w:rPr>
                <w:i w:val="false"/>
                <w:caps w:val="false"/>
                <w:smallCaps w:val="false"/>
              </w:rPr>
              <w:t xml:space="preserve">Fair Value of Incremental Dividends or Earnings Paid on Stock Awards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1" w:type="dxa"/>
            </w:tcMar>
            <w:vAlign w:val="center"/>
          </w:tcPr>
          <w:p>
            <w:pPr>
              <w:pStyle w:val="TableContents"/>
              <w:bidi w:val="0"/>
              <w:spacing w:before="0" w:after="283"/>
              <w:jc w:val="left"/>
              <w:rPr/>
            </w:pPr>
            <w:r>
              <w:rPr>
                <w:i/>
              </w:rPr>
              <w:t>Less</w:t>
            </w:r>
            <w:r>
              <w:rPr/>
              <w:t xml:space="preserve"> Aggregate Change in Actuarial Present Value of Benefit Accumulated Benefit Under Pension Plans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1"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1"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i/>
              </w:rPr>
            </w:pPr>
            <w:r>
              <w:rPr>
                <w:i/>
              </w:rPr>
              <w:t>Plus</w:t>
            </w:r>
            <w:r>
              <w:rPr>
                <w:i/>
                <w:caps w:val="false"/>
                <w:smallCaps w:val="false"/>
              </w:rPr>
              <w:t xml:space="preserve"> </w:t>
            </w:r>
            <w:r>
              <w:rPr>
                <w:i w:val="false"/>
                <w:caps w:val="false"/>
                <w:smallCaps w:val="false"/>
              </w:rPr>
              <w:t xml:space="preserve">Aggregate Service Cost and Prior Service Cost for Pension Plans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43" w:type="dxa"/>
            <w:tcBorders>
              <w:bottom w:val="single" w:sz="6" w:space="0" w:color="000000"/>
            </w:tcBorders>
            <w:tcMar>
              <w:bottom w:w="148" w:type="dxa"/>
            </w:tcMar>
            <w:vAlign w:val="center"/>
          </w:tcPr>
          <w:p>
            <w:pPr>
              <w:pStyle w:val="TableContents"/>
              <w:bidi w:val="0"/>
              <w:spacing w:before="0" w:after="0"/>
              <w:jc w:val="left"/>
              <w:rPr>
                <w:i/>
              </w:rPr>
            </w:pPr>
            <w:r>
              <w:rPr>
                <w:i/>
              </w:rPr>
              <w:t>Compensation Actually Paid</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0" w:type="dxa"/>
            <w:tcBorders>
              <w:bottom w:val="single" w:sz="6" w:space="0" w:color="000000"/>
            </w:tcBorders>
            <w:tcMar>
              <w:bottom w:w="148" w:type="dxa"/>
            </w:tcMar>
            <w:vAlign w:val="center"/>
          </w:tcPr>
          <w:p>
            <w:pPr>
              <w:pStyle w:val="TableContents"/>
              <w:bidi w:val="0"/>
              <w:spacing w:before="0" w:after="283"/>
              <w:jc w:val="left"/>
              <w:rPr/>
            </w:pPr>
            <w:r>
              <w:rPr/>
              <w:t xml:space="preserve">(6,467,228)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7" w:type="dxa"/>
            <w:tcBorders>
              <w:bottom w:val="single" w:sz="6" w:space="0" w:color="000000"/>
            </w:tcBorders>
            <w:tcMar>
              <w:bottom w:w="148" w:type="dxa"/>
            </w:tcMar>
            <w:vAlign w:val="center"/>
          </w:tcPr>
          <w:p>
            <w:pPr>
              <w:pStyle w:val="TableContents"/>
              <w:bidi w:val="0"/>
              <w:spacing w:before="0" w:after="283"/>
              <w:jc w:val="left"/>
              <w:rPr/>
            </w:pPr>
            <w:r>
              <w:rPr/>
              <w:t>3,898,596</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25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Tabular List of the Most Important Financial Performance Measures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used only the two financial performance measures set forth below to link Compensation Actually Paid to our NEOs for fiscal 2024 to Company performance.</w:t>
      </w:r>
      <w:r>
        <w:rPr>
          <w:rFonts w:ascii="Arial;Helvetica;sans-serif" w:hAnsi="Arial;Helvetica;sans-serif"/>
          <w:b w:val="false"/>
          <w:i w:val="false"/>
          <w:caps w:val="false"/>
          <w:smallCaps w:val="false"/>
          <w:color w:val="000000"/>
          <w:spacing w:val="4"/>
          <w:sz w:val="18"/>
        </w:rPr>
        <w:t xml:space="preserve"> </w:t>
      </w:r>
    </w:p>
    <w:tbl>
      <w:tblPr>
        <w:tblW w:w="2604" w:type="dxa"/>
        <w:jc w:val="left"/>
        <w:tblInd w:w="720" w:type="dxa"/>
        <w:tblLayout w:type="fixed"/>
        <w:tblCellMar>
          <w:top w:w="0" w:type="dxa"/>
          <w:left w:w="0" w:type="dxa"/>
          <w:bottom w:w="0" w:type="dxa"/>
          <w:right w:w="0" w:type="dxa"/>
        </w:tblCellMar>
      </w:tblPr>
      <w:tblGrid>
        <w:gridCol w:w="124"/>
        <w:gridCol w:w="2326"/>
        <w:gridCol w:w="154"/>
      </w:tblGrid>
      <w:tr>
        <w:trPr/>
        <w:tc>
          <w:tcPr>
            <w:tcW w:w="124" w:type="dxa"/>
            <w:tcBorders/>
            <w:shd w:fill="000000" w:val="clear"/>
            <w:vAlign w:val="center"/>
          </w:tcPr>
          <w:p>
            <w:pPr>
              <w:pStyle w:val="TableContents"/>
              <w:bidi w:val="0"/>
              <w:spacing w:before="0" w:after="283"/>
              <w:jc w:val="left"/>
              <w:rPr/>
            </w:pPr>
            <w:r>
              <w:rPr/>
              <w:t>​</w:t>
            </w:r>
          </w:p>
        </w:tc>
        <w:tc>
          <w:tcPr>
            <w:tcW w:w="2326" w:type="dxa"/>
            <w:tcBorders/>
            <w:shd w:fill="000000" w:val="clear"/>
            <w:vAlign w:val="center"/>
          </w:tcPr>
          <w:p>
            <w:pPr>
              <w:pStyle w:val="TableContents"/>
              <w:bidi w:val="0"/>
              <w:spacing w:before="0" w:after="0"/>
              <w:jc w:val="left"/>
              <w:rPr/>
            </w:pPr>
            <w:r>
              <w:rPr/>
              <w:t xml:space="preserve">Performance Measures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326" w:type="dxa"/>
            <w:tcBorders>
              <w:bottom w:val="single" w:sz="6" w:space="0" w:color="000000"/>
            </w:tcBorders>
            <w:tcMar>
              <w:bottom w:w="78" w:type="dxa"/>
            </w:tcMar>
            <w:vAlign w:val="center"/>
          </w:tcPr>
          <w:p>
            <w:pPr>
              <w:pStyle w:val="TableContents"/>
              <w:bidi w:val="0"/>
              <w:spacing w:before="0" w:after="283"/>
              <w:jc w:val="left"/>
              <w:rPr/>
            </w:pPr>
            <w:r>
              <w:rPr/>
              <w:t xml:space="preserve">Free Cash Flow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326" w:type="dxa"/>
            <w:tcBorders>
              <w:bottom w:val="single" w:sz="6" w:space="0" w:color="000000"/>
            </w:tcBorders>
            <w:tcMar>
              <w:bottom w:w="78" w:type="dxa"/>
            </w:tcMar>
            <w:vAlign w:val="center"/>
          </w:tcPr>
          <w:p>
            <w:pPr>
              <w:pStyle w:val="TableContents"/>
              <w:bidi w:val="0"/>
              <w:spacing w:before="0" w:after="283"/>
              <w:jc w:val="left"/>
              <w:rPr/>
            </w:pPr>
            <w:r>
              <w:rPr/>
              <w:t>Gross Margin</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3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are graphical descriptions of the relationships between compensation actually paid to our NEOs versus our cumulative TSR, Net Income, and Free Cash Flow, and between our cumulative TSR and our peer group’s cumulative TSR, for the periods covered in the Pay Versus Performance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203200" distR="0" simplePos="0" locked="0" layoutInCell="1" allowOverlap="1" relativeHeight="44">
                <wp:simplePos x="0" y="0"/>
                <wp:positionH relativeFrom="column">
                  <wp:align>left</wp:align>
                </wp:positionH>
                <wp:positionV relativeFrom="line">
                  <wp:posOffset>635</wp:posOffset>
                </wp:positionV>
                <wp:extent cx="3213100" cy="2078990"/>
                <wp:effectExtent l="0" t="0" r="0" b="0"/>
                <wp:wrapSquare wrapText="right"/>
                <wp:docPr id="278" name="Frame218"/>
                <a:graphic xmlns:a="http://schemas.openxmlformats.org/drawingml/2006/main">
                  <a:graphicData uri="http://schemas.microsoft.com/office/word/2010/wordprocessingShape">
                    <wps:wsp>
                      <wps:cNvSpPr txBox="1"/>
                      <wps:spPr>
                        <a:xfrm>
                          <a:off x="0" y="0"/>
                          <a:ext cx="3213100" cy="2078990"/>
                        </a:xfrm>
                        <a:prstGeom prst="rect"/>
                        <a:solidFill>
                          <a:srgbClr val="FFFFFF"/>
                        </a:solidFill>
                      </wps:spPr>
                      <wps:txbx>
                        <w:txbxContent>
                          <w:p>
                            <w:pPr>
                              <w:pStyle w:val="TextBody"/>
                              <w:bidi w:val="0"/>
                              <w:spacing w:lineRule="atLeast" w:line="230" w:before="0" w:after="0"/>
                              <w:jc w:val="center"/>
                              <w:rPr/>
                            </w:pPr>
                            <w:r>
                              <w:rPr>
                                <w:b/>
                              </w:rPr>
                              <w:t>COMPENSATION ACTUALLY PAID VERSUS NET INCOME</w:t>
                            </w:r>
                            <w:r>
                              <w:rPr/>
                              <w:t xml:space="preserve"> </w:t>
                              <w:br/>
                              <w:t> </w:t>
                            </w:r>
                            <w:r>
                              <w:rPr>
                                <w:spacing w:val="3"/>
                              </w:rPr>
                              <w:t xml:space="preserve"> </w:t>
                            </w:r>
                          </w:p>
                          <w:p>
                            <w:pPr>
                              <w:pStyle w:val="TextBody"/>
                              <w:bidi w:val="0"/>
                              <w:spacing w:before="324" w:after="283"/>
                              <w:jc w:val="center"/>
                              <w:rPr/>
                            </w:pPr>
                            <w:r>
                              <w:rPr/>
                              <w:drawing>
                                <wp:inline distT="0" distB="0" distL="0" distR="0">
                                  <wp:extent cx="3171825" cy="1314450"/>
                                  <wp:effectExtent l="0" t="0" r="0" b="0"/>
                                  <wp:docPr id="27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59" descr=""/>
                                          <pic:cNvPicPr>
                                            <a:picLocks noChangeAspect="1" noChangeArrowheads="1"/>
                                          </pic:cNvPicPr>
                                        </pic:nvPicPr>
                                        <pic:blipFill>
                                          <a:blip r:embed="rId63"/>
                                          <a:stretch>
                                            <a:fillRect/>
                                          </a:stretch>
                                        </pic:blipFill>
                                        <pic:spPr bwMode="auto">
                                          <a:xfrm>
                                            <a:off x="0" y="0"/>
                                            <a:ext cx="3171825" cy="1314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63.7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30" w:before="0" w:after="0"/>
                        <w:jc w:val="center"/>
                        <w:rPr/>
                      </w:pPr>
                      <w:r>
                        <w:rPr>
                          <w:b/>
                        </w:rPr>
                        <w:t>COMPENSATION ACTUALLY PAID VERSUS NET INCOME</w:t>
                      </w:r>
                      <w:r>
                        <w:rPr/>
                        <w:t xml:space="preserve"> </w:t>
                        <w:br/>
                        <w:t> </w:t>
                      </w:r>
                      <w:r>
                        <w:rPr>
                          <w:spacing w:val="3"/>
                        </w:rPr>
                        <w:t xml:space="preserve"> </w:t>
                      </w:r>
                    </w:p>
                    <w:p>
                      <w:pPr>
                        <w:pStyle w:val="TextBody"/>
                        <w:bidi w:val="0"/>
                        <w:spacing w:before="324" w:after="283"/>
                        <w:jc w:val="center"/>
                        <w:rPr/>
                      </w:pPr>
                      <w:r>
                        <w:rPr/>
                        <w:drawing>
                          <wp:inline distT="0" distB="0" distL="0" distR="0">
                            <wp:extent cx="3171825" cy="1314450"/>
                            <wp:effectExtent l="0" t="0" r="0" b="0"/>
                            <wp:docPr id="28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59" descr=""/>
                                    <pic:cNvPicPr>
                                      <a:picLocks noChangeAspect="1" noChangeArrowheads="1"/>
                                    </pic:cNvPicPr>
                                  </pic:nvPicPr>
                                  <pic:blipFill>
                                    <a:blip r:embed="rId64"/>
                                    <a:stretch>
                                      <a:fillRect/>
                                    </a:stretch>
                                  </pic:blipFill>
                                  <pic:spPr bwMode="auto">
                                    <a:xfrm>
                                      <a:off x="0" y="0"/>
                                      <a:ext cx="3171825" cy="13144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457200" distR="0" simplePos="0" locked="0" layoutInCell="1" allowOverlap="1" relativeHeight="46">
                <wp:simplePos x="0" y="0"/>
                <wp:positionH relativeFrom="column">
                  <wp:align>left</wp:align>
                </wp:positionH>
                <wp:positionV relativeFrom="line">
                  <wp:posOffset>635</wp:posOffset>
                </wp:positionV>
                <wp:extent cx="3213100" cy="2111375"/>
                <wp:effectExtent l="0" t="0" r="0" b="0"/>
                <wp:wrapSquare wrapText="right"/>
                <wp:docPr id="281" name="Frame217"/>
                <a:graphic xmlns:a="http://schemas.openxmlformats.org/drawingml/2006/main">
                  <a:graphicData uri="http://schemas.microsoft.com/office/word/2010/wordprocessingShape">
                    <wps:wsp>
                      <wps:cNvSpPr txBox="1"/>
                      <wps:spPr>
                        <a:xfrm>
                          <a:off x="0" y="0"/>
                          <a:ext cx="3213100" cy="2111375"/>
                        </a:xfrm>
                        <a:prstGeom prst="rect"/>
                        <a:solidFill>
                          <a:srgbClr val="FFFFFF"/>
                        </a:solidFill>
                      </wps:spPr>
                      <wps:txbx>
                        <w:txbxContent>
                          <w:p>
                            <w:pPr>
                              <w:pStyle w:val="TextBody"/>
                              <w:bidi w:val="0"/>
                              <w:spacing w:lineRule="atLeast" w:line="220" w:before="0" w:after="0"/>
                              <w:jc w:val="center"/>
                              <w:rPr>
                                <w:b/>
                              </w:rPr>
                            </w:pPr>
                            <w:r>
                              <w:rPr>
                                <w:b/>
                              </w:rPr>
                              <w:t xml:space="preserve">COMPENSATION ACTUALLY PAID VERSUS TOTAL </w:t>
                              <w:br/>
                              <w:t>SHAREHOLDER RETURN</w:t>
                            </w:r>
                            <w:r>
                              <w:rPr>
                                <w:b/>
                                <w:spacing w:val="3"/>
                              </w:rPr>
                              <w:t xml:space="preserve"> </w:t>
                            </w:r>
                          </w:p>
                          <w:p>
                            <w:pPr>
                              <w:pStyle w:val="TextBody"/>
                              <w:bidi w:val="0"/>
                              <w:spacing w:before="300" w:after="283"/>
                              <w:jc w:val="center"/>
                              <w:rPr/>
                            </w:pPr>
                            <w:r>
                              <w:rPr/>
                              <w:drawing>
                                <wp:inline distT="0" distB="0" distL="0" distR="0">
                                  <wp:extent cx="3048000" cy="1362075"/>
                                  <wp:effectExtent l="0" t="0" r="0" b="0"/>
                                  <wp:docPr id="28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58" descr=""/>
                                          <pic:cNvPicPr>
                                            <a:picLocks noChangeAspect="1" noChangeArrowheads="1"/>
                                          </pic:cNvPicPr>
                                        </pic:nvPicPr>
                                        <pic:blipFill>
                                          <a:blip r:embed="rId65"/>
                                          <a:stretch>
                                            <a:fillRect/>
                                          </a:stretch>
                                        </pic:blipFill>
                                        <pic:spPr bwMode="auto">
                                          <a:xfrm>
                                            <a:off x="0" y="0"/>
                                            <a:ext cx="3048000" cy="1362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66.2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20" w:before="0" w:after="0"/>
                        <w:jc w:val="center"/>
                        <w:rPr>
                          <w:b/>
                        </w:rPr>
                      </w:pPr>
                      <w:r>
                        <w:rPr>
                          <w:b/>
                        </w:rPr>
                        <w:t xml:space="preserve">COMPENSATION ACTUALLY PAID VERSUS TOTAL </w:t>
                        <w:br/>
                        <w:t>SHAREHOLDER RETURN</w:t>
                      </w:r>
                      <w:r>
                        <w:rPr>
                          <w:b/>
                          <w:spacing w:val="3"/>
                        </w:rPr>
                        <w:t xml:space="preserve"> </w:t>
                      </w:r>
                    </w:p>
                    <w:p>
                      <w:pPr>
                        <w:pStyle w:val="TextBody"/>
                        <w:bidi w:val="0"/>
                        <w:spacing w:before="300" w:after="283"/>
                        <w:jc w:val="center"/>
                        <w:rPr/>
                      </w:pPr>
                      <w:r>
                        <w:rPr/>
                        <w:drawing>
                          <wp:inline distT="0" distB="0" distL="0" distR="0">
                            <wp:extent cx="3048000" cy="1362075"/>
                            <wp:effectExtent l="0" t="0" r="0" b="0"/>
                            <wp:docPr id="28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58" descr=""/>
                                    <pic:cNvPicPr>
                                      <a:picLocks noChangeAspect="1" noChangeArrowheads="1"/>
                                    </pic:cNvPicPr>
                                  </pic:nvPicPr>
                                  <pic:blipFill>
                                    <a:blip r:embed="rId66"/>
                                    <a:stretch>
                                      <a:fillRect/>
                                    </a:stretch>
                                  </pic:blipFill>
                                  <pic:spPr bwMode="auto">
                                    <a:xfrm>
                                      <a:off x="0" y="0"/>
                                      <a:ext cx="3048000" cy="1362075"/>
                                    </a:xfrm>
                                    <a:prstGeom prst="rect">
                                      <a:avLst/>
                                    </a:prstGeom>
                                  </pic:spPr>
                                </pic:pic>
                              </a:graphicData>
                            </a:graphic>
                          </wp:inline>
                        </w:drawing>
                      </w:r>
                      <w:r>
                        <w:rPr/>
                        <w:t xml:space="preserve"> </w:t>
                      </w:r>
                    </w:p>
                  </w:txbxContent>
                </v:textbox>
                <w10:wrap type="square" side="right"/>
              </v:rect>
            </w:pict>
          </mc:Fallback>
        </mc:AlternateConten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0" w:after="283"/>
        <w:ind w:left="720"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203200" distR="0" simplePos="0" locked="0" layoutInCell="1" allowOverlap="1" relativeHeight="39">
                <wp:simplePos x="0" y="0"/>
                <wp:positionH relativeFrom="column">
                  <wp:align>left</wp:align>
                </wp:positionH>
                <wp:positionV relativeFrom="line">
                  <wp:posOffset>635</wp:posOffset>
                </wp:positionV>
                <wp:extent cx="3213100" cy="1881505"/>
                <wp:effectExtent l="0" t="0" r="0" b="0"/>
                <wp:wrapSquare wrapText="right"/>
                <wp:docPr id="284" name="Frame220"/>
                <a:graphic xmlns:a="http://schemas.openxmlformats.org/drawingml/2006/main">
                  <a:graphicData uri="http://schemas.microsoft.com/office/word/2010/wordprocessingShape">
                    <wps:wsp>
                      <wps:cNvSpPr txBox="1"/>
                      <wps:spPr>
                        <a:xfrm>
                          <a:off x="0" y="0"/>
                          <a:ext cx="3213100" cy="1881505"/>
                        </a:xfrm>
                        <a:prstGeom prst="rect"/>
                        <a:solidFill>
                          <a:srgbClr val="FFFFFF"/>
                        </a:solidFill>
                      </wps:spPr>
                      <wps:txbx>
                        <w:txbxContent>
                          <w:p>
                            <w:pPr>
                              <w:pStyle w:val="TextBody"/>
                              <w:bidi w:val="0"/>
                              <w:spacing w:lineRule="atLeast" w:line="220" w:before="0" w:after="0"/>
                              <w:jc w:val="center"/>
                              <w:rPr>
                                <w:rFonts w:ascii="Arial;Helvetica;sans-serif" w:hAnsi="Arial;Helvetica;sans-serif"/>
                                <w:b/>
                                <w:sz w:val="16"/>
                              </w:rPr>
                            </w:pPr>
                            <w:r>
                              <w:rPr>
                                <w:rFonts w:ascii="Arial;Helvetica;sans-serif" w:hAnsi="Arial;Helvetica;sans-serif"/>
                                <w:b/>
                                <w:caps/>
                                <w:sz w:val="16"/>
                              </w:rPr>
                              <w:t>Cumulative Total Shareholder Return</w:t>
                            </w:r>
                            <w:r>
                              <w:rPr>
                                <w:rFonts w:ascii="Arial;Helvetica;sans-serif" w:hAnsi="Arial;Helvetica;sans-serif"/>
                                <w:b/>
                                <w:spacing w:val="3"/>
                                <w:sz w:val="16"/>
                              </w:rPr>
                              <w:t xml:space="preserve"> </w:t>
                            </w:r>
                          </w:p>
                          <w:p>
                            <w:pPr>
                              <w:pStyle w:val="TextBody"/>
                              <w:bidi w:val="0"/>
                              <w:spacing w:before="246" w:after="283"/>
                              <w:jc w:val="center"/>
                              <w:rPr/>
                            </w:pPr>
                            <w:r>
                              <w:rPr/>
                              <w:drawing>
                                <wp:inline distT="0" distB="0" distL="0" distR="0">
                                  <wp:extent cx="3143250" cy="1552575"/>
                                  <wp:effectExtent l="0" t="0" r="0" b="0"/>
                                  <wp:docPr id="28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61" descr=""/>
                                          <pic:cNvPicPr>
                                            <a:picLocks noChangeAspect="1" noChangeArrowheads="1"/>
                                          </pic:cNvPicPr>
                                        </pic:nvPicPr>
                                        <pic:blipFill>
                                          <a:blip r:embed="rId67"/>
                                          <a:stretch>
                                            <a:fillRect/>
                                          </a:stretch>
                                        </pic:blipFill>
                                        <pic:spPr bwMode="auto">
                                          <a:xfrm>
                                            <a:off x="0" y="0"/>
                                            <a:ext cx="3143250" cy="15525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48.15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20" w:before="0" w:after="0"/>
                        <w:jc w:val="center"/>
                        <w:rPr>
                          <w:rFonts w:ascii="Arial;Helvetica;sans-serif" w:hAnsi="Arial;Helvetica;sans-serif"/>
                          <w:b/>
                          <w:sz w:val="16"/>
                        </w:rPr>
                      </w:pPr>
                      <w:r>
                        <w:rPr>
                          <w:rFonts w:ascii="Arial;Helvetica;sans-serif" w:hAnsi="Arial;Helvetica;sans-serif"/>
                          <w:b/>
                          <w:caps/>
                          <w:sz w:val="16"/>
                        </w:rPr>
                        <w:t>Cumulative Total Shareholder Return</w:t>
                      </w:r>
                      <w:r>
                        <w:rPr>
                          <w:rFonts w:ascii="Arial;Helvetica;sans-serif" w:hAnsi="Arial;Helvetica;sans-serif"/>
                          <w:b/>
                          <w:spacing w:val="3"/>
                          <w:sz w:val="16"/>
                        </w:rPr>
                        <w:t xml:space="preserve"> </w:t>
                      </w:r>
                    </w:p>
                    <w:p>
                      <w:pPr>
                        <w:pStyle w:val="TextBody"/>
                        <w:bidi w:val="0"/>
                        <w:spacing w:before="246" w:after="283"/>
                        <w:jc w:val="center"/>
                        <w:rPr/>
                      </w:pPr>
                      <w:r>
                        <w:rPr/>
                        <w:drawing>
                          <wp:inline distT="0" distB="0" distL="0" distR="0">
                            <wp:extent cx="3143250" cy="1552575"/>
                            <wp:effectExtent l="0" t="0" r="0" b="0"/>
                            <wp:docPr id="28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61" descr=""/>
                                    <pic:cNvPicPr>
                                      <a:picLocks noChangeAspect="1" noChangeArrowheads="1"/>
                                    </pic:cNvPicPr>
                                  </pic:nvPicPr>
                                  <pic:blipFill>
                                    <a:blip r:embed="rId68"/>
                                    <a:stretch>
                                      <a:fillRect/>
                                    </a:stretch>
                                  </pic:blipFill>
                                  <pic:spPr bwMode="auto">
                                    <a:xfrm>
                                      <a:off x="0" y="0"/>
                                      <a:ext cx="3143250" cy="15525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457200" distR="0" simplePos="0" locked="0" layoutInCell="1" allowOverlap="1" relativeHeight="42">
                <wp:simplePos x="0" y="0"/>
                <wp:positionH relativeFrom="column">
                  <wp:align>left</wp:align>
                </wp:positionH>
                <wp:positionV relativeFrom="line">
                  <wp:posOffset>635</wp:posOffset>
                </wp:positionV>
                <wp:extent cx="3213100" cy="1692910"/>
                <wp:effectExtent l="0" t="0" r="0" b="0"/>
                <wp:wrapSquare wrapText="right"/>
                <wp:docPr id="287" name="Frame219"/>
                <a:graphic xmlns:a="http://schemas.openxmlformats.org/drawingml/2006/main">
                  <a:graphicData uri="http://schemas.microsoft.com/office/word/2010/wordprocessingShape">
                    <wps:wsp>
                      <wps:cNvSpPr txBox="1"/>
                      <wps:spPr>
                        <a:xfrm>
                          <a:off x="0" y="0"/>
                          <a:ext cx="3213100" cy="1692910"/>
                        </a:xfrm>
                        <a:prstGeom prst="rect"/>
                        <a:solidFill>
                          <a:srgbClr val="FFFFFF"/>
                        </a:solidFill>
                      </wps:spPr>
                      <wps:txbx>
                        <w:txbxContent>
                          <w:p>
                            <w:pPr>
                              <w:pStyle w:val="TextBody"/>
                              <w:bidi w:val="0"/>
                              <w:spacing w:lineRule="atLeast" w:line="220" w:before="0" w:after="0"/>
                              <w:jc w:val="center"/>
                              <w:rPr>
                                <w:rFonts w:ascii="Arial;Helvetica;sans-serif" w:hAnsi="Arial;Helvetica;sans-serif"/>
                                <w:b/>
                                <w:sz w:val="16"/>
                              </w:rPr>
                            </w:pPr>
                            <w:r>
                              <w:rPr>
                                <w:rFonts w:ascii="Arial;Helvetica;sans-serif" w:hAnsi="Arial;Helvetica;sans-serif"/>
                                <w:b/>
                                <w:sz w:val="16"/>
                              </w:rPr>
                              <w:t xml:space="preserve">COMPENSATION ACTUALLY PAID VERSUS FREE CASH FLOW </w:t>
                            </w:r>
                          </w:p>
                          <w:p>
                            <w:pPr>
                              <w:pStyle w:val="TextBody"/>
                              <w:bidi w:val="0"/>
                              <w:spacing w:before="324" w:after="283"/>
                              <w:jc w:val="center"/>
                              <w:rPr/>
                            </w:pPr>
                            <w:r>
                              <w:rPr/>
                              <w:drawing>
                                <wp:inline distT="0" distB="0" distL="0" distR="0">
                                  <wp:extent cx="3162300" cy="1314450"/>
                                  <wp:effectExtent l="0" t="0" r="0" b="0"/>
                                  <wp:docPr id="28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60" descr=""/>
                                          <pic:cNvPicPr>
                                            <a:picLocks noChangeAspect="1" noChangeArrowheads="1"/>
                                          </pic:cNvPicPr>
                                        </pic:nvPicPr>
                                        <pic:blipFill>
                                          <a:blip r:embed="rId69"/>
                                          <a:stretch>
                                            <a:fillRect/>
                                          </a:stretch>
                                        </pic:blipFill>
                                        <pic:spPr bwMode="auto">
                                          <a:xfrm>
                                            <a:off x="0" y="0"/>
                                            <a:ext cx="3162300" cy="13144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33.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20" w:before="0" w:after="0"/>
                        <w:jc w:val="center"/>
                        <w:rPr>
                          <w:rFonts w:ascii="Arial;Helvetica;sans-serif" w:hAnsi="Arial;Helvetica;sans-serif"/>
                          <w:b/>
                          <w:sz w:val="16"/>
                        </w:rPr>
                      </w:pPr>
                      <w:r>
                        <w:rPr>
                          <w:rFonts w:ascii="Arial;Helvetica;sans-serif" w:hAnsi="Arial;Helvetica;sans-serif"/>
                          <w:b/>
                          <w:sz w:val="16"/>
                        </w:rPr>
                        <w:t xml:space="preserve">COMPENSATION ACTUALLY PAID VERSUS FREE CASH FLOW </w:t>
                      </w:r>
                    </w:p>
                    <w:p>
                      <w:pPr>
                        <w:pStyle w:val="TextBody"/>
                        <w:bidi w:val="0"/>
                        <w:spacing w:before="324" w:after="283"/>
                        <w:jc w:val="center"/>
                        <w:rPr/>
                      </w:pPr>
                      <w:r>
                        <w:rPr/>
                        <w:drawing>
                          <wp:inline distT="0" distB="0" distL="0" distR="0">
                            <wp:extent cx="3162300" cy="1314450"/>
                            <wp:effectExtent l="0" t="0" r="0" b="0"/>
                            <wp:docPr id="28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60" descr=""/>
                                    <pic:cNvPicPr>
                                      <a:picLocks noChangeAspect="1" noChangeArrowheads="1"/>
                                    </pic:cNvPicPr>
                                  </pic:nvPicPr>
                                  <pic:blipFill>
                                    <a:blip r:embed="rId70"/>
                                    <a:stretch>
                                      <a:fillRect/>
                                    </a:stretch>
                                  </pic:blipFill>
                                  <pic:spPr bwMode="auto">
                                    <a:xfrm>
                                      <a:off x="0" y="0"/>
                                      <a:ext cx="3162300" cy="1314450"/>
                                    </a:xfrm>
                                    <a:prstGeom prst="rect">
                                      <a:avLst/>
                                    </a:prstGeom>
                                  </pic:spPr>
                                </pic:pic>
                              </a:graphicData>
                            </a:graphic>
                          </wp:inline>
                        </w:drawing>
                      </w:r>
                      <w:r>
                        <w:rPr/>
                        <w:t xml:space="preserve"> </w:t>
                      </w:r>
                    </w:p>
                  </w:txbxContent>
                </v:textbox>
                <w10:wrap type="square" side="right"/>
              </v:rect>
            </w:pict>
          </mc:Fallback>
        </mc:AlternateConten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SOOC"/>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Security Ownership of Certain Beneficial Owners and Management</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3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following table sets forth certain information known to us regarding the beneficial ownership of our Common Stock as of March 31, 2025 by: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person who we know to own beneficially more than 5% of any class of our voting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285">
                <wp:simplePos x="0" y="0"/>
                <wp:positionH relativeFrom="column">
                  <wp:align>left</wp:align>
                </wp:positionH>
                <wp:positionV relativeFrom="line">
                  <wp:align>top</wp:align>
                </wp:positionV>
                <wp:extent cx="114300" cy="502920"/>
                <wp:effectExtent l="0" t="0" r="0" b="0"/>
                <wp:wrapSquare wrapText="right"/>
                <wp:docPr id="290" name="Frame221"/>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of our named executive officers and directors individually;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286">
                <wp:simplePos x="0" y="0"/>
                <wp:positionH relativeFrom="column">
                  <wp:align>left</wp:align>
                </wp:positionH>
                <wp:positionV relativeFrom="line">
                  <wp:align>top</wp:align>
                </wp:positionV>
                <wp:extent cx="114300" cy="502920"/>
                <wp:effectExtent l="0" t="0" r="0" b="0"/>
                <wp:wrapSquare wrapText="right"/>
                <wp:docPr id="291" name="Frame222"/>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2pt;mso-wrap-distance-bottom:0pt;margin-top:7.2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of our current executive officers and directors as a group.</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287">
                <wp:simplePos x="0" y="0"/>
                <wp:positionH relativeFrom="column">
                  <wp:align>left</wp:align>
                </wp:positionH>
                <wp:positionV relativeFrom="line">
                  <wp:align>top</wp:align>
                </wp:positionV>
                <wp:extent cx="114300" cy="502920"/>
                <wp:effectExtent l="0" t="0" r="0" b="0"/>
                <wp:wrapSquare wrapText="right"/>
                <wp:docPr id="292" name="Frame223"/>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Beneficial ownership is determined according to the rules of the SEC, which generally provide that a person has beneficial ownership of a security if he, she, or it possesses sole or shared voting or investment power over that security, including options, warrants or shares of Convertible Preferred Stock that are currently exercisable or convertible, or exercisable or convertible within 60 days of March 31, 2025. Shares issuable pursuant to such options, warrants or shares of Convertible Preferred Stock are deemed outstanding for computing the beneficial ownership of the person holding such options but are not outstanding for computing the beneficial ownership of any other person. Except as described in the footnotes below and subject to applicable community property laws and similar laws, we believe that each person listed below has sole voting and investment power with respect to such shares. The beneficial ownership of our Common Stock and Convertible Preferred Stock in the table is based on, as of March 31, 2025, 3,048,800,731 shares of our Common Stock issued and outstanding and 175,000 shares of Convertible Preferred Stock issued and outstanding, which is convertible into 485,350,618 shares of Common Stock. Stockholders of shares of Common Stock are entitled to one vote per share of Common Stock. Stockholders of shares of convertible Preferred Stock are entitled to a number of votes equal to the number of shares of Common Stock into which the Preferred Stock is convertible, subject to certain adjustments.</w:t>
      </w:r>
      <w:r>
        <w:rPr>
          <w:rFonts w:ascii="Arial;Helvetica;sans-serif" w:hAnsi="Arial;Helvetica;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859"/>
        <w:gridCol w:w="109"/>
        <w:gridCol w:w="109"/>
        <w:gridCol w:w="1542"/>
        <w:gridCol w:w="109"/>
        <w:gridCol w:w="109"/>
        <w:gridCol w:w="1279"/>
        <w:gridCol w:w="109"/>
        <w:gridCol w:w="109"/>
        <w:gridCol w:w="1325"/>
        <w:gridCol w:w="109"/>
        <w:gridCol w:w="109"/>
        <w:gridCol w:w="1273"/>
        <w:gridCol w:w="109"/>
        <w:gridCol w:w="109"/>
        <w:gridCol w:w="836"/>
        <w:gridCol w:w="157"/>
      </w:tblGrid>
      <w:tr>
        <w:trPr/>
        <w:tc>
          <w:tcPr>
            <w:tcW w:w="124" w:type="dxa"/>
            <w:vMerge w:val="restart"/>
            <w:tcBorders/>
            <w:shd w:fill="000000" w:val="clear"/>
            <w:vAlign w:val="center"/>
          </w:tcPr>
          <w:p>
            <w:pPr>
              <w:pStyle w:val="TableContents"/>
              <w:bidi w:val="0"/>
              <w:spacing w:before="0" w:after="283"/>
              <w:jc w:val="left"/>
              <w:rPr/>
            </w:pPr>
            <w:r>
              <w:rPr/>
              <w:t>​</w:t>
            </w:r>
          </w:p>
        </w:tc>
        <w:tc>
          <w:tcPr>
            <w:tcW w:w="1859" w:type="dxa"/>
            <w:vMerge w:val="restart"/>
            <w:tcBorders/>
            <w:shd w:fill="000000" w:val="clear"/>
            <w:vAlign w:val="center"/>
          </w:tcPr>
          <w:p>
            <w:pPr>
              <w:pStyle w:val="TableContents"/>
              <w:bidi w:val="0"/>
              <w:spacing w:lineRule="atLeast" w:line="142" w:before="0" w:after="0"/>
              <w:jc w:val="left"/>
              <w:rPr/>
            </w:pPr>
            <w:r>
              <w:rPr/>
              <w:t>Name of Beneficial Owner</w:t>
            </w:r>
            <w:r>
              <w:rPr>
                <w:sz w:val="9"/>
              </w:rPr>
              <w:t>(1)</w:t>
            </w:r>
            <w:r>
              <w:rP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039" w:type="dxa"/>
            <w:gridSpan w:val="4"/>
            <w:tcBorders>
              <w:bottom w:val="single" w:sz="2" w:space="0" w:color="FEFEFE"/>
            </w:tcBorders>
            <w:shd w:fill="000000" w:val="clear"/>
            <w:tcMar>
              <w:bottom w:w="140" w:type="dxa"/>
            </w:tcMar>
            <w:vAlign w:val="center"/>
          </w:tcPr>
          <w:p>
            <w:pPr>
              <w:pStyle w:val="TableContents"/>
              <w:bidi w:val="0"/>
              <w:spacing w:before="0" w:after="0"/>
              <w:jc w:val="left"/>
              <w:rPr/>
            </w:pPr>
            <w:r>
              <w:rPr/>
              <w:t xml:space="preserve">Common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816" w:type="dxa"/>
            <w:gridSpan w:val="4"/>
            <w:tcBorders>
              <w:bottom w:val="single" w:sz="2" w:space="0" w:color="FEFEFE"/>
            </w:tcBorders>
            <w:shd w:fill="000000" w:val="clear"/>
            <w:tcMar>
              <w:bottom w:w="140" w:type="dxa"/>
            </w:tcMar>
            <w:vAlign w:val="center"/>
          </w:tcPr>
          <w:p>
            <w:pPr>
              <w:pStyle w:val="TableContents"/>
              <w:bidi w:val="0"/>
              <w:spacing w:before="0" w:after="0"/>
              <w:jc w:val="left"/>
              <w:rPr/>
            </w:pPr>
            <w:r>
              <w:rPr/>
              <w:t xml:space="preserve">Preferred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836" w:type="dxa"/>
            <w:vMerge w:val="restart"/>
            <w:tcBorders/>
            <w:shd w:fill="000000" w:val="clear"/>
            <w:vAlign w:val="center"/>
          </w:tcPr>
          <w:p>
            <w:pPr>
              <w:pStyle w:val="TableContents"/>
              <w:bidi w:val="0"/>
              <w:spacing w:lineRule="atLeast" w:line="160" w:before="0" w:after="0"/>
              <w:jc w:val="left"/>
              <w:rPr/>
            </w:pPr>
            <w:r>
              <w:rPr/>
              <w:t xml:space="preserve">Voting Power </w:t>
            </w:r>
          </w:p>
        </w:tc>
        <w:tc>
          <w:tcPr>
            <w:tcW w:w="157"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859"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542" w:type="dxa"/>
            <w:tcBorders/>
            <w:shd w:fill="000000" w:val="clear"/>
            <w:vAlign w:val="center"/>
          </w:tcPr>
          <w:p>
            <w:pPr>
              <w:pStyle w:val="TableContents"/>
              <w:bidi w:val="0"/>
              <w:spacing w:before="0" w:after="283"/>
              <w:jc w:val="left"/>
              <w:rPr/>
            </w:pPr>
            <w:r>
              <w:rPr/>
              <w:t xml:space="preserve">Number of </w:t>
              <w:br/>
              <w:t>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9" w:type="dxa"/>
            <w:tcBorders/>
            <w:shd w:fill="000000" w:val="clear"/>
            <w:vAlign w:val="center"/>
          </w:tcPr>
          <w:p>
            <w:pPr>
              <w:pStyle w:val="TableContents"/>
              <w:bidi w:val="0"/>
              <w:spacing w:before="0" w:after="283"/>
              <w:jc w:val="left"/>
              <w:rPr/>
            </w:pPr>
            <w:r>
              <w:rPr/>
              <w:t xml:space="preserve">Percentage of </w:t>
              <w:br/>
              <w:t>Shares</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25" w:type="dxa"/>
            <w:tcBorders/>
            <w:shd w:fill="000000" w:val="clear"/>
            <w:vAlign w:val="center"/>
          </w:tcPr>
          <w:p>
            <w:pPr>
              <w:pStyle w:val="TableContents"/>
              <w:bidi w:val="0"/>
              <w:spacing w:before="0" w:after="283"/>
              <w:jc w:val="left"/>
              <w:rPr/>
            </w:pPr>
            <w:r>
              <w:rPr/>
              <w:t xml:space="preserve">Number of </w:t>
              <w:br/>
              <w:t>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3" w:type="dxa"/>
            <w:tcBorders/>
            <w:shd w:fill="000000" w:val="clear"/>
            <w:vAlign w:val="center"/>
          </w:tcPr>
          <w:p>
            <w:pPr>
              <w:pStyle w:val="TableContents"/>
              <w:bidi w:val="0"/>
              <w:spacing w:before="0" w:after="283"/>
              <w:jc w:val="left"/>
              <w:rPr/>
            </w:pPr>
            <w:r>
              <w:rPr/>
              <w:t>Percentage of</w:t>
              <w:br/>
              <w:t>Shares</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836" w:type="dxa"/>
            <w:vMerge w:val="continue"/>
            <w:tcBorders/>
            <w:shd w:fill="000000" w:val="clear"/>
            <w:vAlign w:val="center"/>
          </w:tcPr>
          <w:p>
            <w:pPr>
              <w:pStyle w:val="Normal"/>
              <w:bidi w:val="0"/>
              <w:jc w:val="left"/>
              <w:rPr/>
            </w:pPr>
            <w:r>
              <w:rPr/>
            </w:r>
          </w:p>
        </w:tc>
        <w:tc>
          <w:tcPr>
            <w:tcW w:w="157" w:type="dxa"/>
            <w:vMerge w:val="continue"/>
            <w:tcBorders/>
            <w:shd w:fill="000000" w:val="clear"/>
            <w:vAlign w:val="center"/>
          </w:tcPr>
          <w:p>
            <w:pPr>
              <w:pStyle w:val="Normal"/>
              <w:bidi w:val="0"/>
              <w:jc w:val="left"/>
              <w:rPr/>
            </w:pPr>
            <w:r>
              <w:rPr/>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5% Stockholders</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The Public Investment Fund</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2,256,239,302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64%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175,000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100%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64%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Named Executive Officers and Directors</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Peter Rawlinson</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24,867,891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1%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Gagan Dhingra</w:t>
            </w:r>
            <w:r>
              <w:rPr>
                <w:sz w:val="10"/>
              </w:rPr>
              <w:t>(4)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327,775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Marc Winterhoff</w:t>
            </w:r>
            <w:r>
              <w:rPr>
                <w:sz w:val="10"/>
              </w:rPr>
              <w:t>(5)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744,508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Eric Bach</w:t>
            </w:r>
            <w:r>
              <w:rPr>
                <w:sz w:val="10"/>
              </w:rPr>
              <w:t>(6)</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4,692,369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Michael Bell</w:t>
            </w:r>
            <w:r>
              <w:rPr>
                <w:sz w:val="10"/>
              </w:rPr>
              <w:t>(7)</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744,334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Turqi Alnowaiser</w:t>
            </w:r>
            <w:r>
              <w:rPr>
                <w:sz w:val="10"/>
              </w:rPr>
              <w:t>(8)</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2,250,315,179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64%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175,000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100%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64%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Andrew Liveris</w:t>
            </w:r>
            <w:r>
              <w:rPr>
                <w:sz w:val="10"/>
              </w:rPr>
              <w:t>(9)</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1,351,911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Sherif Marakby</w:t>
            </w:r>
            <w:r>
              <w:rPr>
                <w:sz w:val="10"/>
              </w:rPr>
              <w:t>(10)</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32,258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Nichelle Maynard-Elliott</w:t>
            </w:r>
            <w:r>
              <w:rPr>
                <w:sz w:val="10"/>
              </w:rPr>
              <w:t>(11)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53,289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59" w:type="dxa"/>
            <w:tcBorders>
              <w:bottom w:val="single" w:sz="6" w:space="0" w:color="000000"/>
            </w:tcBorders>
            <w:tcMar>
              <w:bottom w:w="128" w:type="dxa"/>
            </w:tcMar>
            <w:vAlign w:val="center"/>
          </w:tcPr>
          <w:p>
            <w:pPr>
              <w:pStyle w:val="TableContents"/>
              <w:bidi w:val="0"/>
              <w:spacing w:before="0" w:after="283"/>
              <w:jc w:val="left"/>
              <w:rPr/>
            </w:pPr>
            <w:r>
              <w:rPr/>
              <w:t>Chabi Nouri</w:t>
            </w:r>
            <w:r>
              <w:rPr>
                <w:sz w:val="10"/>
              </w:rPr>
              <w:t>(12)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28" w:type="dxa"/>
            </w:tcMar>
            <w:vAlign w:val="center"/>
          </w:tcPr>
          <w:p>
            <w:pPr>
              <w:pStyle w:val="TableContents"/>
              <w:bidi w:val="0"/>
              <w:spacing w:before="0" w:after="283"/>
              <w:jc w:val="left"/>
              <w:rPr/>
            </w:pPr>
            <w:r>
              <w:rPr/>
              <w:t xml:space="preserve">29,914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3"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6"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1775"/>
        <w:gridCol w:w="109"/>
        <w:gridCol w:w="109"/>
        <w:gridCol w:w="1560"/>
        <w:gridCol w:w="109"/>
        <w:gridCol w:w="109"/>
        <w:gridCol w:w="1285"/>
        <w:gridCol w:w="109"/>
        <w:gridCol w:w="109"/>
        <w:gridCol w:w="1350"/>
        <w:gridCol w:w="109"/>
        <w:gridCol w:w="109"/>
        <w:gridCol w:w="1285"/>
        <w:gridCol w:w="109"/>
        <w:gridCol w:w="109"/>
        <w:gridCol w:w="859"/>
        <w:gridCol w:w="157"/>
      </w:tblGrid>
      <w:tr>
        <w:trPr/>
        <w:tc>
          <w:tcPr>
            <w:tcW w:w="124" w:type="dxa"/>
            <w:vMerge w:val="restart"/>
            <w:tcBorders/>
            <w:shd w:fill="000000" w:val="clear"/>
            <w:vAlign w:val="center"/>
          </w:tcPr>
          <w:p>
            <w:pPr>
              <w:pStyle w:val="TableContents"/>
              <w:bidi w:val="0"/>
              <w:spacing w:before="0" w:after="283"/>
              <w:jc w:val="left"/>
              <w:rPr/>
            </w:pPr>
            <w:r>
              <w:rPr/>
              <w:t>​</w:t>
            </w:r>
          </w:p>
        </w:tc>
        <w:tc>
          <w:tcPr>
            <w:tcW w:w="1775" w:type="dxa"/>
            <w:vMerge w:val="restart"/>
            <w:tcBorders/>
            <w:shd w:fill="000000" w:val="clear"/>
            <w:vAlign w:val="center"/>
          </w:tcPr>
          <w:p>
            <w:pPr>
              <w:pStyle w:val="TableContents"/>
              <w:bidi w:val="0"/>
              <w:spacing w:lineRule="atLeast" w:line="142" w:before="0" w:after="0"/>
              <w:jc w:val="left"/>
              <w:rPr/>
            </w:pPr>
            <w:r>
              <w:rPr/>
              <w:t>Name of Beneficial Owner</w:t>
            </w:r>
            <w:r>
              <w:rPr>
                <w:sz w:val="9"/>
              </w:rPr>
              <w:t>(1)</w:t>
            </w:r>
            <w:r>
              <w:rP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063" w:type="dxa"/>
            <w:gridSpan w:val="4"/>
            <w:tcBorders>
              <w:bottom w:val="single" w:sz="2" w:space="0" w:color="FEFEFE"/>
            </w:tcBorders>
            <w:shd w:fill="000000" w:val="clear"/>
            <w:tcMar>
              <w:bottom w:w="140" w:type="dxa"/>
            </w:tcMar>
            <w:vAlign w:val="center"/>
          </w:tcPr>
          <w:p>
            <w:pPr>
              <w:pStyle w:val="TableContents"/>
              <w:bidi w:val="0"/>
              <w:spacing w:before="0" w:after="0"/>
              <w:jc w:val="left"/>
              <w:rPr/>
            </w:pPr>
            <w:r>
              <w:rPr/>
              <w:t xml:space="preserve">Common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853" w:type="dxa"/>
            <w:gridSpan w:val="4"/>
            <w:tcBorders>
              <w:bottom w:val="single" w:sz="2" w:space="0" w:color="FEFEFE"/>
            </w:tcBorders>
            <w:shd w:fill="000000" w:val="clear"/>
            <w:tcMar>
              <w:bottom w:w="140" w:type="dxa"/>
            </w:tcMar>
            <w:vAlign w:val="center"/>
          </w:tcPr>
          <w:p>
            <w:pPr>
              <w:pStyle w:val="TableContents"/>
              <w:bidi w:val="0"/>
              <w:spacing w:before="0" w:after="0"/>
              <w:jc w:val="left"/>
              <w:rPr/>
            </w:pPr>
            <w:r>
              <w:rPr/>
              <w:t xml:space="preserve">Preferred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859" w:type="dxa"/>
            <w:vMerge w:val="restart"/>
            <w:tcBorders/>
            <w:shd w:fill="000000" w:val="clear"/>
            <w:vAlign w:val="center"/>
          </w:tcPr>
          <w:p>
            <w:pPr>
              <w:pStyle w:val="TableContents"/>
              <w:bidi w:val="0"/>
              <w:spacing w:lineRule="atLeast" w:line="160" w:before="0" w:after="0"/>
              <w:jc w:val="both"/>
              <w:rPr/>
            </w:pPr>
            <w:r>
              <w:rPr/>
              <w:t xml:space="preserve">Voting Power </w:t>
            </w:r>
          </w:p>
        </w:tc>
        <w:tc>
          <w:tcPr>
            <w:tcW w:w="157"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775"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560" w:type="dxa"/>
            <w:tcBorders/>
            <w:shd w:fill="000000" w:val="clear"/>
            <w:vAlign w:val="center"/>
          </w:tcPr>
          <w:p>
            <w:pPr>
              <w:pStyle w:val="TableContents"/>
              <w:bidi w:val="0"/>
              <w:spacing w:before="0" w:after="283"/>
              <w:jc w:val="left"/>
              <w:rPr/>
            </w:pPr>
            <w:r>
              <w:rPr/>
              <w:t xml:space="preserve">Number of </w:t>
              <w:br/>
              <w:t>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85" w:type="dxa"/>
            <w:tcBorders/>
            <w:shd w:fill="000000" w:val="clear"/>
            <w:vAlign w:val="center"/>
          </w:tcPr>
          <w:p>
            <w:pPr>
              <w:pStyle w:val="TableContents"/>
              <w:bidi w:val="0"/>
              <w:spacing w:before="0" w:after="0"/>
              <w:jc w:val="both"/>
              <w:rPr/>
            </w:pPr>
            <w:r>
              <w:rPr/>
              <w:t xml:space="preserve">Percentage of </w:t>
              <w:br/>
              <w:t>Shares</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50" w:type="dxa"/>
            <w:tcBorders/>
            <w:shd w:fill="000000" w:val="clear"/>
            <w:vAlign w:val="center"/>
          </w:tcPr>
          <w:p>
            <w:pPr>
              <w:pStyle w:val="TableContents"/>
              <w:bidi w:val="0"/>
              <w:spacing w:before="0" w:after="283"/>
              <w:jc w:val="left"/>
              <w:rPr/>
            </w:pPr>
            <w:r>
              <w:rPr/>
              <w:t xml:space="preserve">Number of </w:t>
              <w:br/>
              <w:t>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85" w:type="dxa"/>
            <w:tcBorders/>
            <w:shd w:fill="000000" w:val="clear"/>
            <w:vAlign w:val="center"/>
          </w:tcPr>
          <w:p>
            <w:pPr>
              <w:pStyle w:val="TableContents"/>
              <w:bidi w:val="0"/>
              <w:spacing w:before="0" w:after="0"/>
              <w:jc w:val="both"/>
              <w:rPr/>
            </w:pPr>
            <w:r>
              <w:rPr/>
              <w:t xml:space="preserve">Percentage of </w:t>
              <w:br/>
              <w:t>Shares</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859" w:type="dxa"/>
            <w:vMerge w:val="continue"/>
            <w:tcBorders/>
            <w:shd w:fill="000000" w:val="clear"/>
            <w:vAlign w:val="center"/>
          </w:tcPr>
          <w:p>
            <w:pPr>
              <w:pStyle w:val="Normal"/>
              <w:bidi w:val="0"/>
              <w:jc w:val="left"/>
              <w:rPr/>
            </w:pPr>
            <w:r>
              <w:rPr/>
            </w:r>
          </w:p>
        </w:tc>
        <w:tc>
          <w:tcPr>
            <w:tcW w:w="157" w:type="dxa"/>
            <w:vMerge w:val="continue"/>
            <w:tcBorders/>
            <w:shd w:fill="000000" w:val="clear"/>
            <w:vAlign w:val="center"/>
          </w:tcPr>
          <w:p>
            <w:pPr>
              <w:pStyle w:val="Normal"/>
              <w:bidi w:val="0"/>
              <w:jc w:val="left"/>
              <w:rPr/>
            </w:pPr>
            <w:r>
              <w:rPr/>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75" w:type="dxa"/>
            <w:tcBorders>
              <w:bottom w:val="single" w:sz="6" w:space="0" w:color="000000"/>
            </w:tcBorders>
            <w:tcMar>
              <w:bottom w:w="128" w:type="dxa"/>
            </w:tcMar>
            <w:vAlign w:val="center"/>
          </w:tcPr>
          <w:p>
            <w:pPr>
              <w:pStyle w:val="TableContents"/>
              <w:bidi w:val="0"/>
              <w:spacing w:before="0" w:after="283"/>
              <w:jc w:val="left"/>
              <w:rPr/>
            </w:pPr>
            <w:r>
              <w:rPr/>
              <w:t>Ori Winitzer</w:t>
            </w:r>
            <w:r>
              <w:rPr>
                <w:sz w:val="10"/>
              </w:rPr>
              <w:t>(13)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128" w:type="dxa"/>
            </w:tcMar>
            <w:vAlign w:val="center"/>
          </w:tcPr>
          <w:p>
            <w:pPr>
              <w:pStyle w:val="TableContents"/>
              <w:bidi w:val="0"/>
              <w:spacing w:before="0" w:after="283"/>
              <w:jc w:val="left"/>
              <w:rPr/>
            </w:pPr>
            <w:r>
              <w:rPr/>
              <w:t xml:space="preserve">32,258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5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75" w:type="dxa"/>
            <w:tcBorders>
              <w:bottom w:val="single" w:sz="6" w:space="0" w:color="000000"/>
            </w:tcBorders>
            <w:tcMar>
              <w:bottom w:w="128" w:type="dxa"/>
            </w:tcMar>
            <w:vAlign w:val="center"/>
          </w:tcPr>
          <w:p>
            <w:pPr>
              <w:pStyle w:val="TableContents"/>
              <w:bidi w:val="0"/>
              <w:spacing w:before="0" w:after="283"/>
              <w:jc w:val="left"/>
              <w:rPr/>
            </w:pPr>
            <w:r>
              <w:rPr/>
              <w:t>Janet S. Wong</w:t>
            </w:r>
            <w:r>
              <w:rPr>
                <w:sz w:val="10"/>
              </w:rPr>
              <w:t>(14)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128" w:type="dxa"/>
            </w:tcMar>
            <w:vAlign w:val="center"/>
          </w:tcPr>
          <w:p>
            <w:pPr>
              <w:pStyle w:val="TableContents"/>
              <w:bidi w:val="0"/>
              <w:spacing w:before="0" w:after="283"/>
              <w:jc w:val="left"/>
              <w:rPr/>
            </w:pPr>
            <w:r>
              <w:rPr/>
              <w:t xml:space="preserve">53,289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5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75" w:type="dxa"/>
            <w:tcBorders>
              <w:bottom w:val="single" w:sz="6" w:space="0" w:color="000000"/>
            </w:tcBorders>
            <w:tcMar>
              <w:bottom w:w="128" w:type="dxa"/>
            </w:tcMar>
            <w:vAlign w:val="center"/>
          </w:tcPr>
          <w:p>
            <w:pPr>
              <w:pStyle w:val="TableContents"/>
              <w:bidi w:val="0"/>
              <w:spacing w:before="0" w:after="283"/>
              <w:jc w:val="left"/>
              <w:rPr/>
            </w:pPr>
            <w:r>
              <w:rPr/>
              <w:t xml:space="preserve">Lisa M. Lambert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1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5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75" w:type="dxa"/>
            <w:tcBorders>
              <w:bottom w:val="single" w:sz="6" w:space="0" w:color="000000"/>
            </w:tcBorders>
            <w:tcMar>
              <w:bottom w:w="128" w:type="dxa"/>
            </w:tcMar>
            <w:vAlign w:val="center"/>
          </w:tcPr>
          <w:p>
            <w:pPr>
              <w:pStyle w:val="TableContents"/>
              <w:bidi w:val="0"/>
              <w:spacing w:before="0" w:after="283"/>
              <w:jc w:val="left"/>
              <w:rPr/>
            </w:pPr>
            <w:r>
              <w:rPr/>
              <w:t>Glenn R. August, former director</w:t>
            </w:r>
            <w:r>
              <w:rPr>
                <w:sz w:val="10"/>
              </w:rPr>
              <w:t>(15)</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128" w:type="dxa"/>
            </w:tcMar>
            <w:vAlign w:val="center"/>
          </w:tcPr>
          <w:p>
            <w:pPr>
              <w:pStyle w:val="TableContents"/>
              <w:bidi w:val="0"/>
              <w:spacing w:before="0" w:after="283"/>
              <w:jc w:val="left"/>
              <w:rPr/>
            </w:pPr>
            <w:r>
              <w:rPr/>
              <w:t xml:space="preserve">13,908,128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59" w:type="dxa"/>
            <w:tcBorders>
              <w:bottom w:val="single" w:sz="6" w:space="0" w:color="000000"/>
            </w:tcBorders>
            <w:tcMar>
              <w:bottom w:w="128" w:type="dxa"/>
            </w:tcMar>
            <w:vAlign w:val="center"/>
          </w:tcPr>
          <w:p>
            <w:pPr>
              <w:pStyle w:val="TableContents"/>
              <w:bidi w:val="0"/>
              <w:spacing w:before="0" w:after="283"/>
              <w:jc w:val="left"/>
              <w:rPr/>
            </w:pPr>
            <w:r>
              <w:rPr/>
              <w:t xml:space="preserve">* </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775" w:type="dxa"/>
            <w:tcBorders>
              <w:bottom w:val="single" w:sz="6" w:space="0" w:color="000000"/>
            </w:tcBorders>
            <w:tcMar>
              <w:bottom w:w="128" w:type="dxa"/>
            </w:tcMar>
            <w:vAlign w:val="center"/>
          </w:tcPr>
          <w:p>
            <w:pPr>
              <w:pStyle w:val="TableContents"/>
              <w:bidi w:val="0"/>
              <w:spacing w:before="0" w:after="283"/>
              <w:jc w:val="left"/>
              <w:rPr/>
            </w:pPr>
            <w:r>
              <w:rPr/>
              <w:t xml:space="preserve">All executive officers and directors as a group (11 persons)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0" w:type="dxa"/>
            <w:tcBorders>
              <w:bottom w:val="single" w:sz="6" w:space="0" w:color="000000"/>
            </w:tcBorders>
            <w:tcMar>
              <w:bottom w:w="128" w:type="dxa"/>
            </w:tcMar>
            <w:vAlign w:val="center"/>
          </w:tcPr>
          <w:p>
            <w:pPr>
              <w:pStyle w:val="TableContents"/>
              <w:bidi w:val="0"/>
              <w:spacing w:before="0" w:after="283"/>
              <w:jc w:val="left"/>
              <w:rPr/>
            </w:pPr>
            <w:r>
              <w:rPr/>
              <w:t xml:space="preserve">2,257,459,142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64%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0" w:type="dxa"/>
            <w:tcBorders>
              <w:bottom w:val="single" w:sz="6" w:space="0" w:color="000000"/>
            </w:tcBorders>
            <w:tcMar>
              <w:bottom w:w="128" w:type="dxa"/>
            </w:tcMar>
            <w:vAlign w:val="center"/>
          </w:tcPr>
          <w:p>
            <w:pPr>
              <w:pStyle w:val="TableContents"/>
              <w:bidi w:val="0"/>
              <w:spacing w:before="0" w:after="283"/>
              <w:jc w:val="left"/>
              <w:rPr/>
            </w:pPr>
            <w:r>
              <w:rPr/>
              <w:t xml:space="preserve">175,000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128" w:type="dxa"/>
            </w:tcMar>
            <w:vAlign w:val="center"/>
          </w:tcPr>
          <w:p>
            <w:pPr>
              <w:pStyle w:val="TableContents"/>
              <w:bidi w:val="0"/>
              <w:spacing w:before="0" w:after="283"/>
              <w:jc w:val="left"/>
              <w:rPr/>
            </w:pPr>
            <w:r>
              <w:rPr/>
              <w:t xml:space="preserve">100%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59" w:type="dxa"/>
            <w:tcBorders>
              <w:bottom w:val="single" w:sz="6" w:space="0" w:color="000000"/>
            </w:tcBorders>
            <w:tcMar>
              <w:bottom w:w="128" w:type="dxa"/>
            </w:tcMar>
            <w:vAlign w:val="center"/>
          </w:tcPr>
          <w:p>
            <w:pPr>
              <w:pStyle w:val="TableContents"/>
              <w:bidi w:val="0"/>
              <w:spacing w:before="0" w:after="283"/>
              <w:jc w:val="left"/>
              <w:rPr/>
            </w:pPr>
            <w:r>
              <w:rPr/>
              <w:t>64%</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00"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Less than 1%</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88">
                <wp:simplePos x="0" y="0"/>
                <wp:positionH relativeFrom="column">
                  <wp:align>left</wp:align>
                </wp:positionH>
                <wp:positionV relativeFrom="line">
                  <wp:align>top</wp:align>
                </wp:positionV>
                <wp:extent cx="50800" cy="525780"/>
                <wp:effectExtent l="0" t="0" r="0" b="0"/>
                <wp:wrapSquare wrapText="right"/>
                <wp:docPr id="293" name="Frame224"/>
                <a:graphic xmlns:a="http://schemas.openxmlformats.org/drawingml/2006/main">
                  <a:graphicData uri="http://schemas.microsoft.com/office/word/2010/wordprocessingShape">
                    <wps:wsp>
                      <wps:cNvSpPr txBox="1"/>
                      <wps:spPr>
                        <a:xfrm>
                          <a:off x="0" y="0"/>
                          <a:ext cx="50800" cy="525780"/>
                        </a:xfrm>
                        <a:prstGeom prst="rect"/>
                        <a:solidFill>
                          <a:srgbClr val="FFFFFF"/>
                        </a:solidFill>
                      </wps:spPr>
                      <wps:txbx>
                        <w:txbxContent>
                          <w:p>
                            <w:pPr>
                              <w:pStyle w:val="TextBody"/>
                              <w:bidi w:val="0"/>
                              <w:spacing w:lineRule="atLeast" w:line="142" w:before="0" w:after="283"/>
                              <w:jc w:val="left"/>
                              <w:rPr/>
                            </w:pPr>
                            <w:r>
                              <w:rPr/>
                              <w:t>*</w:t>
                              <w:br/>
                            </w:r>
                          </w:p>
                        </w:txbxContent>
                      </wps:txbx>
                      <wps:bodyPr anchor="t" lIns="0" tIns="0" rIns="0" bIns="0">
                        <a:noAutofit/>
                      </wps:bodyPr>
                    </wps:wsp>
                  </a:graphicData>
                </a:graphic>
              </wp:anchor>
            </w:drawing>
          </mc:Choice>
          <mc:Fallback>
            <w:pict>
              <v:rect style="position:absolute;rotation:-0;width:4pt;height:41.4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pPr>
                      <w:r>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Unless otherwise noted, the business address of each of the following entities or individuals is c/o Lucid Group, Inc., 7373 Gateway Boulevard, Newark, CA 94560.</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9">
                <wp:simplePos x="0" y="0"/>
                <wp:positionH relativeFrom="column">
                  <wp:align>left</wp:align>
                </wp:positionH>
                <wp:positionV relativeFrom="line">
                  <wp:align>top</wp:align>
                </wp:positionV>
                <wp:extent cx="91440" cy="525780"/>
                <wp:effectExtent l="0" t="0" r="0" b="0"/>
                <wp:wrapSquare wrapText="right"/>
                <wp:docPr id="294" name="Frame225"/>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(1)</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8pt;mso-position-horizontal:left;mso-position-horizontal-relative:text">
                <v:textbox>
                  <w:txbxContent>
                    <w:p>
                      <w:pPr>
                        <w:pStyle w:val="TextBody"/>
                        <w:bidi w:val="0"/>
                        <w:spacing w:lineRule="atLeast" w:line="142" w:before="0" w:after="283"/>
                        <w:jc w:val="left"/>
                        <w:rPr/>
                      </w:pPr>
                      <w:r>
                        <w:rPr>
                          <w:sz w:val="9"/>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PIF has sole voting power over 8,041,393 shares of Common Stock held directly by PIF, shared voting power over 2,248,197,909 shares of Common Stock held by Ayar, including 304,262,653 shares of Common Stock issuable upon conversion of the Series A Convertible Preferred Stock and 181,087,965 shares of Common Stock issuable upon conversion of the Series B Convertible Preferred Stock, aggregating to a beneficial ownership of 2,256,239,302 shares of Common Stock held either by PIF or Ayar. The number of shares of Common Stock issuable upon conversion of the Series A Convertible Preferred Stock and Series B Convertible Preferred Stock reflects increases in the compounded returns on the shares of Series A Convertible Preferred Stock and Series B Convertible Preferred Stock in accordance with the terms thereof. PIF is the sovereign wealth fund of the Kingdom of Saudi Arabia. Ayar is a wholly owned subsidiary of PIF. The Board of Directors of PIF has dispositive power over the shares held by PIF and Ayar. Mr. Turqi A. Alnowaiser and Mr. Yasir Alsalman are the co-managers of Ayar, and in such capacity have the authority to vote the securities held by Ayar. Neither Mr. Alnowaiser nor Mr. Alsalman has individual dispositive power with respect to any securities held by Ayar, and each disclaims beneficial ownership of the shares held by Ayar. PIF disclaims beneficial ownership of the Ayar securities except to the extent of its pecuniary interest therein. Interests shown do not include 2,117,270 shares of Common Stock held by Mr. Alnowaiser or 401,454 shares of Common Stock held by Mr. Yasir Alsalman. The business address for PIF is Alr’idah Digital City, Building MU04, Al Nakhil District, P.O. Box 6847, Riyadh 11452, The Kingdom of Saudi Arabia.</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0">
                <wp:simplePos x="0" y="0"/>
                <wp:positionH relativeFrom="column">
                  <wp:align>left</wp:align>
                </wp:positionH>
                <wp:positionV relativeFrom="line">
                  <wp:align>top</wp:align>
                </wp:positionV>
                <wp:extent cx="91440" cy="525780"/>
                <wp:effectExtent l="0" t="0" r="0" b="0"/>
                <wp:wrapSquare wrapText="right"/>
                <wp:docPr id="295" name="Frame226"/>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(2)</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8pt;mso-position-horizontal:left;mso-position-horizontal-relative:text">
                <v:textbox>
                  <w:txbxContent>
                    <w:p>
                      <w:pPr>
                        <w:pStyle w:val="TextBody"/>
                        <w:bidi w:val="0"/>
                        <w:spacing w:lineRule="atLeast" w:line="142" w:before="0" w:after="283"/>
                        <w:jc w:val="left"/>
                        <w:rPr/>
                      </w:pPr>
                      <w:r>
                        <w:rPr>
                          <w:sz w:val="9"/>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13,918,236 shares of Common Stock and 10,949,655 shares of Common Stock subject to option awards that are currently exercisable or exercisable within 60 days of March 31, 2025.</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1">
                <wp:simplePos x="0" y="0"/>
                <wp:positionH relativeFrom="column">
                  <wp:align>left</wp:align>
                </wp:positionH>
                <wp:positionV relativeFrom="line">
                  <wp:align>top</wp:align>
                </wp:positionV>
                <wp:extent cx="91440" cy="525780"/>
                <wp:effectExtent l="0" t="0" r="0" b="0"/>
                <wp:wrapSquare wrapText="right"/>
                <wp:docPr id="296" name="Frame227"/>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(3)</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271,017 shares of Common Stock and 56,758 shares of Common Stock subject to option awards that are currently exercisable or exercisable within 60 days of March 31, 2025.</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2">
                <wp:simplePos x="0" y="0"/>
                <wp:positionH relativeFrom="column">
                  <wp:align>left</wp:align>
                </wp:positionH>
                <wp:positionV relativeFrom="line">
                  <wp:align>top</wp:align>
                </wp:positionV>
                <wp:extent cx="91440" cy="525780"/>
                <wp:effectExtent l="0" t="0" r="0" b="0"/>
                <wp:wrapSquare wrapText="right"/>
                <wp:docPr id="297" name="Frame228"/>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(4)</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7.2pt;mso-position-horizontal:left;mso-position-horizontal-relative:text">
                <v:textbox>
                  <w:txbxContent>
                    <w:p>
                      <w:pPr>
                        <w:pStyle w:val="TextBody"/>
                        <w:bidi w:val="0"/>
                        <w:spacing w:lineRule="atLeast" w:line="142" w:before="0" w:after="283"/>
                        <w:jc w:val="left"/>
                        <w:rPr/>
                      </w:pPr>
                      <w:r>
                        <w:rPr>
                          <w:sz w:val="9"/>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491,665 shares of Common Stock and 252,843 shares of Common Stock subject to option awards that are currently exercisable or exercisable within 60 days of March 31, 2025.</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3">
                <wp:simplePos x="0" y="0"/>
                <wp:positionH relativeFrom="column">
                  <wp:align>left</wp:align>
                </wp:positionH>
                <wp:positionV relativeFrom="line">
                  <wp:align>top</wp:align>
                </wp:positionV>
                <wp:extent cx="91440" cy="525780"/>
                <wp:effectExtent l="0" t="0" r="0" b="0"/>
                <wp:wrapSquare wrapText="right"/>
                <wp:docPr id="298" name="Frame229"/>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(5)</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1,757,540 shares of Common Stock and 2,934,829 shares of Common Stock subject to option awards that are currently exercisable or exercisable within 60 days of March 31, 2025.</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4">
                <wp:simplePos x="0" y="0"/>
                <wp:positionH relativeFrom="column">
                  <wp:align>left</wp:align>
                </wp:positionH>
                <wp:positionV relativeFrom="line">
                  <wp:align>top</wp:align>
                </wp:positionV>
                <wp:extent cx="91440" cy="525780"/>
                <wp:effectExtent l="0" t="0" r="0" b="0"/>
                <wp:wrapSquare wrapText="right"/>
                <wp:docPr id="299" name="Frame230"/>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(6)</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744,334 shares of Common Stock.</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5">
                <wp:simplePos x="0" y="0"/>
                <wp:positionH relativeFrom="column">
                  <wp:align>left</wp:align>
                </wp:positionH>
                <wp:positionV relativeFrom="line">
                  <wp:align>top</wp:align>
                </wp:positionV>
                <wp:extent cx="91440" cy="525780"/>
                <wp:effectExtent l="0" t="0" r="0" b="0"/>
                <wp:wrapSquare wrapText="right"/>
                <wp:docPr id="300" name="Frame231"/>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(7)</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7.2pt;mso-position-horizontal:left;mso-position-horizontal-relative:text">
                <v:textbox>
                  <w:txbxContent>
                    <w:p>
                      <w:pPr>
                        <w:pStyle w:val="TextBody"/>
                        <w:bidi w:val="0"/>
                        <w:spacing w:lineRule="atLeast" w:line="142" w:before="0" w:after="283"/>
                        <w:jc w:val="left"/>
                        <w:rPr/>
                      </w:pPr>
                      <w:r>
                        <w:rPr>
                          <w:sz w:val="9"/>
                        </w:rPr>
                        <w:t>(7)</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(i) 2,117,270 shares of Common Stock held by Mr. Alnowaiser (which does not include 96,822 RSUs that will not vest in the next 60 days, as reported on the Schedule 13D/A filed with the SEC on November 4, 2024 by PIF) and (ii) 2,248,197,909 shares of Common Stock held by Ayar. Mr. Alnowaiser, who is Deputy Governor and Head of the International Investments Division of PIF, has shared voting power with respect to the shares held by Ayar and has no pecuniary interest in and disclaims beneficial ownership of such shares. See note (2) above.</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6">
                <wp:simplePos x="0" y="0"/>
                <wp:positionH relativeFrom="column">
                  <wp:align>left</wp:align>
                </wp:positionH>
                <wp:positionV relativeFrom="line">
                  <wp:align>top</wp:align>
                </wp:positionV>
                <wp:extent cx="91440" cy="525780"/>
                <wp:effectExtent l="0" t="0" r="0" b="0"/>
                <wp:wrapSquare wrapText="right"/>
                <wp:docPr id="301" name="Frame232"/>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(8)</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(8)</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64"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(i) 546,481 shares of Common Stock held by Mr. Liveris, (ii) 42,083 shares of Common Stock subject to RSUs for which the settlement has been deferred, and (ii) 400,000 shares of Common Stock and 363,347 shares of Common Stock issuable upon exercise of warrants to purchase shares of Common Stock held by Liveris Capital Partners LLC. Mr. Liveris has investment control over Liveris Capital Partners and disclaims beneficial ownership of such shares and warrants held by Liveris Capital Partners LLC. The business address for Liveris Capital Partners LLC is c/o BDO 225NE Mizner Blvd, Suite 685, Boca Raton, FL 33432.</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7">
                <wp:simplePos x="0" y="0"/>
                <wp:positionH relativeFrom="column">
                  <wp:align>left</wp:align>
                </wp:positionH>
                <wp:positionV relativeFrom="line">
                  <wp:align>top</wp:align>
                </wp:positionV>
                <wp:extent cx="91440" cy="525780"/>
                <wp:effectExtent l="0" t="0" r="0" b="0"/>
                <wp:wrapSquare wrapText="right"/>
                <wp:docPr id="302" name="Frame233"/>
                <a:graphic xmlns:a="http://schemas.openxmlformats.org/drawingml/2006/main">
                  <a:graphicData uri="http://schemas.microsoft.com/office/word/2010/wordprocessingShape">
                    <wps:wsp>
                      <wps:cNvSpPr txBox="1"/>
                      <wps:spPr>
                        <a:xfrm>
                          <a:off x="0" y="0"/>
                          <a:ext cx="91440" cy="525780"/>
                        </a:xfrm>
                        <a:prstGeom prst="rect"/>
                        <a:solidFill>
                          <a:srgbClr val="FFFFFF"/>
                        </a:solidFill>
                      </wps:spPr>
                      <wps:txbx>
                        <w:txbxContent>
                          <w:p>
                            <w:pPr>
                              <w:pStyle w:val="TextBody"/>
                              <w:bidi w:val="0"/>
                              <w:spacing w:lineRule="atLeast" w:line="142" w:before="0" w:after="283"/>
                              <w:jc w:val="left"/>
                              <w:rPr/>
                            </w:pPr>
                            <w:r>
                              <w:rPr>
                                <w:sz w:val="9"/>
                              </w:rPr>
                              <w:t>(9)</w:t>
                            </w:r>
                            <w:r>
                              <w:rPr/>
                              <w:t xml:space="preserve"> </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(9)</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(i) 16,129 shares of Common Stock held by Mr. Marakby and (ii) 16,129 shares of Common Stock subject to RSUs for which the settlement has been deferred.</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8">
                <wp:simplePos x="0" y="0"/>
                <wp:positionH relativeFrom="column">
                  <wp:align>left</wp:align>
                </wp:positionH>
                <wp:positionV relativeFrom="line">
                  <wp:align>top</wp:align>
                </wp:positionV>
                <wp:extent cx="128270" cy="525780"/>
                <wp:effectExtent l="0" t="0" r="0" b="0"/>
                <wp:wrapSquare wrapText="right"/>
                <wp:docPr id="303" name="Frame234"/>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(10)</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(10)</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(i) 11,206 shares of Common Stock held by Ms. Maynard-Elliott and (ii) 42,083 shares of Common Stock subject to RSUs for which the settlement has been deferred.</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99">
                <wp:simplePos x="0" y="0"/>
                <wp:positionH relativeFrom="column">
                  <wp:align>left</wp:align>
                </wp:positionH>
                <wp:positionV relativeFrom="line">
                  <wp:align>top</wp:align>
                </wp:positionV>
                <wp:extent cx="128270" cy="525780"/>
                <wp:effectExtent l="0" t="0" r="0" b="0"/>
                <wp:wrapSquare wrapText="right"/>
                <wp:docPr id="304" name="Frame235"/>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(11)</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10.1pt;mso-position-horizontal:left;mso-position-horizontal-relative:text">
                <v:textbox>
                  <w:txbxContent>
                    <w:p>
                      <w:pPr>
                        <w:pStyle w:val="TextBody"/>
                        <w:bidi w:val="0"/>
                        <w:spacing w:lineRule="atLeast" w:line="142" w:before="0" w:after="283"/>
                        <w:jc w:val="left"/>
                        <w:rPr/>
                      </w:pPr>
                      <w:r>
                        <w:rPr>
                          <w:sz w:val="9"/>
                        </w:rPr>
                        <w:t>(11)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29,914 shares of Common Stock.</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300">
                <wp:simplePos x="0" y="0"/>
                <wp:positionH relativeFrom="column">
                  <wp:align>left</wp:align>
                </wp:positionH>
                <wp:positionV relativeFrom="line">
                  <wp:align>top</wp:align>
                </wp:positionV>
                <wp:extent cx="128270" cy="525780"/>
                <wp:effectExtent l="0" t="0" r="0" b="0"/>
                <wp:wrapSquare wrapText="right"/>
                <wp:docPr id="305" name="Frame236"/>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(12)</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32,258 shares of Common Stock.</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301">
                <wp:simplePos x="0" y="0"/>
                <wp:positionH relativeFrom="column">
                  <wp:align>left</wp:align>
                </wp:positionH>
                <wp:positionV relativeFrom="line">
                  <wp:align>top</wp:align>
                </wp:positionV>
                <wp:extent cx="128270" cy="525780"/>
                <wp:effectExtent l="0" t="0" r="0" b="0"/>
                <wp:wrapSquare wrapText="right"/>
                <wp:docPr id="306" name="Frame237"/>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(13)</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10.1pt;mso-position-horizontal:left;mso-position-horizontal-relative:text">
                <v:textbox>
                  <w:txbxContent>
                    <w:p>
                      <w:pPr>
                        <w:pStyle w:val="TextBody"/>
                        <w:bidi w:val="0"/>
                        <w:spacing w:lineRule="atLeast" w:line="142" w:before="0" w:after="283"/>
                        <w:jc w:val="left"/>
                        <w:rPr/>
                      </w:pPr>
                      <w:r>
                        <w:rPr>
                          <w:sz w:val="9"/>
                        </w:rPr>
                        <w:t>(13)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53,289 shares of Common Stock.</w:t>
      </w:r>
      <w:r>
        <w:rPr>
          <w:rFonts w:ascii="Arial;Helvetica;sans-serif" w:hAnsi="Arial;Helvetica;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302">
                <wp:simplePos x="0" y="0"/>
                <wp:positionH relativeFrom="column">
                  <wp:align>left</wp:align>
                </wp:positionH>
                <wp:positionV relativeFrom="line">
                  <wp:align>top</wp:align>
                </wp:positionV>
                <wp:extent cx="128270" cy="525780"/>
                <wp:effectExtent l="0" t="0" r="0" b="0"/>
                <wp:wrapSquare wrapText="right"/>
                <wp:docPr id="307" name="Frame238"/>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(14)</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22"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z w:val="12"/>
        </w:rPr>
        <w:t>Interests shown consist of  (i) 49,554 shares of Common Stock held by Mr. August and (ii) 7,000,000 shares of Common Stock and 6,858,574 shares of Common Stock issuable upon exercise of warrants to purchase shares of Common Stock held by OHA Partner Global Co-Investment III, LLP (“OHA PGCI3”). Mr. August has investment control over OHA PGCI3 and may be deemed to be a beneficial owner of such shares and warrants held by OHA PGCI3. The business address for OHA PGCI3 is OHA PGCI3, c/o Oak Hill Advisors, L.P., 1 Vanderbilt Avenue16th Floor, NYC, NY 10017.</w:t>
      </w:r>
      <w:r>
        <mc:AlternateContent>
          <mc:Choice Requires="wps">
            <w:drawing>
              <wp:anchor behindDoc="0" distT="69850" distB="0" distL="0" distR="0" simplePos="0" locked="0" layoutInCell="1" allowOverlap="1" relativeHeight="303">
                <wp:simplePos x="0" y="0"/>
                <wp:positionH relativeFrom="column">
                  <wp:align>left</wp:align>
                </wp:positionH>
                <wp:positionV relativeFrom="line">
                  <wp:align>top</wp:align>
                </wp:positionV>
                <wp:extent cx="128270" cy="525780"/>
                <wp:effectExtent l="0" t="0" r="0" b="0"/>
                <wp:wrapSquare wrapText="right"/>
                <wp:docPr id="308" name="Frame239"/>
                <a:graphic xmlns:a="http://schemas.openxmlformats.org/drawingml/2006/main">
                  <a:graphicData uri="http://schemas.microsoft.com/office/word/2010/wordprocessingShape">
                    <wps:wsp>
                      <wps:cNvSpPr txBox="1"/>
                      <wps:spPr>
                        <a:xfrm>
                          <a:off x="0" y="0"/>
                          <a:ext cx="128270" cy="525780"/>
                        </a:xfrm>
                        <a:prstGeom prst="rect"/>
                        <a:solidFill>
                          <a:srgbClr val="FFFFFF"/>
                        </a:solidFill>
                      </wps:spPr>
                      <wps:txbx>
                        <w:txbxContent>
                          <w:p>
                            <w:pPr>
                              <w:pStyle w:val="TextBody"/>
                              <w:bidi w:val="0"/>
                              <w:spacing w:lineRule="atLeast" w:line="142" w:before="0" w:after="283"/>
                              <w:jc w:val="left"/>
                              <w:rPr/>
                            </w:pPr>
                            <w:r>
                              <w:rPr>
                                <w:sz w:val="9"/>
                              </w:rPr>
                              <w:t>(15)</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5.5pt;mso-wrap-distance-bottom:0pt;margin-top:5.5pt;mso-position-vertical:top;mso-position-vertical-relative:text;margin-left:10.1pt;mso-position-horizontal:left;mso-position-horizontal-relative:text">
                <v:textbox>
                  <w:txbxContent>
                    <w:p>
                      <w:pPr>
                        <w:pStyle w:val="TextBody"/>
                        <w:bidi w:val="0"/>
                        <w:spacing w:lineRule="atLeast" w:line="142" w:before="0" w:after="283"/>
                        <w:jc w:val="left"/>
                        <w:rPr/>
                      </w:pPr>
                      <w:r>
                        <w:rPr>
                          <w:sz w:val="9"/>
                        </w:rPr>
                        <w:t>(15)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RAR"/>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Certain Relationships and Related Party Transactions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3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describe below transactions and series of similar transactions, since the beginning of our last fiscal year or currently proposed, to which we were a party or will be a party, in which: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42"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amount involved exceeds $120,000;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0170" distB="0" distL="0" distR="0" simplePos="0" locked="0" layoutInCell="1" allowOverlap="1" relativeHeight="304">
                <wp:simplePos x="0" y="0"/>
                <wp:positionH relativeFrom="column">
                  <wp:align>left</wp:align>
                </wp:positionH>
                <wp:positionV relativeFrom="line">
                  <wp:align>top</wp:align>
                </wp:positionV>
                <wp:extent cx="114300" cy="525780"/>
                <wp:effectExtent l="0" t="0" r="0" b="0"/>
                <wp:wrapSquare wrapText="right"/>
                <wp:docPr id="309" name="Frame24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of our directors, director nominees, executive officers, beneficial holders of more than 5% of any class of our capital stock who had or will have a direct or indirect material interest, or any immediate family member of the foregoing persons.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3820" distB="0" distL="0" distR="0" simplePos="0" locked="0" layoutInCell="1" allowOverlap="1" relativeHeight="305">
                <wp:simplePos x="0" y="0"/>
                <wp:positionH relativeFrom="column">
                  <wp:align>left</wp:align>
                </wp:positionH>
                <wp:positionV relativeFrom="line">
                  <wp:align>top</wp:align>
                </wp:positionV>
                <wp:extent cx="114300" cy="525780"/>
                <wp:effectExtent l="0" t="0" r="0" b="0"/>
                <wp:wrapSquare wrapText="right"/>
                <wp:docPr id="310" name="Frame24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6pt;mso-wrap-distance-bottom:0pt;margin-top:6.6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Compensation arrangements are described where required under the sections entitled “Director Compensation” and “Executive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referred to in this section, the Public Investment Fund (“PIF”) is an instrumentality of the Kingdom of Saudi Arabia with financial autonomy, as well as independence, in carrying out its investment management and operations activities. Ayar Third Investment Company (“Ayar”) is a wholly-owned subsidiary of PIF.</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Saudi Arabia Manufacturing Facility Lease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February 27, 2022, we announced that we selected King Abdullah Economic City (“KAEC”) in Saudi Arabia as the location of our first international manufacturing plant and, through our subsidiary, entered into a development lease agreement with Emaar, The Economic City (“Emaar”) at KAEC. PIF owns an approximately 25% interest in Emaar, the developer of KAEC. We expect to make payments under the agreement in the aggregate amount of approximately SAR 62 million (approximately $16.6 million). During the fiscal year ended December 31, 2024, we made payments under the agreement in the aggregate of approximately SAR 5,422 ($1,443) (exclusive of VAT and service charges).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Gulf International Bank Facility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April 29, 2022, our subsidiary Lucid LLC entered into a revolving credit facility agreement (the “GIB Facility Agreement”) with Gulf International Bank Saudi Arabia (“GIB”), maturing on February 28, 2025. PIF owns approximately 98% interest in GIB.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was available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 to 3-month SAIBOR and associated fees.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March 12, 2023, Lucid LLC entered into an amendment of the GIB Facility Agreement (together with the GIB Facility Agreement, the “2023 GIB Facility Agreement”) to combine the Bridge Facility and the Working Capital Facility into a committed SAR 1 billion (approximately $266.1 million) revolving credit facility (the “2023 GIB Credit Facility”) which may be used for general corporate purposes. Loans under the 2023 GIB Facility Agreement have a maturity of no more than 12 months and bear interest at a rate of 1.40% per annum over SAIBOR (based on the term of borrowing) and associated fees.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February 24, 2025, Lucid LLC entered into an agreement with GIB to renew the 2023 GIB Credit Facility (the “2025 GIB Credit Facility Agreement,” and together with the 2023 GIB Facility Agreement, the “Amended GIB Facility Agreement”), maturing on February 24, 2028, to increase the credit facility committed amount from SAR 1.0 billion (approximately $266.1 million) to SAR 1.9 billion (approximately $506.7 million) (the “2025 GIB Credit Facility”). Loans under the 2025 GIB Credit Facility Agreement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largest aggregate amount of principal outstanding under the Amended GIB Facility Agreement during fiscal year 2024 was SAR 475 million (approximately $126.4 million). During fiscal year 2024, we paid SAR 18.0 million (approximately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$4.8 million) of interest under the Amended GIB Facility Agreement. As of December 31, 2024, we had outstanding borrowings of SAR 475 million (approximately $126.4 million) with weighted average interest rate of 7.04%. As of December 31, 2024, availability under the GIB Credit Facility was SAR 523 million (approximately $139.2 million), after giving effect to the outstanding letters of credit.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8"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Construction Service Contract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July 1, 2022, Lucid LLC entered into a master services agreement and related agreements with Al Bawani Company Limited (“Al Bawani”) for certain design and construction services in connection with the development of AMP-2. PIF owns an approximately 33% interest in Al Bawani. The capital expenditures incurred to date under these agreements were SAR 865.2 million (approximately $230.3 million) as of December 31, 2024. Net advance payments made to Al Bawani under these agreements were SAR 129.6 million (approximately $34.5 million) as of December 31,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8"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March 2024 Subscription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March 24, 2024, we entered into a subscription agreement (the “March 2024 Subscription Agreement”) with Ayar, pursuant to which Ayar agreed to purchase 100,000 shares of our Series A Convertible Preferred Stock, par value $0.0001 per share (“Series A Convertible Preferred Stock”), for an aggregate purchase price of  $1,000,000,000 in a private placement. On March 29, 2024, we issued the shares of Series A Convertible Preferred Stock pursuant to the March 2024 Subscription Agreement and received aggregate net proceeds of  $997.6 million after deducting issuance cost of $2.4 million. Ayar agreed not to sell, transfer, pledge or otherwise dispose of shares of Common Stock they hold or receive for a period of 12 months after the date of the private placement.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7"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August 2024 Subscription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August 4, 2024, we entered into a subscription agreement (the “August 2024 Subscription Agreement”) with Ayar, pursuant to which Ayar agreed to purchase 75,000 shares of our Series B Convertible Preferred Stock, par value $0.0001 per share (“Series B Convertible Preferred Stock” and together with Series A Convertible Preferred Stock, the “Convertible Preferred Stock”), for an aggregate purchase price of  $750.0 million in a private placement. On August 16, 2024, we issued the shares of Series B Convertible Preferred Stock pursuant to the August 2024 Subscription Agreement and received net proceeds of  $749.4 million after deducting issuance costs of  $0.6 million. Ayar agreed not to sell, transfer, pledge or otherwise dispose of shares of Common Stock they hold or receive for a period of 12 months after the date of the private placement.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6"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October 2024 Subscription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October 16, 2024, we entered into a subscription agreement (the “October 2024 Subscription Agreement”) with Ayar, pursuant to which the Company issued and sold to Ayar 396,188,386 shares of the Company’s Common Stock in a private placement. On October 31, 2024, the Company consummated the private placement of shares to Ayar pursuant to the October 2024 Subscription Agreement, at a price per share of  $2.59, for aggregate net proceeds of  $1,025.7 million after deducting issuance costs of  $0.8 million.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7"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Third Amendment to Investor Rights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March 29, 2024, we entered into an amendment to the Investor Rights Agreement (the “Third IRA Amendment”). Pursuant to the Third IRA Amendment, Ayar is entitled to certain registration rights, including demand, piggy-back and shelf registration rights, with respect to the shares of Series A Convertible Preferred Stock purchased pursuant to the March 2024 Subscription Agreement and any shares of Common Stock issuable upon conversion thereof.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7"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Fourth Amendment to Investor Rights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August 16, 2024, we entered into an amendment to the Investor Rights Agreement (the “Fourth IRA Amendment”). Pursuant to the Fourth IRA Amendment, Ayar is entitled to certain registration rights, including demand, piggy-back and shelf registration rights, with respect to the shares of Series B Convertible Preferred Stock purchased pursuant to the August 2024 Subscription Agreement and any shares of Common Stock issuable upon conversion thereof.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27"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Fifth Amendment to Investor Rights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October 16, 2024, we entered into an amendment to the Investor Rights Agreement (the “Fifth IRA Amendment”). Pursuant to the Fifth IRA Amendment, Ayar is entitled to certain registration rights, including demand, piggy-back and shelf registration rights, with respect to the shares of Common Stock purchased pursuant to the October 2024 Subscription Agreement.</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Agreements with Aston Martin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June 2023, we entered into an agreement (the “Implementation Agreement”) with Aston Martin Lagonda Global Holdings plc (together with its subsidiaries, “Aston Martin”), under which we and Aston Martin have established a long-term strategic technology and supply arrangement. Pursuant to the terms of the Implementation Agreement, we entered into integration and supply arrangements with Aston Martin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PIF owns an approximately 15% interest in Aston Martin.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connection with the Strategic Technology Arrangement, we received $4.2 million in integration service fees in 2024. We expect to receive the remaining cash payments of  $99 million in technology access fees, along with an additional $4.2 million in integration service fees, through 2026. Aston Martin has also committed to an effective minimum spend with us on powertrain components of  $225 million.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Saudi Arabia Corporate Office Lease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July 2023, the Company entered into a lease agreement with King Abdullah Financial District Development and Management Company, a wholly-owned subsidiary of PIF, for its corporate office in Saudi Arabia. The lease has an initial term of six years expiring in fiscal year 2029. We expect to make payments under the agreement in the aggregate amount of approximately SAR 7.6 million (approximately $2.0 million) (exclusive of VAT and service charges). We made no payment under the agreement, exclusive of VAT and service charges, during the year ended December 31,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The Ritz Carlton Riyadh Sponsorship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March 2024, Lucid LLC entered into a sponsorship agreement with Luxury Hotels International Saudi A, the operator of the Ritz Carlton Riyadh, concerning specific sponsorship activities at the Ritz Carlton Riyadh. Luxury Hotels International Saudi A is a wholly-owned subsidiary of PIF. The agreement had a term of one month and expired in April 2024. Under the agreement, we made payments totaling approximately SAR 575,000 (approximately $153,031), exclusive of VAT and service charges.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EV Purchase Agreement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August 2023, Lucid LLC entered into an EV purchase agreement with the Government of Saudi Arabia, as represented by the Ministry of Finance (the “EV Purchase Agreement”).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 The Company recognized net vehicle sales amount of SAR 654.6 million (approximately $174.2 million) during the year ended December 31,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Other Transactions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2024, the Company repurchased the Lucid Air vehicle, which Eric Bach personally purchased and owned, at a cost of $65,361. The value of the vehicle, plus a tax gross-up, is approximately $138,330.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 March 30, 2024, Mr. Bach purchased a Lucid Air Sapphire from the Company. The total value of the vehicle, including taxes and fees, is approximately $275,468.</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Executive Officer and Director Compensation Arrangements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See “Executive Compensation” and “Director Compensation” for information regarding compensation arrangements with our executive officers and directors, respectively, which include, among other things, employment, termination of employment and change in control arrangements, stock awards, stock options and certain other benefits.</w:t>
      </w:r>
      <w:r>
        <w:rPr>
          <w:rFonts w:ascii="Arial;Helvetica;sans-serif" w:hAnsi="Arial;Helvetica;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Director and Executive Officer Indemnification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certificate of incorporation provides for indemnification for directors and certain officers to the fullest extent permitted by law.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Policies and Procedures for Related Party Transactions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person who is, or at any time during the applicable period was, one of our executive officers or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306">
                <wp:simplePos x="0" y="0"/>
                <wp:positionH relativeFrom="column">
                  <wp:align>left</wp:align>
                </wp:positionH>
                <wp:positionV relativeFrom="line">
                  <wp:align>top</wp:align>
                </wp:positionV>
                <wp:extent cx="114300" cy="525780"/>
                <wp:effectExtent l="0" t="0" r="0" b="0"/>
                <wp:wrapSquare wrapText="right"/>
                <wp:docPr id="311" name="Frame24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person who is known by us to be the beneficial owner of more than 5% of our voting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307">
                <wp:simplePos x="0" y="0"/>
                <wp:positionH relativeFrom="column">
                  <wp:align>left</wp:align>
                </wp:positionH>
                <wp:positionV relativeFrom="line">
                  <wp:align>top</wp:align>
                </wp:positionV>
                <wp:extent cx="114300" cy="525780"/>
                <wp:effectExtent l="0" t="0" r="0" b="0"/>
                <wp:wrapSquare wrapText="right"/>
                <wp:docPr id="312" name="Frame24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308">
                <wp:simplePos x="0" y="0"/>
                <wp:positionH relativeFrom="column">
                  <wp:align>left</wp:align>
                </wp:positionH>
                <wp:positionV relativeFrom="line">
                  <wp:align>top</wp:align>
                </wp:positionV>
                <wp:extent cx="114300" cy="525780"/>
                <wp:effectExtent l="0" t="0" r="0" b="0"/>
                <wp:wrapSquare wrapText="right"/>
                <wp:docPr id="313" name="Frame24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firm, corporation or other entity in which any of the foregoing persons is a partner or principal, or in a similar position, or in which such person has a 10% or greater beneficial ownership interest.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309">
                <wp:simplePos x="0" y="0"/>
                <wp:positionH relativeFrom="column">
                  <wp:align>left</wp:align>
                </wp:positionH>
                <wp:positionV relativeFrom="line">
                  <wp:align>top</wp:align>
                </wp:positionV>
                <wp:extent cx="114300" cy="525780"/>
                <wp:effectExtent l="0" t="0" r="0" b="0"/>
                <wp:wrapSquare wrapText="right"/>
                <wp:docPr id="314" name="Frame24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Audit Committee has also established standing pre-approvals for certain classes of related party transactions, such as sales of our vehicles, parts, services, merchandise, and other Lucid products and services purchased by related persons at market prices.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Delinquent Section 16(a) Reports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SEC regulations require us to identify in this Proxy Statement anyone who filed a required report late during the most recent fiscal year. Based on our review of forms, all Section 16(a) filing requirements were satisfied on a timely basis.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81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HOPM"/>
      <w:bookmarkEnd w:id="25"/>
      <w:r>
        <w:rPr>
          <w:rFonts w:ascii="calibri;arial;sans-serif" w:hAnsi="calibri;arial;sans-serif"/>
          <w:b w:val="false"/>
          <w:i w:val="false"/>
          <w:caps w:val="false"/>
          <w:smallCaps w:val="false"/>
          <w:color w:val="000000"/>
          <w:sz w:val="16"/>
        </w:rPr>
        <w:t>​</w:t>
      </w:r>
      <w:bookmarkStart w:id="26" w:name="tOTMA"/>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Householding of Proxy Materials; Availability of Annual Report</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SEC has adopted rules that permit companies and intermediaries (e.g., brokers) to satisfy the delivery requirements for Proxy Availability Notice or other proxy materials with respect to two or more stockholders sharing the same address by delivering a single Proxy Availability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year, a number of brokers with account holders who are our stockholders will be “householding” our proxy materials. A Proxy Availability Notice or proxy materials will be delivered in a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Availability Notice or proxy materials, please notify your broker, bank or other institution where you hold your shares. Stockholders who currently receive multiple copies of the Proxy Availability Notice or proxy materials at their address and would like to request householding of their communications should contact their broker, bank or other institution where they hold their shares. In addition, we will promptly deliver, upon written or oral request to Lucid Investor Relations at 7373 Gateway Boulevard, Newark, CA 94560, by email: investor@lucidmotors.com, or by telephone: (510) 648-3553, a separate copy of the Proxy Availability Notice or proxy materials to a stockholder at a shared address to which a single copy of the documents was delivered.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copy of our Annual Report on Form 10-K for the year ended December 31, 2024, as filed with the SEC on February 25, 2025, is available without charge upon written request to Investor Relations, Lucid Group, Inc., 7373 Gateway Boulevard, Newark, CA 94560 or by accessing a copy on our website at ir.lucidmotors.com/financials/sec-filings in the Investors section under “SEC Filings.” Information on or accessible through our website is not incorporated by reference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440" w:before="132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Other Matters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40" w:before="4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AN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righ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Annex A​</w:t>
      </w:r>
    </w:p>
    <w:p>
      <w:pPr>
        <w:pStyle w:val="TextBody"/>
        <w:bidi w:val="0"/>
        <w:spacing w:lineRule="atLeast" w:line="440" w:before="528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 xml:space="preserve">LUCID GROUP, INC. </w:t>
        <w:br/>
        <w:t xml:space="preserve">AMENDED AND RESTATED 2021 STOCK </w:t>
        <w:br/>
        <w:t>INCENTIVE PLAN</w:t>
      </w:r>
      <w:r>
        <w:rPr>
          <w:rFonts w:ascii="Times New Roman;Times;serif" w:hAnsi="Times New Roman;Times;serif"/>
          <w:b w:val="false"/>
          <w:i w:val="false"/>
          <w:caps w:val="false"/>
          <w:smallCaps w:val="false"/>
          <w:color w:val="000000"/>
          <w:spacing w:val="8"/>
          <w:sz w:val="40"/>
        </w:rPr>
        <w:t xml:space="preserve"> </w:t>
      </w:r>
    </w:p>
    <w:tbl>
      <w:tblPr>
        <w:tblW w:w="2811" w:type="dxa"/>
        <w:jc w:val="left"/>
        <w:tblInd w:w="720" w:type="dxa"/>
        <w:tblLayout w:type="fixed"/>
        <w:tblCellMar>
          <w:top w:w="0" w:type="dxa"/>
          <w:left w:w="0" w:type="dxa"/>
          <w:bottom w:w="0" w:type="dxa"/>
          <w:right w:w="0" w:type="dxa"/>
        </w:tblCellMar>
      </w:tblPr>
      <w:tblGrid>
        <w:gridCol w:w="124"/>
        <w:gridCol w:w="220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OC3"/>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T</w:t>
      </w:r>
      <w:r>
        <w:rPr>
          <w:rFonts w:ascii="Times New Roman;Times;serif" w:hAnsi="Times New Roman;Times;serif"/>
          <w:b w:val="false"/>
          <w:i w:val="false"/>
          <w:caps w:val="false"/>
          <w:smallCaps w:val="false"/>
          <w:color w:val="000000"/>
          <w:sz w:val="40"/>
        </w:rPr>
        <w:t>ABLE OF</w:t>
      </w:r>
      <w:r>
        <w:rPr>
          <w:rFonts w:ascii="Times New Roman;Times;serif" w:hAnsi="Times New Roman;Times;serif"/>
          <w:b w:val="false"/>
          <w:i w:val="false"/>
          <w:caps w:val="false"/>
          <w:smallCaps w:val="false"/>
          <w:color w:val="000000"/>
          <w:sz w:val="40"/>
        </w:rPr>
        <w:t xml:space="preserve"> C</w:t>
      </w:r>
      <w:r>
        <w:rPr>
          <w:rFonts w:ascii="Times New Roman;Times;serif" w:hAnsi="Times New Roman;Times;serif"/>
          <w:b w:val="false"/>
          <w:i w:val="false"/>
          <w:caps w:val="false"/>
          <w:smallCaps w:val="false"/>
          <w:color w:val="000000"/>
          <w:sz w:val="40"/>
        </w:rPr>
        <w:t>ONTENTS</w:t>
      </w:r>
      <w:r>
        <w:rPr>
          <w:rFonts w:ascii="Times New Roman;Times;serif" w:hAnsi="Times New Roman;Times;serif"/>
          <w:b w:val="false"/>
          <w:i w:val="false"/>
          <w:caps w:val="false"/>
          <w:smallCaps w:val="false"/>
          <w:color w:val="000000"/>
          <w:spacing w:val="8"/>
          <w:sz w:val="40"/>
        </w:rPr>
        <w:t xml:space="preserve"> </w:t>
      </w:r>
    </w:p>
    <w:tbl>
      <w:tblPr>
        <w:tblW w:w="9485" w:type="dxa"/>
        <w:jc w:val="left"/>
        <w:tblInd w:w="720" w:type="dxa"/>
        <w:tblLayout w:type="fixed"/>
        <w:tblCellMar>
          <w:top w:w="0" w:type="dxa"/>
          <w:left w:w="0" w:type="dxa"/>
          <w:bottom w:w="28" w:type="dxa"/>
          <w:right w:w="0" w:type="dxa"/>
        </w:tblCellMar>
      </w:tblPr>
      <w:tblGrid>
        <w:gridCol w:w="8258"/>
        <w:gridCol w:w="109"/>
        <w:gridCol w:w="109"/>
        <w:gridCol w:w="109"/>
        <w:gridCol w:w="109"/>
        <w:gridCol w:w="527"/>
        <w:gridCol w:w="109"/>
        <w:gridCol w:w="155"/>
      </w:tblGrid>
      <w:tr>
        <w:trPr/>
        <w:tc>
          <w:tcPr>
            <w:tcW w:w="825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854"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5" w:type="dxa"/>
            <w:tcBorders>
              <w:bottom w:val="single" w:sz="12" w:space="0" w:color="FFFFFF"/>
            </w:tcBorders>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before="0" w:after="0"/>
              <w:jc w:val="left"/>
              <w:rPr/>
            </w:pPr>
            <w:hyperlink w:anchor="tS1AP">
              <w:r>
                <w:rPr>
                  <w:rStyle w:val="InternetLink"/>
                </w:rPr>
                <w:t>SECTION 1.    ESTABLISHMENT AND PURPOSE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S1AP">
              <w:r>
                <w:rPr>
                  <w:rStyle w:val="InternetLink"/>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before="0" w:after="0"/>
              <w:jc w:val="left"/>
              <w:rPr/>
            </w:pPr>
            <w:hyperlink w:anchor="tSE2D">
              <w:r>
                <w:rPr>
                  <w:rStyle w:val="InternetLink"/>
                </w:rPr>
                <w:t>SECTION 2.    DEFINITIONS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SE2D">
              <w:r>
                <w:rPr>
                  <w:rStyle w:val="InternetLink"/>
                </w:rPr>
                <w:t>A-1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before="0" w:after="0"/>
              <w:jc w:val="left"/>
              <w:rPr/>
            </w:pPr>
            <w:hyperlink w:anchor="tSE3A">
              <w:r>
                <w:rPr>
                  <w:rStyle w:val="InternetLink"/>
                </w:rPr>
                <w:t>SECTION 3.    ADMINISTRATION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SE3A">
              <w:r>
                <w:rPr>
                  <w:rStyle w:val="InternetLink"/>
                </w:rPr>
                <w:t>A-5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ACTP">
              <w:r>
                <w:rPr>
                  <w:rStyle w:val="InternetLink"/>
                </w:rPr>
                <w:t xml:space="preserve">Committee Composition </w:t>
              </w:r>
            </w:hyperlink>
            <w:r>
              <mc:AlternateContent>
                <mc:Choice Requires="wps">
                  <w:drawing>
                    <wp:anchor behindDoc="0" distT="0" distB="0" distL="114300" distR="0" simplePos="0" locked="0" layoutInCell="1" allowOverlap="1" relativeHeight="310">
                      <wp:simplePos x="0" y="0"/>
                      <wp:positionH relativeFrom="column">
                        <wp:align>left</wp:align>
                      </wp:positionH>
                      <wp:positionV relativeFrom="line">
                        <wp:posOffset>635</wp:posOffset>
                      </wp:positionV>
                      <wp:extent cx="317500" cy="350520"/>
                      <wp:effectExtent l="0" t="0" r="0" b="0"/>
                      <wp:wrapSquare wrapText="right"/>
                      <wp:docPr id="315" name="Frame24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CTP">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CTP">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C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ACTP">
              <w:r>
                <w:rPr>
                  <w:rStyle w:val="InternetLink"/>
                </w:rPr>
                <w:t xml:space="preserve">A-5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ATB">
              <w:r>
                <w:rPr>
                  <w:rStyle w:val="InternetLink"/>
                </w:rPr>
                <w:t xml:space="preserve">Committee Appointment </w:t>
              </w:r>
            </w:hyperlink>
            <w:r>
              <mc:AlternateContent>
                <mc:Choice Requires="wps">
                  <w:drawing>
                    <wp:anchor behindDoc="0" distT="0" distB="0" distL="114300" distR="0" simplePos="0" locked="0" layoutInCell="1" allowOverlap="1" relativeHeight="311">
                      <wp:simplePos x="0" y="0"/>
                      <wp:positionH relativeFrom="column">
                        <wp:align>left</wp:align>
                      </wp:positionH>
                      <wp:positionV relativeFrom="line">
                        <wp:posOffset>635</wp:posOffset>
                      </wp:positionV>
                      <wp:extent cx="317500" cy="350520"/>
                      <wp:effectExtent l="0" t="0" r="0" b="0"/>
                      <wp:wrapSquare wrapText="right"/>
                      <wp:docPr id="316" name="Frame24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ATB">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ATB">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AT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BATB">
              <w:r>
                <w:rPr>
                  <w:rStyle w:val="InternetLink"/>
                </w:rPr>
                <w:t xml:space="preserve">A-5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CRST">
              <w:r>
                <w:rPr>
                  <w:rStyle w:val="InternetLink"/>
                </w:rPr>
                <w:t xml:space="preserve">Committee Responsibilities </w:t>
              </w:r>
            </w:hyperlink>
            <w:r>
              <mc:AlternateContent>
                <mc:Choice Requires="wps">
                  <w:drawing>
                    <wp:anchor behindDoc="0" distT="0" distB="0" distL="114300" distR="0" simplePos="0" locked="0" layoutInCell="1" allowOverlap="1" relativeHeight="312">
                      <wp:simplePos x="0" y="0"/>
                      <wp:positionH relativeFrom="column">
                        <wp:align>left</wp:align>
                      </wp:positionH>
                      <wp:positionV relativeFrom="line">
                        <wp:posOffset>635</wp:posOffset>
                      </wp:positionV>
                      <wp:extent cx="317500" cy="350520"/>
                      <wp:effectExtent l="0" t="0" r="0" b="0"/>
                      <wp:wrapSquare wrapText="right"/>
                      <wp:docPr id="317" name="Frame24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RST">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RST">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R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CRST">
              <w:r>
                <w:rPr>
                  <w:rStyle w:val="InternetLink"/>
                </w:rPr>
                <w:t xml:space="preserve">A-5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before="0" w:after="0"/>
              <w:jc w:val="left"/>
              <w:rPr/>
            </w:pPr>
            <w:hyperlink w:anchor="tSE4E">
              <w:r>
                <w:rPr>
                  <w:rStyle w:val="InternetLink"/>
                </w:rPr>
                <w:t>SECTION 4.    ELIGIBILITY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SE4E">
              <w:r>
                <w:rPr>
                  <w:rStyle w:val="InternetLink"/>
                </w:rPr>
                <w:t>A-6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AROE">
              <w:r>
                <w:rPr>
                  <w:rStyle w:val="InternetLink"/>
                </w:rPr>
                <w:t xml:space="preserve">General Rule </w:t>
              </w:r>
            </w:hyperlink>
            <w:r>
              <mc:AlternateContent>
                <mc:Choice Requires="wps">
                  <w:drawing>
                    <wp:anchor behindDoc="0" distT="0" distB="0" distL="114300" distR="0" simplePos="0" locked="0" layoutInCell="1" allowOverlap="1" relativeHeight="313">
                      <wp:simplePos x="0" y="0"/>
                      <wp:positionH relativeFrom="column">
                        <wp:align>left</wp:align>
                      </wp:positionH>
                      <wp:positionV relativeFrom="line">
                        <wp:posOffset>635</wp:posOffset>
                      </wp:positionV>
                      <wp:extent cx="317500" cy="350520"/>
                      <wp:effectExtent l="0" t="0" r="0" b="0"/>
                      <wp:wrapSquare wrapText="right"/>
                      <wp:docPr id="318" name="Frame24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RO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RO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RO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AROE">
              <w:r>
                <w:rPr>
                  <w:rStyle w:val="InternetLink"/>
                </w:rPr>
                <w:t xml:space="preserve">A-6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SAE">
              <w:r>
                <w:rPr>
                  <w:rStyle w:val="InternetLink"/>
                </w:rPr>
                <w:t xml:space="preserve">Ten-Percent Stockholders </w:t>
              </w:r>
            </w:hyperlink>
            <w:r>
              <mc:AlternateContent>
                <mc:Choice Requires="wps">
                  <w:drawing>
                    <wp:anchor behindDoc="0" distT="0" distB="0" distL="114300" distR="0" simplePos="0" locked="0" layoutInCell="1" allowOverlap="1" relativeHeight="314">
                      <wp:simplePos x="0" y="0"/>
                      <wp:positionH relativeFrom="column">
                        <wp:align>left</wp:align>
                      </wp:positionH>
                      <wp:positionV relativeFrom="line">
                        <wp:posOffset>635</wp:posOffset>
                      </wp:positionV>
                      <wp:extent cx="317500" cy="350520"/>
                      <wp:effectExtent l="0" t="0" r="0" b="0"/>
                      <wp:wrapSquare wrapText="right"/>
                      <wp:docPr id="319" name="Frame25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SAE">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SAE">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S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BSAE">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CRFP">
              <w:r>
                <w:rPr>
                  <w:rStyle w:val="InternetLink"/>
                </w:rPr>
                <w:t xml:space="preserve">Attribution Rules </w:t>
              </w:r>
            </w:hyperlink>
            <w:r>
              <mc:AlternateContent>
                <mc:Choice Requires="wps">
                  <w:drawing>
                    <wp:anchor behindDoc="0" distT="0" distB="0" distL="114300" distR="0" simplePos="0" locked="0" layoutInCell="1" allowOverlap="1" relativeHeight="315">
                      <wp:simplePos x="0" y="0"/>
                      <wp:positionH relativeFrom="column">
                        <wp:align>left</wp:align>
                      </wp:positionH>
                      <wp:positionV relativeFrom="line">
                        <wp:posOffset>635</wp:posOffset>
                      </wp:positionV>
                      <wp:extent cx="317500" cy="350520"/>
                      <wp:effectExtent l="0" t="0" r="0" b="0"/>
                      <wp:wrapSquare wrapText="right"/>
                      <wp:docPr id="320" name="Frame25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RFP">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RFP">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RF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CRFP">
              <w:r>
                <w:rPr>
                  <w:rStyle w:val="InternetLink"/>
                </w:rPr>
                <w:t xml:space="preserve">A-6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SFP">
              <w:r>
                <w:rPr>
                  <w:rStyle w:val="InternetLink"/>
                </w:rPr>
                <w:t xml:space="preserve">Outstanding Stock </w:t>
              </w:r>
            </w:hyperlink>
            <w:r>
              <mc:AlternateContent>
                <mc:Choice Requires="wps">
                  <w:drawing>
                    <wp:anchor behindDoc="0" distT="0" distB="0" distL="114300" distR="0" simplePos="0" locked="0" layoutInCell="1" allowOverlap="1" relativeHeight="316">
                      <wp:simplePos x="0" y="0"/>
                      <wp:positionH relativeFrom="column">
                        <wp:align>left</wp:align>
                      </wp:positionH>
                      <wp:positionV relativeFrom="line">
                        <wp:posOffset>635</wp:posOffset>
                      </wp:positionV>
                      <wp:extent cx="317500" cy="350520"/>
                      <wp:effectExtent l="0" t="0" r="0" b="0"/>
                      <wp:wrapSquare wrapText="right"/>
                      <wp:docPr id="321" name="Frame25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SFP">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SFP">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SF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DSFP">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before="0" w:after="0"/>
              <w:jc w:val="left"/>
              <w:rPr/>
            </w:pPr>
            <w:hyperlink w:anchor="tS5ST">
              <w:r>
                <w:rPr>
                  <w:rStyle w:val="InternetLink"/>
                </w:rPr>
                <w:t>SECTION 5.    STOCK SUBJECT TO PLAN; DIRECTOR COMPENSATION LIMIT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S5ST">
              <w:r>
                <w:rPr>
                  <w:rStyle w:val="InternetLink"/>
                </w:rPr>
                <w:t>A-6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LSO">
              <w:r>
                <w:rPr>
                  <w:rStyle w:val="InternetLink"/>
                </w:rPr>
                <w:t xml:space="preserve">Basic Limitation </w:t>
              </w:r>
            </w:hyperlink>
            <w:r>
              <mc:AlternateContent>
                <mc:Choice Requires="wps">
                  <w:drawing>
                    <wp:anchor behindDoc="0" distT="0" distB="0" distL="114300" distR="0" simplePos="0" locked="0" layoutInCell="1" allowOverlap="1" relativeHeight="317">
                      <wp:simplePos x="0" y="0"/>
                      <wp:positionH relativeFrom="column">
                        <wp:align>left</wp:align>
                      </wp:positionH>
                      <wp:positionV relativeFrom="line">
                        <wp:posOffset>635</wp:posOffset>
                      </wp:positionV>
                      <wp:extent cx="317500" cy="350520"/>
                      <wp:effectExtent l="0" t="0" r="0" b="0"/>
                      <wp:wrapSquare wrapText="right"/>
                      <wp:docPr id="322" name="Frame25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LSO">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LSO">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LS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ALSO">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BSIR">
              <w:r>
                <w:rPr>
                  <w:rStyle w:val="InternetLink"/>
                </w:rPr>
                <w:t xml:space="preserve">Additional Shares </w:t>
              </w:r>
            </w:hyperlink>
            <w:r>
              <mc:AlternateContent>
                <mc:Choice Requires="wps">
                  <w:drawing>
                    <wp:anchor behindDoc="0" distT="0" distB="0" distL="114300" distR="0" simplePos="0" locked="0" layoutInCell="1" allowOverlap="1" relativeHeight="318">
                      <wp:simplePos x="0" y="0"/>
                      <wp:positionH relativeFrom="column">
                        <wp:align>left</wp:align>
                      </wp:positionH>
                      <wp:positionV relativeFrom="line">
                        <wp:posOffset>635</wp:posOffset>
                      </wp:positionV>
                      <wp:extent cx="317500" cy="350520"/>
                      <wp:effectExtent l="0" t="0" r="0" b="0"/>
                      <wp:wrapSquare wrapText="right"/>
                      <wp:docPr id="323" name="Frame25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SIR">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SIR">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SI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BSIR">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AAO">
              <w:r>
                <w:rPr>
                  <w:rStyle w:val="InternetLink"/>
                </w:rPr>
                <w:t xml:space="preserve">Substitution and Assumption of Awards </w:t>
              </w:r>
            </w:hyperlink>
            <w:r>
              <mc:AlternateContent>
                <mc:Choice Requires="wps">
                  <w:drawing>
                    <wp:anchor behindDoc="0" distT="0" distB="0" distL="114300" distR="0" simplePos="0" locked="0" layoutInCell="1" allowOverlap="1" relativeHeight="319">
                      <wp:simplePos x="0" y="0"/>
                      <wp:positionH relativeFrom="column">
                        <wp:align>left</wp:align>
                      </wp:positionH>
                      <wp:positionV relativeFrom="line">
                        <wp:posOffset>635</wp:posOffset>
                      </wp:positionV>
                      <wp:extent cx="317500" cy="350520"/>
                      <wp:effectExtent l="0" t="0" r="0" b="0"/>
                      <wp:wrapSquare wrapText="right"/>
                      <wp:docPr id="324" name="Frame25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AA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AA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A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CAAO">
              <w:r>
                <w:rPr>
                  <w:rStyle w:val="InternetLink"/>
                </w:rPr>
                <w:t xml:space="preserve">A-7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DDCL">
              <w:r>
                <w:rPr>
                  <w:rStyle w:val="InternetLink"/>
                </w:rPr>
                <w:t xml:space="preserve">Outside Director Compensation Limit </w:t>
              </w:r>
            </w:hyperlink>
            <w:r>
              <mc:AlternateContent>
                <mc:Choice Requires="wps">
                  <w:drawing>
                    <wp:anchor behindDoc="0" distT="0" distB="0" distL="114300" distR="0" simplePos="0" locked="0" layoutInCell="1" allowOverlap="1" relativeHeight="320">
                      <wp:simplePos x="0" y="0"/>
                      <wp:positionH relativeFrom="column">
                        <wp:align>left</wp:align>
                      </wp:positionH>
                      <wp:positionV relativeFrom="line">
                        <wp:posOffset>635</wp:posOffset>
                      </wp:positionV>
                      <wp:extent cx="317500" cy="350520"/>
                      <wp:effectExtent l="0" t="0" r="0" b="0"/>
                      <wp:wrapSquare wrapText="right"/>
                      <wp:docPr id="325" name="Frame25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DCL">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DCL">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DC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DDCL">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RNA">
              <w:r>
                <w:rPr>
                  <w:rStyle w:val="InternetLink"/>
                </w:rPr>
                <w:t xml:space="preserve">No Repricing </w:t>
              </w:r>
            </w:hyperlink>
            <w:r>
              <mc:AlternateContent>
                <mc:Choice Requires="wps">
                  <w:drawing>
                    <wp:anchor behindDoc="0" distT="0" distB="0" distL="114300" distR="0" simplePos="0" locked="0" layoutInCell="1" allowOverlap="1" relativeHeight="321">
                      <wp:simplePos x="0" y="0"/>
                      <wp:positionH relativeFrom="column">
                        <wp:align>left</wp:align>
                      </wp:positionH>
                      <wp:positionV relativeFrom="line">
                        <wp:posOffset>635</wp:posOffset>
                      </wp:positionV>
                      <wp:extent cx="317500" cy="350520"/>
                      <wp:effectExtent l="0" t="0" r="0" b="0"/>
                      <wp:wrapSquare wrapText="right"/>
                      <wp:docPr id="326" name="Frame25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RNA">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RNA">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R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ERNA">
              <w:r>
                <w:rPr>
                  <w:rStyle w:val="InternetLink"/>
                </w:rPr>
                <w:t xml:space="preserve">A-7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FODO">
              <w:r>
                <w:rPr>
                  <w:rStyle w:val="InternetLink"/>
                </w:rPr>
                <w:t xml:space="preserve">Prohibition on Dividends on Unvested Awards </w:t>
              </w:r>
            </w:hyperlink>
            <w:r>
              <mc:AlternateContent>
                <mc:Choice Requires="wps">
                  <w:drawing>
                    <wp:anchor behindDoc="0" distT="0" distB="0" distL="114300" distR="0" simplePos="0" locked="0" layoutInCell="1" allowOverlap="1" relativeHeight="322">
                      <wp:simplePos x="0" y="0"/>
                      <wp:positionH relativeFrom="column">
                        <wp:align>left</wp:align>
                      </wp:positionH>
                      <wp:positionV relativeFrom="line">
                        <wp:posOffset>635</wp:posOffset>
                      </wp:positionV>
                      <wp:extent cx="317500" cy="350520"/>
                      <wp:effectExtent l="0" t="0" r="0" b="0"/>
                      <wp:wrapSquare wrapText="right"/>
                      <wp:docPr id="327" name="Frame25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ODO">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ODO">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OD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FODO">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before="0" w:after="0"/>
              <w:jc w:val="left"/>
              <w:rPr/>
            </w:pPr>
            <w:hyperlink w:anchor="tS6S">
              <w:r>
                <w:rPr>
                  <w:rStyle w:val="InternetLink"/>
                </w:rPr>
                <w:t>SECTION 6.    RESTRICTED SHARES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S6S">
              <w:r>
                <w:rPr>
                  <w:rStyle w:val="InternetLink"/>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ASAA">
              <w:r>
                <w:rPr>
                  <w:rStyle w:val="InternetLink"/>
                </w:rPr>
                <w:t xml:space="preserve">Restricted Share Award Agreement </w:t>
              </w:r>
            </w:hyperlink>
            <w:r>
              <mc:AlternateContent>
                <mc:Choice Requires="wps">
                  <w:drawing>
                    <wp:anchor behindDoc="0" distT="0" distB="0" distL="114300" distR="0" simplePos="0" locked="0" layoutInCell="1" allowOverlap="1" relativeHeight="323">
                      <wp:simplePos x="0" y="0"/>
                      <wp:positionH relativeFrom="column">
                        <wp:align>left</wp:align>
                      </wp:positionH>
                      <wp:positionV relativeFrom="line">
                        <wp:posOffset>635</wp:posOffset>
                      </wp:positionV>
                      <wp:extent cx="317500" cy="350520"/>
                      <wp:effectExtent l="0" t="0" r="0" b="0"/>
                      <wp:wrapSquare wrapText="right"/>
                      <wp:docPr id="328" name="Frame25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SAA">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SAA">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S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ASAA">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FAR">
              <w:r>
                <w:rPr>
                  <w:rStyle w:val="InternetLink"/>
                </w:rPr>
                <w:t xml:space="preserve">Payment for Awards </w:t>
              </w:r>
            </w:hyperlink>
            <w:r>
              <mc:AlternateContent>
                <mc:Choice Requires="wps">
                  <w:drawing>
                    <wp:anchor behindDoc="0" distT="0" distB="0" distL="114300" distR="0" simplePos="0" locked="0" layoutInCell="1" allowOverlap="1" relativeHeight="324">
                      <wp:simplePos x="0" y="0"/>
                      <wp:positionH relativeFrom="column">
                        <wp:align>left</wp:align>
                      </wp:positionH>
                      <wp:positionV relativeFrom="line">
                        <wp:posOffset>635</wp:posOffset>
                      </wp:positionV>
                      <wp:extent cx="317500" cy="350520"/>
                      <wp:effectExtent l="0" t="0" r="0" b="0"/>
                      <wp:wrapSquare wrapText="right"/>
                      <wp:docPr id="329" name="Frame26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FAR">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FAR">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F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BFAR">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CEAO">
              <w:r>
                <w:rPr>
                  <w:rStyle w:val="InternetLink"/>
                </w:rPr>
                <w:t xml:space="preserve">Vesting </w:t>
              </w:r>
            </w:hyperlink>
            <w:r>
              <mc:AlternateContent>
                <mc:Choice Requires="wps">
                  <w:drawing>
                    <wp:anchor behindDoc="0" distT="0" distB="0" distL="114300" distR="0" simplePos="0" locked="0" layoutInCell="1" allowOverlap="1" relativeHeight="325">
                      <wp:simplePos x="0" y="0"/>
                      <wp:positionH relativeFrom="column">
                        <wp:align>left</wp:align>
                      </wp:positionH>
                      <wp:positionV relativeFrom="line">
                        <wp:posOffset>635</wp:posOffset>
                      </wp:positionV>
                      <wp:extent cx="317500" cy="350520"/>
                      <wp:effectExtent l="0" t="0" r="0" b="0"/>
                      <wp:wrapSquare wrapText="right"/>
                      <wp:docPr id="330" name="Frame26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EA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EA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E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CEAO">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ADR">
              <w:r>
                <w:rPr>
                  <w:rStyle w:val="InternetLink"/>
                </w:rPr>
                <w:t xml:space="preserve">Voting and Dividend Rights </w:t>
              </w:r>
            </w:hyperlink>
            <w:r>
              <mc:AlternateContent>
                <mc:Choice Requires="wps">
                  <w:drawing>
                    <wp:anchor behindDoc="0" distT="0" distB="0" distL="114300" distR="0" simplePos="0" locked="0" layoutInCell="1" allowOverlap="1" relativeHeight="326">
                      <wp:simplePos x="0" y="0"/>
                      <wp:positionH relativeFrom="column">
                        <wp:align>left</wp:align>
                      </wp:positionH>
                      <wp:positionV relativeFrom="line">
                        <wp:posOffset>635</wp:posOffset>
                      </wp:positionV>
                      <wp:extent cx="317500" cy="350520"/>
                      <wp:effectExtent l="0" t="0" r="0" b="0"/>
                      <wp:wrapSquare wrapText="right"/>
                      <wp:docPr id="331" name="Frame26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ADR">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ADR">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AD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DADR">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EOTO">
              <w:r>
                <w:rPr>
                  <w:rStyle w:val="InternetLink"/>
                </w:rPr>
                <w:t xml:space="preserve">Restrictions on Transfer of Shares </w:t>
              </w:r>
            </w:hyperlink>
            <w:r>
              <mc:AlternateContent>
                <mc:Choice Requires="wps">
                  <w:drawing>
                    <wp:anchor behindDoc="0" distT="0" distB="0" distL="114300" distR="0" simplePos="0" locked="0" layoutInCell="1" allowOverlap="1" relativeHeight="327">
                      <wp:simplePos x="0" y="0"/>
                      <wp:positionH relativeFrom="column">
                        <wp:align>left</wp:align>
                      </wp:positionH>
                      <wp:positionV relativeFrom="line">
                        <wp:posOffset>635</wp:posOffset>
                      </wp:positionV>
                      <wp:extent cx="317500" cy="350520"/>
                      <wp:effectExtent l="0" t="0" r="0" b="0"/>
                      <wp:wrapSquare wrapText="right"/>
                      <wp:docPr id="332" name="Frame26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OTO">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OTO">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O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EOTO">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before="0" w:after="0"/>
              <w:jc w:val="left"/>
              <w:rPr/>
            </w:pPr>
            <w:hyperlink w:anchor="tS7AC">
              <w:r>
                <w:rPr>
                  <w:rStyle w:val="InternetLink"/>
                </w:rPr>
                <w:t>SECTION 7.    TERMS AND CONDITIONS OF OPTIONS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S7AC">
              <w:r>
                <w:rPr>
                  <w:rStyle w:val="InternetLink"/>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AAAE">
              <w:r>
                <w:rPr>
                  <w:rStyle w:val="InternetLink"/>
                </w:rPr>
                <w:t xml:space="preserve">Option Award Agreement </w:t>
              </w:r>
            </w:hyperlink>
            <w:r>
              <mc:AlternateContent>
                <mc:Choice Requires="wps">
                  <w:drawing>
                    <wp:anchor behindDoc="0" distT="0" distB="0" distL="114300" distR="0" simplePos="0" locked="0" layoutInCell="1" allowOverlap="1" relativeHeight="328">
                      <wp:simplePos x="0" y="0"/>
                      <wp:positionH relativeFrom="column">
                        <wp:align>left</wp:align>
                      </wp:positionH>
                      <wp:positionV relativeFrom="line">
                        <wp:posOffset>635</wp:posOffset>
                      </wp:positionV>
                      <wp:extent cx="317500" cy="350520"/>
                      <wp:effectExtent l="0" t="0" r="0" b="0"/>
                      <wp:wrapSquare wrapText="right"/>
                      <wp:docPr id="333" name="Frame26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AA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AA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A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AAAE">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OSE">
              <w:r>
                <w:rPr>
                  <w:rStyle w:val="InternetLink"/>
                </w:rPr>
                <w:t xml:space="preserve">Number of Shares </w:t>
              </w:r>
            </w:hyperlink>
            <w:r>
              <mc:AlternateContent>
                <mc:Choice Requires="wps">
                  <w:drawing>
                    <wp:anchor behindDoc="0" distT="0" distB="0" distL="114300" distR="0" simplePos="0" locked="0" layoutInCell="1" allowOverlap="1" relativeHeight="329">
                      <wp:simplePos x="0" y="0"/>
                      <wp:positionH relativeFrom="column">
                        <wp:align>left</wp:align>
                      </wp:positionH>
                      <wp:positionV relativeFrom="line">
                        <wp:posOffset>635</wp:posOffset>
                      </wp:positionV>
                      <wp:extent cx="317500" cy="350520"/>
                      <wp:effectExtent l="0" t="0" r="0" b="0"/>
                      <wp:wrapSquare wrapText="right"/>
                      <wp:docPr id="334" name="Frame26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SE">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SE">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BOSE">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CPEO">
              <w:r>
                <w:rPr>
                  <w:rStyle w:val="InternetLink"/>
                </w:rPr>
                <w:t xml:space="preserve">Exercise Price </w:t>
              </w:r>
            </w:hyperlink>
            <w:r>
              <mc:AlternateContent>
                <mc:Choice Requires="wps">
                  <w:drawing>
                    <wp:anchor behindDoc="0" distT="0" distB="0" distL="114300" distR="0" simplePos="0" locked="0" layoutInCell="1" allowOverlap="1" relativeHeight="330">
                      <wp:simplePos x="0" y="0"/>
                      <wp:positionH relativeFrom="column">
                        <wp:align>left</wp:align>
                      </wp:positionH>
                      <wp:positionV relativeFrom="line">
                        <wp:posOffset>635</wp:posOffset>
                      </wp:positionV>
                      <wp:extent cx="317500" cy="350520"/>
                      <wp:effectExtent l="0" t="0" r="0" b="0"/>
                      <wp:wrapSquare wrapText="right"/>
                      <wp:docPr id="335" name="Frame26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PE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PE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P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CPEO">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TAA">
              <w:r>
                <w:rPr>
                  <w:rStyle w:val="InternetLink"/>
                </w:rPr>
                <w:t xml:space="preserve">Withholding Taxes </w:t>
              </w:r>
            </w:hyperlink>
            <w:r>
              <mc:AlternateContent>
                <mc:Choice Requires="wps">
                  <w:drawing>
                    <wp:anchor behindDoc="0" distT="0" distB="0" distL="114300" distR="0" simplePos="0" locked="0" layoutInCell="1" allowOverlap="1" relativeHeight="331">
                      <wp:simplePos x="0" y="0"/>
                      <wp:positionH relativeFrom="column">
                        <wp:align>left</wp:align>
                      </wp:positionH>
                      <wp:positionV relativeFrom="line">
                        <wp:posOffset>635</wp:posOffset>
                      </wp:positionV>
                      <wp:extent cx="317500" cy="350520"/>
                      <wp:effectExtent l="0" t="0" r="0" b="0"/>
                      <wp:wrapSquare wrapText="right"/>
                      <wp:docPr id="336" name="Frame26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TAA">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TAA">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T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DTAA">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EATE">
              <w:r>
                <w:rPr>
                  <w:rStyle w:val="InternetLink"/>
                </w:rPr>
                <w:t xml:space="preserve">Exercisability and Term </w:t>
              </w:r>
            </w:hyperlink>
            <w:r>
              <mc:AlternateContent>
                <mc:Choice Requires="wps">
                  <w:drawing>
                    <wp:anchor behindDoc="0" distT="0" distB="0" distL="114300" distR="0" simplePos="0" locked="0" layoutInCell="1" allowOverlap="1" relativeHeight="332">
                      <wp:simplePos x="0" y="0"/>
                      <wp:positionH relativeFrom="column">
                        <wp:align>left</wp:align>
                      </wp:positionH>
                      <wp:positionV relativeFrom="line">
                        <wp:posOffset>635</wp:posOffset>
                      </wp:positionV>
                      <wp:extent cx="317500" cy="350520"/>
                      <wp:effectExtent l="0" t="0" r="0" b="0"/>
                      <wp:wrapSquare wrapText="right"/>
                      <wp:docPr id="337" name="Frame26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ATE">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ATE">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A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EATE">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FOOE">
              <w:r>
                <w:rPr>
                  <w:rStyle w:val="InternetLink"/>
                </w:rPr>
                <w:t xml:space="preserve">Exercise of Options </w:t>
              </w:r>
            </w:hyperlink>
            <w:r>
              <mc:AlternateContent>
                <mc:Choice Requires="wps">
                  <w:drawing>
                    <wp:anchor behindDoc="0" distT="0" distB="0" distL="114300" distR="0" simplePos="0" locked="0" layoutInCell="1" allowOverlap="1" relativeHeight="333">
                      <wp:simplePos x="0" y="0"/>
                      <wp:positionH relativeFrom="column">
                        <wp:align>left</wp:align>
                      </wp:positionH>
                      <wp:positionV relativeFrom="line">
                        <wp:posOffset>635</wp:posOffset>
                      </wp:positionV>
                      <wp:extent cx="317500" cy="350520"/>
                      <wp:effectExtent l="0" t="0" r="0" b="0"/>
                      <wp:wrapSquare wrapText="right"/>
                      <wp:docPr id="338" name="Frame26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OOE">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OOE">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OO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FOOE">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GRAA">
              <w:r>
                <w:rPr>
                  <w:rStyle w:val="InternetLink"/>
                </w:rPr>
                <w:t xml:space="preserve">No Rights as a Stockholder </w:t>
              </w:r>
            </w:hyperlink>
            <w:r>
              <mc:AlternateContent>
                <mc:Choice Requires="wps">
                  <w:drawing>
                    <wp:anchor behindDoc="0" distT="0" distB="0" distL="114300" distR="0" simplePos="0" locked="0" layoutInCell="1" allowOverlap="1" relativeHeight="334">
                      <wp:simplePos x="0" y="0"/>
                      <wp:positionH relativeFrom="column">
                        <wp:align>left</wp:align>
                      </wp:positionH>
                      <wp:positionV relativeFrom="line">
                        <wp:posOffset>635</wp:posOffset>
                      </wp:positionV>
                      <wp:extent cx="317500" cy="350520"/>
                      <wp:effectExtent l="0" t="0" r="0" b="0"/>
                      <wp:wrapSquare wrapText="right"/>
                      <wp:docPr id="339" name="Frame27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RAA">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RAA">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R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GRAA">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HEAR">
              <w:r>
                <w:rPr>
                  <w:rStyle w:val="InternetLink"/>
                </w:rPr>
                <w:t xml:space="preserve">Modification, Extension and Renewal of Options </w:t>
              </w:r>
            </w:hyperlink>
            <w:r>
              <mc:AlternateContent>
                <mc:Choice Requires="wps">
                  <w:drawing>
                    <wp:anchor behindDoc="0" distT="0" distB="0" distL="114300" distR="0" simplePos="0" locked="0" layoutInCell="1" allowOverlap="1" relativeHeight="335">
                      <wp:simplePos x="0" y="0"/>
                      <wp:positionH relativeFrom="column">
                        <wp:align>left</wp:align>
                      </wp:positionH>
                      <wp:positionV relativeFrom="line">
                        <wp:posOffset>635</wp:posOffset>
                      </wp:positionV>
                      <wp:extent cx="317500" cy="350520"/>
                      <wp:effectExtent l="0" t="0" r="0" b="0"/>
                      <wp:wrapSquare wrapText="right"/>
                      <wp:docPr id="340" name="Frame27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EAR">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EAR">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E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HEAR">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IOTO">
              <w:r>
                <w:rPr>
                  <w:rStyle w:val="InternetLink"/>
                </w:rPr>
                <w:t xml:space="preserve">Restrictions on Transfer of Shares </w:t>
              </w:r>
            </w:hyperlink>
            <w:r>
              <mc:AlternateContent>
                <mc:Choice Requires="wps">
                  <w:drawing>
                    <wp:anchor behindDoc="0" distT="0" distB="0" distL="114300" distR="0" simplePos="0" locked="0" layoutInCell="1" allowOverlap="1" relativeHeight="336">
                      <wp:simplePos x="0" y="0"/>
                      <wp:positionH relativeFrom="column">
                        <wp:align>left</wp:align>
                      </wp:positionH>
                      <wp:positionV relativeFrom="line">
                        <wp:posOffset>635</wp:posOffset>
                      </wp:positionV>
                      <wp:extent cx="317500" cy="350520"/>
                      <wp:effectExtent l="0" t="0" r="0" b="0"/>
                      <wp:wrapSquare wrapText="right"/>
                      <wp:docPr id="341" name="Frame27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IOTO">
                                    <w:r>
                                      <w:rPr>
                                        <w:rStyle w:val="InternetLink"/>
                                      </w:rPr>
                                      <w:t>(i)</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IOTO">
                              <w:r>
                                <w:rPr>
                                  <w:rStyle w:val="InternetLink"/>
                                </w:rPr>
                                <w:t>(i)</w:t>
                                <w:br/>
                              </w:r>
                            </w:hyperlink>
                          </w:p>
                        </w:txbxContent>
                      </v:textbox>
                      <w10:wrap type="square" side="right"/>
                    </v:rect>
                  </w:pict>
                </mc:Fallback>
              </mc:AlternateContent>
            </w:r>
          </w:p>
          <w:p>
            <w:pPr>
              <w:pStyle w:val="TableContents"/>
              <w:bidi w:val="0"/>
              <w:spacing w:before="0" w:after="0"/>
              <w:ind w:left="0" w:right="0" w:hanging="0"/>
              <w:jc w:val="left"/>
              <w:rPr/>
            </w:pPr>
            <w:hyperlink w:anchor="tIO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IOTO">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8"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JPST">
              <w:r>
                <w:rPr>
                  <w:rStyle w:val="InternetLink"/>
                </w:rPr>
                <w:t xml:space="preserve">Buyout Provisions </w:t>
              </w:r>
            </w:hyperlink>
            <w:r>
              <mc:AlternateContent>
                <mc:Choice Requires="wps">
                  <w:drawing>
                    <wp:anchor behindDoc="0" distT="0" distB="0" distL="114300" distR="0" simplePos="0" locked="0" layoutInCell="1" allowOverlap="1" relativeHeight="337">
                      <wp:simplePos x="0" y="0"/>
                      <wp:positionH relativeFrom="column">
                        <wp:align>left</wp:align>
                      </wp:positionH>
                      <wp:positionV relativeFrom="line">
                        <wp:posOffset>635</wp:posOffset>
                      </wp:positionV>
                      <wp:extent cx="317500" cy="350520"/>
                      <wp:effectExtent l="0" t="0" r="0" b="0"/>
                      <wp:wrapSquare wrapText="right"/>
                      <wp:docPr id="342" name="Frame27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JPST">
                                    <w:r>
                                      <w:rPr>
                                        <w:rStyle w:val="InternetLink"/>
                                      </w:rPr>
                                      <w:t>(j)</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JPST">
                              <w:r>
                                <w:rPr>
                                  <w:rStyle w:val="InternetLink"/>
                                </w:rPr>
                                <w:t>(j)</w:t>
                                <w:br/>
                              </w:r>
                            </w:hyperlink>
                          </w:p>
                        </w:txbxContent>
                      </v:textbox>
                      <w10:wrap type="square" side="right"/>
                    </v:rect>
                  </w:pict>
                </mc:Fallback>
              </mc:AlternateContent>
            </w:r>
          </w:p>
          <w:p>
            <w:pPr>
              <w:pStyle w:val="TableContents"/>
              <w:bidi w:val="0"/>
              <w:spacing w:before="0" w:after="0"/>
              <w:ind w:left="0" w:right="0" w:hanging="0"/>
              <w:jc w:val="left"/>
              <w:rPr/>
            </w:pPr>
            <w:hyperlink w:anchor="tJP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hyperlink w:anchor="tJPST">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8" w:type="dxa"/>
            <w:tcBorders/>
            <w:tcMar>
              <w:bottom w:w="0" w:type="dxa"/>
            </w:tcMar>
            <w:vAlign w:val="center"/>
          </w:tcPr>
          <w:p>
            <w:pPr>
              <w:pStyle w:val="TableContents"/>
              <w:bidi w:val="0"/>
              <w:spacing w:lineRule="atLeast" w:line="180" w:before="0" w:after="0"/>
              <w:ind w:left="680" w:right="0" w:hanging="0"/>
              <w:jc w:val="left"/>
              <w:rPr/>
            </w:pPr>
            <w:hyperlink w:anchor="tKDEO">
              <w:r>
                <w:rPr>
                  <w:rStyle w:val="InternetLink"/>
                </w:rPr>
                <w:t xml:space="preserve">No Dividend Equivalents on Options </w:t>
              </w:r>
            </w:hyperlink>
            <w:r>
              <mc:AlternateContent>
                <mc:Choice Requires="wps">
                  <w:drawing>
                    <wp:anchor behindDoc="0" distT="0" distB="0" distL="114300" distR="0" simplePos="0" locked="0" layoutInCell="1" allowOverlap="1" relativeHeight="338">
                      <wp:simplePos x="0" y="0"/>
                      <wp:positionH relativeFrom="column">
                        <wp:align>left</wp:align>
                      </wp:positionH>
                      <wp:positionV relativeFrom="line">
                        <wp:posOffset>635</wp:posOffset>
                      </wp:positionV>
                      <wp:extent cx="317500" cy="350520"/>
                      <wp:effectExtent l="0" t="0" r="0" b="0"/>
                      <wp:wrapSquare wrapText="right"/>
                      <wp:docPr id="343" name="Frame27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KDEO">
                                    <w:r>
                                      <w:rPr>
                                        <w:rStyle w:val="InternetLink"/>
                                      </w:rPr>
                                      <w:t>(k)</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KDEO">
                              <w:r>
                                <w:rPr>
                                  <w:rStyle w:val="InternetLink"/>
                                </w:rPr>
                                <w:t>(k)</w:t>
                                <w:br/>
                              </w:r>
                            </w:hyperlink>
                          </w:p>
                        </w:txbxContent>
                      </v:textbox>
                      <w10:wrap type="square" side="right"/>
                    </v:rect>
                  </w:pict>
                </mc:Fallback>
              </mc:AlternateContent>
            </w:r>
          </w:p>
          <w:p>
            <w:pPr>
              <w:pStyle w:val="TableContents"/>
              <w:bidi w:val="0"/>
              <w:spacing w:before="0" w:after="0"/>
              <w:ind w:left="0" w:right="0" w:hanging="0"/>
              <w:jc w:val="left"/>
              <w:rPr/>
            </w:pPr>
            <w:hyperlink w:anchor="tKD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hyperlink w:anchor="tKDEO">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3123" w:type="dxa"/>
        <w:jc w:val="left"/>
        <w:tblInd w:w="720" w:type="dxa"/>
        <w:tblLayout w:type="fixed"/>
        <w:tblCellMar>
          <w:top w:w="0" w:type="dxa"/>
          <w:left w:w="0" w:type="dxa"/>
          <w:bottom w:w="0" w:type="dxa"/>
          <w:right w:w="0" w:type="dxa"/>
        </w:tblCellMar>
      </w:tblPr>
      <w:tblGrid>
        <w:gridCol w:w="124"/>
        <w:gridCol w:w="2206"/>
        <w:gridCol w:w="109"/>
        <w:gridCol w:w="109"/>
        <w:gridCol w:w="42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1" w:type="dxa"/>
            <w:tcBorders/>
            <w:vAlign w:val="center"/>
          </w:tcPr>
          <w:p>
            <w:pPr>
              <w:pStyle w:val="TableContents"/>
              <w:bidi w:val="0"/>
              <w:spacing w:before="0" w:after="0"/>
              <w:jc w:val="right"/>
              <w:rPr>
                <w:b/>
              </w:rPr>
            </w:pPr>
            <w:r>
              <w:rPr>
                <w:b/>
              </w:rPr>
              <w:t>A-i</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OC4"/>
      <w:bookmarkEnd w:id="29"/>
      <w:r>
        <w:rPr>
          <w:rFonts w:ascii="calibri;arial;sans-serif" w:hAnsi="calibri;arial;sans-serif"/>
          <w:b w:val="false"/>
          <w:i w:val="false"/>
          <w:caps w:val="false"/>
          <w:smallCaps w:val="false"/>
          <w:color w:val="000000"/>
          <w:sz w:val="16"/>
        </w:rPr>
        <w:t xml:space="preserve">​ </w:t>
      </w:r>
    </w:p>
    <w:tbl>
      <w:tblPr>
        <w:tblW w:w="7426" w:type="dxa"/>
        <w:jc w:val="left"/>
        <w:tblInd w:w="720" w:type="dxa"/>
        <w:tblLayout w:type="fixed"/>
        <w:tblCellMar>
          <w:top w:w="0" w:type="dxa"/>
          <w:left w:w="0" w:type="dxa"/>
          <w:bottom w:w="28" w:type="dxa"/>
          <w:right w:w="0" w:type="dxa"/>
        </w:tblCellMar>
      </w:tblPr>
      <w:tblGrid>
        <w:gridCol w:w="6066"/>
        <w:gridCol w:w="109"/>
        <w:gridCol w:w="109"/>
        <w:gridCol w:w="109"/>
        <w:gridCol w:w="109"/>
        <w:gridCol w:w="661"/>
        <w:gridCol w:w="109"/>
        <w:gridCol w:w="154"/>
      </w:tblGrid>
      <w:tr>
        <w:trPr/>
        <w:tc>
          <w:tcPr>
            <w:tcW w:w="60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88"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8FS">
              <w:r>
                <w:rPr>
                  <w:rStyle w:val="InternetLink"/>
                </w:rPr>
                <w:t>SECTION 8.   PAYMENT FOR SHARES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8FS">
              <w:r>
                <w:rPr>
                  <w:rStyle w:val="InternetLink"/>
                </w:rPr>
                <w:t>A-9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ARTE">
              <w:r>
                <w:rPr>
                  <w:rStyle w:val="InternetLink"/>
                </w:rPr>
                <w:t xml:space="preserve">General Rule </w:t>
              </w:r>
            </w:hyperlink>
            <w:r>
              <mc:AlternateContent>
                <mc:Choice Requires="wps">
                  <w:drawing>
                    <wp:anchor behindDoc="0" distT="0" distB="0" distL="114300" distR="0" simplePos="0" locked="0" layoutInCell="1" allowOverlap="1" relativeHeight="339">
                      <wp:simplePos x="0" y="0"/>
                      <wp:positionH relativeFrom="column">
                        <wp:align>left</wp:align>
                      </wp:positionH>
                      <wp:positionV relativeFrom="line">
                        <wp:posOffset>635</wp:posOffset>
                      </wp:positionV>
                      <wp:extent cx="317500" cy="350520"/>
                      <wp:effectExtent l="0" t="0" r="0" b="0"/>
                      <wp:wrapSquare wrapText="right"/>
                      <wp:docPr id="344" name="Frame27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RT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RT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R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ARTE">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OST">
              <w:r>
                <w:rPr>
                  <w:rStyle w:val="InternetLink"/>
                </w:rPr>
                <w:t xml:space="preserve">Surrender of Stock </w:t>
              </w:r>
            </w:hyperlink>
            <w:r>
              <mc:AlternateContent>
                <mc:Choice Requires="wps">
                  <w:drawing>
                    <wp:anchor behindDoc="0" distT="0" distB="0" distL="114300" distR="0" simplePos="0" locked="0" layoutInCell="1" allowOverlap="1" relativeHeight="340">
                      <wp:simplePos x="0" y="0"/>
                      <wp:positionH relativeFrom="column">
                        <wp:align>left</wp:align>
                      </wp:positionH>
                      <wp:positionV relativeFrom="line">
                        <wp:posOffset>635</wp:posOffset>
                      </wp:positionV>
                      <wp:extent cx="317500" cy="350520"/>
                      <wp:effectExtent l="0" t="0" r="0" b="0"/>
                      <wp:wrapSquare wrapText="right"/>
                      <wp:docPr id="345" name="Frame27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S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S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BOST">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CRAT">
              <w:r>
                <w:rPr>
                  <w:rStyle w:val="InternetLink"/>
                </w:rPr>
                <w:t xml:space="preserve">Services Rendered </w:t>
              </w:r>
            </w:hyperlink>
            <w:r>
              <mc:AlternateContent>
                <mc:Choice Requires="wps">
                  <w:drawing>
                    <wp:anchor behindDoc="0" distT="0" distB="0" distL="114300" distR="0" simplePos="0" locked="0" layoutInCell="1" allowOverlap="1" relativeHeight="341">
                      <wp:simplePos x="0" y="0"/>
                      <wp:positionH relativeFrom="column">
                        <wp:align>left</wp:align>
                      </wp:positionH>
                      <wp:positionV relativeFrom="line">
                        <wp:posOffset>635</wp:posOffset>
                      </wp:positionV>
                      <wp:extent cx="317500" cy="350520"/>
                      <wp:effectExtent l="0" t="0" r="0" b="0"/>
                      <wp:wrapSquare wrapText="right"/>
                      <wp:docPr id="346" name="Frame27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RAT">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RAT">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R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CRAT">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ETT">
              <w:r>
                <w:rPr>
                  <w:rStyle w:val="InternetLink"/>
                </w:rPr>
                <w:t xml:space="preserve">Cashless Exercise </w:t>
              </w:r>
            </w:hyperlink>
            <w:r>
              <mc:AlternateContent>
                <mc:Choice Requires="wps">
                  <w:drawing>
                    <wp:anchor behindDoc="0" distT="0" distB="0" distL="114300" distR="0" simplePos="0" locked="0" layoutInCell="1" allowOverlap="1" relativeHeight="342">
                      <wp:simplePos x="0" y="0"/>
                      <wp:positionH relativeFrom="column">
                        <wp:align>left</wp:align>
                      </wp:positionH>
                      <wp:positionV relativeFrom="line">
                        <wp:posOffset>635</wp:posOffset>
                      </wp:positionV>
                      <wp:extent cx="317500" cy="350520"/>
                      <wp:effectExtent l="0" t="0" r="0" b="0"/>
                      <wp:wrapSquare wrapText="right"/>
                      <wp:docPr id="347" name="Frame27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ETT">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ETT">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E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DETT">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ETTE">
              <w:r>
                <w:rPr>
                  <w:rStyle w:val="InternetLink"/>
                </w:rPr>
                <w:t xml:space="preserve">Exercise/Pledge </w:t>
              </w:r>
            </w:hyperlink>
            <w:r>
              <mc:AlternateContent>
                <mc:Choice Requires="wps">
                  <w:drawing>
                    <wp:anchor behindDoc="0" distT="0" distB="0" distL="114300" distR="0" simplePos="0" locked="0" layoutInCell="1" allowOverlap="1" relativeHeight="343">
                      <wp:simplePos x="0" y="0"/>
                      <wp:positionH relativeFrom="column">
                        <wp:align>left</wp:align>
                      </wp:positionH>
                      <wp:positionV relativeFrom="line">
                        <wp:posOffset>635</wp:posOffset>
                      </wp:positionV>
                      <wp:extent cx="317500" cy="350520"/>
                      <wp:effectExtent l="0" t="0" r="0" b="0"/>
                      <wp:wrapSquare wrapText="right"/>
                      <wp:docPr id="348" name="Frame27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TTE">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TTE">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T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ETTE">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FETT">
              <w:r>
                <w:rPr>
                  <w:rStyle w:val="InternetLink"/>
                </w:rPr>
                <w:t xml:space="preserve">Net Exercise </w:t>
              </w:r>
            </w:hyperlink>
            <w:r>
              <mc:AlternateContent>
                <mc:Choice Requires="wps">
                  <w:drawing>
                    <wp:anchor behindDoc="0" distT="0" distB="0" distL="114300" distR="0" simplePos="0" locked="0" layoutInCell="1" allowOverlap="1" relativeHeight="344">
                      <wp:simplePos x="0" y="0"/>
                      <wp:positionH relativeFrom="column">
                        <wp:align>left</wp:align>
                      </wp:positionH>
                      <wp:positionV relativeFrom="line">
                        <wp:posOffset>635</wp:posOffset>
                      </wp:positionV>
                      <wp:extent cx="317500" cy="350520"/>
                      <wp:effectExtent l="0" t="0" r="0" b="0"/>
                      <wp:wrapSquare wrapText="right"/>
                      <wp:docPr id="349" name="Frame28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ETT">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ETT">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E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FETT">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GNTT">
              <w:r>
                <w:rPr>
                  <w:rStyle w:val="InternetLink"/>
                </w:rPr>
                <w:t xml:space="preserve">Promissory Note </w:t>
              </w:r>
            </w:hyperlink>
            <w:r>
              <mc:AlternateContent>
                <mc:Choice Requires="wps">
                  <w:drawing>
                    <wp:anchor behindDoc="0" distT="0" distB="0" distL="114300" distR="0" simplePos="0" locked="0" layoutInCell="1" allowOverlap="1" relativeHeight="345">
                      <wp:simplePos x="0" y="0"/>
                      <wp:positionH relativeFrom="column">
                        <wp:align>left</wp:align>
                      </wp:positionH>
                      <wp:positionV relativeFrom="line">
                        <wp:posOffset>635</wp:posOffset>
                      </wp:positionV>
                      <wp:extent cx="317500" cy="350520"/>
                      <wp:effectExtent l="0" t="0" r="0" b="0"/>
                      <wp:wrapSquare wrapText="right"/>
                      <wp:docPr id="350" name="Frame28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NTT">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NTT">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N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GNTT">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HFOP">
              <w:r>
                <w:rPr>
                  <w:rStyle w:val="InternetLink"/>
                </w:rPr>
                <w:t xml:space="preserve">Other Forms of Payment </w:t>
              </w:r>
            </w:hyperlink>
            <w:r>
              <mc:AlternateContent>
                <mc:Choice Requires="wps">
                  <w:drawing>
                    <wp:anchor behindDoc="0" distT="0" distB="0" distL="114300" distR="0" simplePos="0" locked="0" layoutInCell="1" allowOverlap="1" relativeHeight="346">
                      <wp:simplePos x="0" y="0"/>
                      <wp:positionH relativeFrom="column">
                        <wp:align>left</wp:align>
                      </wp:positionH>
                      <wp:positionV relativeFrom="line">
                        <wp:posOffset>635</wp:posOffset>
                      </wp:positionV>
                      <wp:extent cx="317500" cy="350520"/>
                      <wp:effectExtent l="0" t="0" r="0" b="0"/>
                      <wp:wrapSquare wrapText="right"/>
                      <wp:docPr id="351" name="Frame28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FOP">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FOP">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FO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HFOP">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IUAL">
              <w:r>
                <w:rPr>
                  <w:rStyle w:val="InternetLink"/>
                </w:rPr>
                <w:t xml:space="preserve">Limitations under Applicable Law </w:t>
              </w:r>
            </w:hyperlink>
            <w:r>
              <mc:AlternateContent>
                <mc:Choice Requires="wps">
                  <w:drawing>
                    <wp:anchor behindDoc="0" distT="0" distB="0" distL="114300" distR="0" simplePos="0" locked="0" layoutInCell="1" allowOverlap="1" relativeHeight="347">
                      <wp:simplePos x="0" y="0"/>
                      <wp:positionH relativeFrom="column">
                        <wp:align>left</wp:align>
                      </wp:positionH>
                      <wp:positionV relativeFrom="line">
                        <wp:posOffset>635</wp:posOffset>
                      </wp:positionV>
                      <wp:extent cx="317500" cy="350520"/>
                      <wp:effectExtent l="0" t="0" r="0" b="0"/>
                      <wp:wrapSquare wrapText="right"/>
                      <wp:docPr id="352" name="Frame28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IUAL">
                                    <w:r>
                                      <w:rPr>
                                        <w:rStyle w:val="InternetLink"/>
                                      </w:rPr>
                                      <w:t>(i)</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IUAL">
                              <w:r>
                                <w:rPr>
                                  <w:rStyle w:val="InternetLink"/>
                                </w:rPr>
                                <w:t>(i)</w:t>
                                <w:br/>
                              </w:r>
                            </w:hyperlink>
                          </w:p>
                        </w:txbxContent>
                      </v:textbox>
                      <w10:wrap type="square" side="right"/>
                    </v:rect>
                  </w:pict>
                </mc:Fallback>
              </mc:AlternateContent>
            </w:r>
          </w:p>
          <w:p>
            <w:pPr>
              <w:pStyle w:val="TableContents"/>
              <w:bidi w:val="0"/>
              <w:spacing w:before="0" w:after="0"/>
              <w:ind w:left="0" w:right="0" w:hanging="0"/>
              <w:jc w:val="left"/>
              <w:rPr/>
            </w:pPr>
            <w:hyperlink w:anchor="tIU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IUAL">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9AR">
              <w:r>
                <w:rPr>
                  <w:rStyle w:val="InternetLink"/>
                </w:rPr>
                <w:t>SECTION 9.    STOCK APPRECIATION RIGHTS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9AR">
              <w:r>
                <w:rPr>
                  <w:rStyle w:val="InternetLink"/>
                </w:rPr>
                <w:t>A-10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AAAE1">
              <w:r>
                <w:rPr>
                  <w:rStyle w:val="InternetLink"/>
                </w:rPr>
                <w:t xml:space="preserve">SAR Award Agreement </w:t>
              </w:r>
            </w:hyperlink>
            <w:r>
              <mc:AlternateContent>
                <mc:Choice Requires="wps">
                  <w:drawing>
                    <wp:anchor behindDoc="0" distT="0" distB="0" distL="114300" distR="0" simplePos="0" locked="0" layoutInCell="1" allowOverlap="1" relativeHeight="348">
                      <wp:simplePos x="0" y="0"/>
                      <wp:positionH relativeFrom="column">
                        <wp:align>left</wp:align>
                      </wp:positionH>
                      <wp:positionV relativeFrom="line">
                        <wp:posOffset>635</wp:posOffset>
                      </wp:positionV>
                      <wp:extent cx="317500" cy="350520"/>
                      <wp:effectExtent l="0" t="0" r="0" b="0"/>
                      <wp:wrapSquare wrapText="right"/>
                      <wp:docPr id="353" name="Frame28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AAE1">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AAE1">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AAE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AAAE1">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OSE1">
              <w:r>
                <w:rPr>
                  <w:rStyle w:val="InternetLink"/>
                </w:rPr>
                <w:t xml:space="preserve">Number of Shares </w:t>
              </w:r>
            </w:hyperlink>
            <w:r>
              <mc:AlternateContent>
                <mc:Choice Requires="wps">
                  <w:drawing>
                    <wp:anchor behindDoc="0" distT="0" distB="0" distL="114300" distR="0" simplePos="0" locked="0" layoutInCell="1" allowOverlap="1" relativeHeight="349">
                      <wp:simplePos x="0" y="0"/>
                      <wp:positionH relativeFrom="column">
                        <wp:align>left</wp:align>
                      </wp:positionH>
                      <wp:positionV relativeFrom="line">
                        <wp:posOffset>635</wp:posOffset>
                      </wp:positionV>
                      <wp:extent cx="317500" cy="350520"/>
                      <wp:effectExtent l="0" t="0" r="0" b="0"/>
                      <wp:wrapSquare wrapText="right"/>
                      <wp:docPr id="354" name="Frame28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SE1">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SE1">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SE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BOSE1">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CPES">
              <w:r>
                <w:rPr>
                  <w:rStyle w:val="InternetLink"/>
                </w:rPr>
                <w:t xml:space="preserve">Exercise Price </w:t>
              </w:r>
            </w:hyperlink>
            <w:r>
              <mc:AlternateContent>
                <mc:Choice Requires="wps">
                  <w:drawing>
                    <wp:anchor behindDoc="0" distT="0" distB="0" distL="114300" distR="0" simplePos="0" locked="0" layoutInCell="1" allowOverlap="1" relativeHeight="350">
                      <wp:simplePos x="0" y="0"/>
                      <wp:positionH relativeFrom="column">
                        <wp:align>left</wp:align>
                      </wp:positionH>
                      <wp:positionV relativeFrom="line">
                        <wp:posOffset>635</wp:posOffset>
                      </wp:positionV>
                      <wp:extent cx="317500" cy="350520"/>
                      <wp:effectExtent l="0" t="0" r="0" b="0"/>
                      <wp:wrapSquare wrapText="right"/>
                      <wp:docPr id="355" name="Frame28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PES">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PES">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PE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CPES">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ATE">
              <w:r>
                <w:rPr>
                  <w:rStyle w:val="InternetLink"/>
                </w:rPr>
                <w:t xml:space="preserve">Exercisability and Term </w:t>
              </w:r>
            </w:hyperlink>
            <w:r>
              <mc:AlternateContent>
                <mc:Choice Requires="wps">
                  <w:drawing>
                    <wp:anchor behindDoc="0" distT="0" distB="0" distL="114300" distR="0" simplePos="0" locked="0" layoutInCell="1" allowOverlap="1" relativeHeight="351">
                      <wp:simplePos x="0" y="0"/>
                      <wp:positionH relativeFrom="column">
                        <wp:align>left</wp:align>
                      </wp:positionH>
                      <wp:positionV relativeFrom="line">
                        <wp:posOffset>635</wp:posOffset>
                      </wp:positionV>
                      <wp:extent cx="317500" cy="350520"/>
                      <wp:effectExtent l="0" t="0" r="0" b="0"/>
                      <wp:wrapSquare wrapText="right"/>
                      <wp:docPr id="356" name="Frame28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ATE">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ATE">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A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DATE">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EOSU">
              <w:r>
                <w:rPr>
                  <w:rStyle w:val="InternetLink"/>
                </w:rPr>
                <w:t xml:space="preserve">Exercise of SARs </w:t>
              </w:r>
            </w:hyperlink>
            <w:r>
              <mc:AlternateContent>
                <mc:Choice Requires="wps">
                  <w:drawing>
                    <wp:anchor behindDoc="0" distT="0" distB="0" distL="114300" distR="0" simplePos="0" locked="0" layoutInCell="1" allowOverlap="1" relativeHeight="352">
                      <wp:simplePos x="0" y="0"/>
                      <wp:positionH relativeFrom="column">
                        <wp:align>left</wp:align>
                      </wp:positionH>
                      <wp:positionV relativeFrom="line">
                        <wp:posOffset>635</wp:posOffset>
                      </wp:positionV>
                      <wp:extent cx="317500" cy="350520"/>
                      <wp:effectExtent l="0" t="0" r="0" b="0"/>
                      <wp:wrapSquare wrapText="right"/>
                      <wp:docPr id="357" name="Frame28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OSU">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OSU">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OSU">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EOSU">
              <w:r>
                <w:rPr>
                  <w:rStyle w:val="InternetLink"/>
                </w:rPr>
                <w:t xml:space="preserve">A-11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FEOA">
              <w:r>
                <w:rPr>
                  <w:rStyle w:val="InternetLink"/>
                </w:rPr>
                <w:t xml:space="preserve">Modification, Extension or Assumption of SARs </w:t>
              </w:r>
            </w:hyperlink>
            <w:r>
              <mc:AlternateContent>
                <mc:Choice Requires="wps">
                  <w:drawing>
                    <wp:anchor behindDoc="0" distT="0" distB="0" distL="114300" distR="0" simplePos="0" locked="0" layoutInCell="1" allowOverlap="1" relativeHeight="353">
                      <wp:simplePos x="0" y="0"/>
                      <wp:positionH relativeFrom="column">
                        <wp:align>left</wp:align>
                      </wp:positionH>
                      <wp:positionV relativeFrom="line">
                        <wp:posOffset>635</wp:posOffset>
                      </wp:positionV>
                      <wp:extent cx="317500" cy="350520"/>
                      <wp:effectExtent l="0" t="0" r="0" b="0"/>
                      <wp:wrapSquare wrapText="right"/>
                      <wp:docPr id="358" name="Frame28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EOA">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EOA">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EO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FEOA">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GPST">
              <w:r>
                <w:rPr>
                  <w:rStyle w:val="InternetLink"/>
                </w:rPr>
                <w:t xml:space="preserve">Buyout Provisions </w:t>
              </w:r>
            </w:hyperlink>
            <w:r>
              <mc:AlternateContent>
                <mc:Choice Requires="wps">
                  <w:drawing>
                    <wp:anchor behindDoc="0" distT="0" distB="0" distL="114300" distR="0" simplePos="0" locked="0" layoutInCell="1" allowOverlap="1" relativeHeight="354">
                      <wp:simplePos x="0" y="0"/>
                      <wp:positionH relativeFrom="column">
                        <wp:align>left</wp:align>
                      </wp:positionH>
                      <wp:positionV relativeFrom="line">
                        <wp:posOffset>635</wp:posOffset>
                      </wp:positionV>
                      <wp:extent cx="317500" cy="350520"/>
                      <wp:effectExtent l="0" t="0" r="0" b="0"/>
                      <wp:wrapSquare wrapText="right"/>
                      <wp:docPr id="359" name="Frame29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PST">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PST">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P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GPST">
              <w:r>
                <w:rPr>
                  <w:rStyle w:val="InternetLink"/>
                </w:rPr>
                <w:t xml:space="preserve">A-11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HDEO">
              <w:r>
                <w:rPr>
                  <w:rStyle w:val="InternetLink"/>
                </w:rPr>
                <w:t xml:space="preserve">No Dividend Equivalents on SARs </w:t>
              </w:r>
            </w:hyperlink>
            <w:r>
              <mc:AlternateContent>
                <mc:Choice Requires="wps">
                  <w:drawing>
                    <wp:anchor behindDoc="0" distT="0" distB="0" distL="114300" distR="0" simplePos="0" locked="0" layoutInCell="1" allowOverlap="1" relativeHeight="355">
                      <wp:simplePos x="0" y="0"/>
                      <wp:positionH relativeFrom="column">
                        <wp:align>left</wp:align>
                      </wp:positionH>
                      <wp:positionV relativeFrom="line">
                        <wp:posOffset>635</wp:posOffset>
                      </wp:positionV>
                      <wp:extent cx="317500" cy="350520"/>
                      <wp:effectExtent l="0" t="0" r="0" b="0"/>
                      <wp:wrapSquare wrapText="right"/>
                      <wp:docPr id="360" name="Frame29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DEO">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DEO">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D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HDEO">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SU">
              <w:r>
                <w:rPr>
                  <w:rStyle w:val="InternetLink"/>
                </w:rPr>
                <w:t>SECTION 10.    RESTRICTED STOCK UNITS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SU">
              <w:r>
                <w:rPr>
                  <w:rStyle w:val="InternetLink"/>
                </w:rPr>
                <w:t>A-11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SUA">
              <w:r>
                <w:rPr>
                  <w:rStyle w:val="InternetLink"/>
                </w:rPr>
                <w:t xml:space="preserve">Restricted Stock Unit Award Agreement </w:t>
              </w:r>
            </w:hyperlink>
            <w:r>
              <mc:AlternateContent>
                <mc:Choice Requires="wps">
                  <w:drawing>
                    <wp:anchor behindDoc="0" distT="0" distB="0" distL="114300" distR="0" simplePos="0" locked="0" layoutInCell="1" allowOverlap="1" relativeHeight="356">
                      <wp:simplePos x="0" y="0"/>
                      <wp:positionH relativeFrom="column">
                        <wp:align>left</wp:align>
                      </wp:positionH>
                      <wp:positionV relativeFrom="line">
                        <wp:posOffset>635</wp:posOffset>
                      </wp:positionV>
                      <wp:extent cx="317500" cy="350520"/>
                      <wp:effectExtent l="0" t="0" r="0" b="0"/>
                      <wp:wrapSquare wrapText="right"/>
                      <wp:docPr id="361" name="Frame29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SUA">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SUA">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SU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ASUA">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BFAT">
              <w:r>
                <w:rPr>
                  <w:rStyle w:val="InternetLink"/>
                </w:rPr>
                <w:t xml:space="preserve">Payment for Awards </w:t>
              </w:r>
            </w:hyperlink>
            <w:r>
              <mc:AlternateContent>
                <mc:Choice Requires="wps">
                  <w:drawing>
                    <wp:anchor behindDoc="0" distT="0" distB="0" distL="114300" distR="0" simplePos="0" locked="0" layoutInCell="1" allowOverlap="1" relativeHeight="357">
                      <wp:simplePos x="0" y="0"/>
                      <wp:positionH relativeFrom="column">
                        <wp:align>left</wp:align>
                      </wp:positionH>
                      <wp:positionV relativeFrom="line">
                        <wp:posOffset>635</wp:posOffset>
                      </wp:positionV>
                      <wp:extent cx="317500" cy="350520"/>
                      <wp:effectExtent l="0" t="0" r="0" b="0"/>
                      <wp:wrapSquare wrapText="right"/>
                      <wp:docPr id="362" name="Frame29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FA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FA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F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BFAT">
              <w:r>
                <w:rPr>
                  <w:rStyle w:val="InternetLink"/>
                </w:rPr>
                <w:t xml:space="preserve">A-11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CEA">
              <w:r>
                <w:rPr>
                  <w:rStyle w:val="InternetLink"/>
                </w:rPr>
                <w:t xml:space="preserve">Vesting Conditions </w:t>
              </w:r>
            </w:hyperlink>
            <w:r>
              <mc:AlternateContent>
                <mc:Choice Requires="wps">
                  <w:drawing>
                    <wp:anchor behindDoc="0" distT="0" distB="0" distL="114300" distR="0" simplePos="0" locked="0" layoutInCell="1" allowOverlap="1" relativeHeight="358">
                      <wp:simplePos x="0" y="0"/>
                      <wp:positionH relativeFrom="column">
                        <wp:align>left</wp:align>
                      </wp:positionH>
                      <wp:positionV relativeFrom="line">
                        <wp:posOffset>635</wp:posOffset>
                      </wp:positionV>
                      <wp:extent cx="317500" cy="350520"/>
                      <wp:effectExtent l="0" t="0" r="0" b="0"/>
                      <wp:wrapSquare wrapText="right"/>
                      <wp:docPr id="363" name="Frame29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CEA">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CEA">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C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CCEA">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DADR1">
              <w:r>
                <w:rPr>
                  <w:rStyle w:val="InternetLink"/>
                </w:rPr>
                <w:t xml:space="preserve">Voting and Dividend Rights </w:t>
              </w:r>
            </w:hyperlink>
            <w:r>
              <mc:AlternateContent>
                <mc:Choice Requires="wps">
                  <w:drawing>
                    <wp:anchor behindDoc="0" distT="0" distB="0" distL="114300" distR="0" simplePos="0" locked="0" layoutInCell="1" allowOverlap="1" relativeHeight="359">
                      <wp:simplePos x="0" y="0"/>
                      <wp:positionH relativeFrom="column">
                        <wp:align>left</wp:align>
                      </wp:positionH>
                      <wp:positionV relativeFrom="line">
                        <wp:posOffset>635</wp:posOffset>
                      </wp:positionV>
                      <wp:extent cx="317500" cy="350520"/>
                      <wp:effectExtent l="0" t="0" r="0" b="0"/>
                      <wp:wrapSquare wrapText="right"/>
                      <wp:docPr id="364" name="Frame29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ADR1">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ADR1">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ADR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DADR1">
              <w:r>
                <w:rPr>
                  <w:rStyle w:val="InternetLink"/>
                </w:rPr>
                <w:t xml:space="preserve">A-11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ATO">
              <w:r>
                <w:rPr>
                  <w:rStyle w:val="InternetLink"/>
                </w:rPr>
                <w:t xml:space="preserve">Form and Time of Settlement of Restricted Stock Units </w:t>
              </w:r>
            </w:hyperlink>
            <w:r>
              <mc:AlternateContent>
                <mc:Choice Requires="wps">
                  <w:drawing>
                    <wp:anchor behindDoc="0" distT="0" distB="0" distL="114300" distR="0" simplePos="0" locked="0" layoutInCell="1" allowOverlap="1" relativeHeight="360">
                      <wp:simplePos x="0" y="0"/>
                      <wp:positionH relativeFrom="column">
                        <wp:align>left</wp:align>
                      </wp:positionH>
                      <wp:positionV relativeFrom="line">
                        <wp:posOffset>635</wp:posOffset>
                      </wp:positionV>
                      <wp:extent cx="317500" cy="350520"/>
                      <wp:effectExtent l="0" t="0" r="0" b="0"/>
                      <wp:wrapSquare wrapText="right"/>
                      <wp:docPr id="365" name="Frame29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ATO">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ATO">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A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EATO">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FOPA">
              <w:r>
                <w:rPr>
                  <w:rStyle w:val="InternetLink"/>
                </w:rPr>
                <w:t xml:space="preserve">Death of Participant </w:t>
              </w:r>
            </w:hyperlink>
            <w:r>
              <mc:AlternateContent>
                <mc:Choice Requires="wps">
                  <w:drawing>
                    <wp:anchor behindDoc="0" distT="0" distB="0" distL="114300" distR="0" simplePos="0" locked="0" layoutInCell="1" allowOverlap="1" relativeHeight="361">
                      <wp:simplePos x="0" y="0"/>
                      <wp:positionH relativeFrom="column">
                        <wp:align>left</wp:align>
                      </wp:positionH>
                      <wp:positionV relativeFrom="line">
                        <wp:posOffset>635</wp:posOffset>
                      </wp:positionV>
                      <wp:extent cx="317500" cy="350520"/>
                      <wp:effectExtent l="0" t="0" r="0" b="0"/>
                      <wp:wrapSquare wrapText="right"/>
                      <wp:docPr id="366" name="Frame29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OPA">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OPA">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O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FOPA">
              <w:r>
                <w:rPr>
                  <w:rStyle w:val="InternetLink"/>
                </w:rPr>
                <w:t xml:space="preserve">A-12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GRAH">
              <w:r>
                <w:rPr>
                  <w:rStyle w:val="InternetLink"/>
                </w:rPr>
                <w:t xml:space="preserve">Creditors’ Rights </w:t>
              </w:r>
            </w:hyperlink>
            <w:r>
              <mc:AlternateContent>
                <mc:Choice Requires="wps">
                  <w:drawing>
                    <wp:anchor behindDoc="0" distT="0" distB="0" distL="114300" distR="0" simplePos="0" locked="0" layoutInCell="1" allowOverlap="1" relativeHeight="362">
                      <wp:simplePos x="0" y="0"/>
                      <wp:positionH relativeFrom="column">
                        <wp:align>left</wp:align>
                      </wp:positionH>
                      <wp:positionV relativeFrom="line">
                        <wp:posOffset>635</wp:posOffset>
                      </wp:positionV>
                      <wp:extent cx="317500" cy="350520"/>
                      <wp:effectExtent l="0" t="0" r="0" b="0"/>
                      <wp:wrapSquare wrapText="right"/>
                      <wp:docPr id="367" name="Frame29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RAH">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RAH">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RA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GRAH">
              <w:r>
                <w:rPr>
                  <w:rStyle w:val="InternetLink"/>
                </w:rPr>
                <w:t xml:space="preserve">A-12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A">
              <w:r>
                <w:rPr>
                  <w:rStyle w:val="InternetLink"/>
                </w:rPr>
                <w:t>SECTION 11.    CASH-BASED AWARDS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A">
              <w:r>
                <w:rPr>
                  <w:rStyle w:val="InternetLink"/>
                </w:rPr>
                <w:t>A-12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1PR">
              <w:r>
                <w:rPr>
                  <w:rStyle w:val="InternetLink"/>
                </w:rPr>
                <w:t>SECTION 12.    STOCK PURCHASE RIGHTS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1PR">
              <w:r>
                <w:rPr>
                  <w:rStyle w:val="InternetLink"/>
                </w:rPr>
                <w:t>A-12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OS">
              <w:r>
                <w:rPr>
                  <w:rStyle w:val="InternetLink"/>
                </w:rPr>
                <w:t>SECTION 13.    ADJUSTMENT OF SHARES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OS">
              <w:r>
                <w:rPr>
                  <w:rStyle w:val="InternetLink"/>
                </w:rPr>
                <w:t>A-12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ITE">
              <w:r>
                <w:rPr>
                  <w:rStyle w:val="InternetLink"/>
                </w:rPr>
                <w:t xml:space="preserve">Adjustments </w:t>
              </w:r>
            </w:hyperlink>
            <w:r>
              <mc:AlternateContent>
                <mc:Choice Requires="wps">
                  <w:drawing>
                    <wp:anchor behindDoc="0" distT="0" distB="0" distL="114300" distR="0" simplePos="0" locked="0" layoutInCell="1" allowOverlap="1" relativeHeight="363">
                      <wp:simplePos x="0" y="0"/>
                      <wp:positionH relativeFrom="column">
                        <wp:align>left</wp:align>
                      </wp:positionH>
                      <wp:positionV relativeFrom="line">
                        <wp:posOffset>635</wp:posOffset>
                      </wp:positionV>
                      <wp:extent cx="317500" cy="350520"/>
                      <wp:effectExtent l="0" t="0" r="0" b="0"/>
                      <wp:wrapSquare wrapText="right"/>
                      <wp:docPr id="368" name="Frame29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IT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IT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I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AITE">
              <w:r>
                <w:rPr>
                  <w:rStyle w:val="InternetLink"/>
                </w:rPr>
                <w:t xml:space="preserve">A-12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BOLT">
              <w:r>
                <w:rPr>
                  <w:rStyle w:val="InternetLink"/>
                </w:rPr>
                <w:t xml:space="preserve">Dissolution or Liquidation </w:t>
              </w:r>
            </w:hyperlink>
            <w:r>
              <mc:AlternateContent>
                <mc:Choice Requires="wps">
                  <w:drawing>
                    <wp:anchor behindDoc="0" distT="0" distB="0" distL="114300" distR="0" simplePos="0" locked="0" layoutInCell="1" allowOverlap="1" relativeHeight="364">
                      <wp:simplePos x="0" y="0"/>
                      <wp:positionH relativeFrom="column">
                        <wp:align>left</wp:align>
                      </wp:positionH>
                      <wp:positionV relativeFrom="line">
                        <wp:posOffset>635</wp:posOffset>
                      </wp:positionV>
                      <wp:extent cx="317500" cy="350520"/>
                      <wp:effectExtent l="0" t="0" r="0" b="0"/>
                      <wp:wrapSquare wrapText="right"/>
                      <wp:docPr id="369" name="Frame30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L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L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L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BOLT">
              <w:r>
                <w:rPr>
                  <w:rStyle w:val="InternetLink"/>
                </w:rPr>
                <w:t xml:space="preserve">A-13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ORI">
              <w:r>
                <w:rPr>
                  <w:rStyle w:val="InternetLink"/>
                </w:rPr>
                <w:t xml:space="preserve">Merger or Reorganization </w:t>
              </w:r>
            </w:hyperlink>
            <w:r>
              <mc:AlternateContent>
                <mc:Choice Requires="wps">
                  <w:drawing>
                    <wp:anchor behindDoc="0" distT="0" distB="0" distL="114300" distR="0" simplePos="0" locked="0" layoutInCell="1" allowOverlap="1" relativeHeight="365">
                      <wp:simplePos x="0" y="0"/>
                      <wp:positionH relativeFrom="column">
                        <wp:align>left</wp:align>
                      </wp:positionH>
                      <wp:positionV relativeFrom="line">
                        <wp:posOffset>635</wp:posOffset>
                      </wp:positionV>
                      <wp:extent cx="317500" cy="350520"/>
                      <wp:effectExtent l="0" t="0" r="0" b="0"/>
                      <wp:wrapSquare wrapText="right"/>
                      <wp:docPr id="370" name="Frame30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ORI">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ORI">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OR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CORI">
              <w:r>
                <w:rPr>
                  <w:rStyle w:val="InternetLink"/>
                </w:rPr>
                <w:t xml:space="preserve">A-13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DIC">
              <w:r>
                <w:rPr>
                  <w:rStyle w:val="InternetLink"/>
                </w:rPr>
                <w:t xml:space="preserve">Change in Control </w:t>
              </w:r>
            </w:hyperlink>
            <w:r>
              <mc:AlternateContent>
                <mc:Choice Requires="wps">
                  <w:drawing>
                    <wp:anchor behindDoc="0" distT="0" distB="0" distL="114300" distR="0" simplePos="0" locked="0" layoutInCell="1" allowOverlap="1" relativeHeight="366">
                      <wp:simplePos x="0" y="0"/>
                      <wp:positionH relativeFrom="column">
                        <wp:align>left</wp:align>
                      </wp:positionH>
                      <wp:positionV relativeFrom="line">
                        <wp:posOffset>635</wp:posOffset>
                      </wp:positionV>
                      <wp:extent cx="317500" cy="350520"/>
                      <wp:effectExtent l="0" t="0" r="0" b="0"/>
                      <wp:wrapSquare wrapText="right"/>
                      <wp:docPr id="371" name="Frame30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IC">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IC">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DIC">
              <w:r>
                <w:rPr>
                  <w:rStyle w:val="InternetLink"/>
                </w:rPr>
                <w:t xml:space="preserve">A-13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ORE">
              <w:r>
                <w:rPr>
                  <w:rStyle w:val="InternetLink"/>
                </w:rPr>
                <w:t xml:space="preserve">Reservation of Rights </w:t>
              </w:r>
            </w:hyperlink>
            <w:r>
              <mc:AlternateContent>
                <mc:Choice Requires="wps">
                  <w:drawing>
                    <wp:anchor behindDoc="0" distT="0" distB="0" distL="114300" distR="0" simplePos="0" locked="0" layoutInCell="1" allowOverlap="1" relativeHeight="367">
                      <wp:simplePos x="0" y="0"/>
                      <wp:positionH relativeFrom="column">
                        <wp:align>left</wp:align>
                      </wp:positionH>
                      <wp:positionV relativeFrom="line">
                        <wp:posOffset>635</wp:posOffset>
                      </wp:positionV>
                      <wp:extent cx="317500" cy="350520"/>
                      <wp:effectExtent l="0" t="0" r="0" b="0"/>
                      <wp:wrapSquare wrapText="right"/>
                      <wp:docPr id="372" name="Frame30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ORE">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ORE">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OR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EORE">
              <w:r>
                <w:rPr>
                  <w:rStyle w:val="InternetLink"/>
                </w:rPr>
                <w:t xml:space="preserve">A-14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OA">
              <w:r>
                <w:rPr>
                  <w:rStyle w:val="InternetLink"/>
                </w:rPr>
                <w:t>SECTION 14.    DEFERRAL OF AWARDS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OA">
              <w:r>
                <w:rPr>
                  <w:rStyle w:val="InternetLink"/>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PST">
              <w:r>
                <w:rPr>
                  <w:rStyle w:val="InternetLink"/>
                </w:rPr>
                <w:t xml:space="preserve">Committee Powers </w:t>
              </w:r>
            </w:hyperlink>
            <w:r>
              <mc:AlternateContent>
                <mc:Choice Requires="wps">
                  <w:drawing>
                    <wp:anchor behindDoc="0" distT="0" distB="0" distL="114300" distR="0" simplePos="0" locked="0" layoutInCell="1" allowOverlap="1" relativeHeight="368">
                      <wp:simplePos x="0" y="0"/>
                      <wp:positionH relativeFrom="column">
                        <wp:align>left</wp:align>
                      </wp:positionH>
                      <wp:positionV relativeFrom="line">
                        <wp:posOffset>635</wp:posOffset>
                      </wp:positionV>
                      <wp:extent cx="317500" cy="350520"/>
                      <wp:effectExtent l="0" t="0" r="0" b="0"/>
                      <wp:wrapSquare wrapText="right"/>
                      <wp:docPr id="373" name="Frame30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PS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PS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P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APST">
              <w:r>
                <w:rPr>
                  <w:rStyle w:val="InternetLink"/>
                </w:rPr>
                <w:t xml:space="preserve">A-14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BRAD">
              <w:r>
                <w:rPr>
                  <w:rStyle w:val="InternetLink"/>
                </w:rPr>
                <w:t xml:space="preserve">General Rules </w:t>
              </w:r>
            </w:hyperlink>
            <w:r>
              <mc:AlternateContent>
                <mc:Choice Requires="wps">
                  <w:drawing>
                    <wp:anchor behindDoc="0" distT="0" distB="0" distL="114300" distR="0" simplePos="0" locked="0" layoutInCell="1" allowOverlap="1" relativeHeight="369">
                      <wp:simplePos x="0" y="0"/>
                      <wp:positionH relativeFrom="column">
                        <wp:align>left</wp:align>
                      </wp:positionH>
                      <wp:positionV relativeFrom="line">
                        <wp:posOffset>635</wp:posOffset>
                      </wp:positionV>
                      <wp:extent cx="317500" cy="350520"/>
                      <wp:effectExtent l="0" t="0" r="0" b="0"/>
                      <wp:wrapSquare wrapText="right"/>
                      <wp:docPr id="374" name="Frame30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RAD">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RAD">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RA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BRAD">
              <w:r>
                <w:rPr>
                  <w:rStyle w:val="InternetLink"/>
                </w:rPr>
                <w:t xml:space="preserve">A-14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A-ii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OC5"/>
      <w:bookmarkEnd w:id="30"/>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8159"/>
        <w:gridCol w:w="109"/>
        <w:gridCol w:w="109"/>
        <w:gridCol w:w="109"/>
        <w:gridCol w:w="109"/>
        <w:gridCol w:w="626"/>
        <w:gridCol w:w="109"/>
        <w:gridCol w:w="155"/>
      </w:tblGrid>
      <w:tr>
        <w:trPr/>
        <w:tc>
          <w:tcPr>
            <w:tcW w:w="815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53"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5" w:type="dxa"/>
            <w:tcBorders>
              <w:bottom w:val="single" w:sz="12" w:space="0" w:color="FFFFFF"/>
            </w:tcBorders>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1UO">
              <w:r>
                <w:rPr>
                  <w:rStyle w:val="InternetLink"/>
                </w:rPr>
                <w:t>SECTION 15.    AWARDS UNDER OTHER PLANS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1UO">
              <w:r>
                <w:rPr>
                  <w:rStyle w:val="InternetLink"/>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before="0" w:after="0"/>
              <w:jc w:val="left"/>
              <w:rPr/>
            </w:pPr>
            <w:hyperlink w:anchor="tS1OD">
              <w:r>
                <w:rPr>
                  <w:rStyle w:val="InternetLink"/>
                </w:rPr>
                <w:t>SECTION 16.    PAYMENT OF DIRECTOR’S FEES IN SECURITIES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S1OD">
              <w:r>
                <w:rPr>
                  <w:rStyle w:val="InternetLink"/>
                </w:rPr>
                <w:t>A-15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DNP">
              <w:r>
                <w:rPr>
                  <w:rStyle w:val="InternetLink"/>
                </w:rPr>
                <w:t xml:space="preserve">Effective Date </w:t>
              </w:r>
            </w:hyperlink>
            <w:r>
              <mc:AlternateContent>
                <mc:Choice Requires="wps">
                  <w:drawing>
                    <wp:anchor behindDoc="0" distT="0" distB="0" distL="114300" distR="0" simplePos="0" locked="0" layoutInCell="1" allowOverlap="1" relativeHeight="370">
                      <wp:simplePos x="0" y="0"/>
                      <wp:positionH relativeFrom="column">
                        <wp:align>left</wp:align>
                      </wp:positionH>
                      <wp:positionV relativeFrom="line">
                        <wp:posOffset>635</wp:posOffset>
                      </wp:positionV>
                      <wp:extent cx="317500" cy="350520"/>
                      <wp:effectExtent l="0" t="0" r="0" b="0"/>
                      <wp:wrapSquare wrapText="right"/>
                      <wp:docPr id="375" name="Frame30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DNP">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DNP">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D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ADNP">
              <w:r>
                <w:rPr>
                  <w:rStyle w:val="InternetLink"/>
                </w:rPr>
                <w:t xml:space="preserve">A-15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lineRule="atLeast" w:line="180" w:before="0" w:after="0"/>
              <w:ind w:left="680" w:right="0" w:hanging="0"/>
              <w:jc w:val="left"/>
              <w:rPr/>
            </w:pPr>
            <w:hyperlink w:anchor="tBTRN">
              <w:r>
                <w:rPr>
                  <w:rStyle w:val="InternetLink"/>
                </w:rPr>
                <w:t xml:space="preserve">Elections to Receive NSOs, SARs, Restricted Shares, or Restricted Stock Units </w:t>
              </w:r>
            </w:hyperlink>
            <w:r>
              <mc:AlternateContent>
                <mc:Choice Requires="wps">
                  <w:drawing>
                    <wp:anchor behindDoc="0" distT="0" distB="0" distL="114300" distR="0" simplePos="0" locked="0" layoutInCell="1" allowOverlap="1" relativeHeight="371">
                      <wp:simplePos x="0" y="0"/>
                      <wp:positionH relativeFrom="column">
                        <wp:align>left</wp:align>
                      </wp:positionH>
                      <wp:positionV relativeFrom="line">
                        <wp:posOffset>635</wp:posOffset>
                      </wp:positionV>
                      <wp:extent cx="317500" cy="350520"/>
                      <wp:effectExtent l="0" t="0" r="0" b="0"/>
                      <wp:wrapSquare wrapText="right"/>
                      <wp:docPr id="376" name="Frame30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TRN">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TRN">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TR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BTRN">
              <w:r>
                <w:rPr>
                  <w:rStyle w:val="InternetLink"/>
                </w:rPr>
                <w:t xml:space="preserve">A-15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ATO">
              <w:r>
                <w:rPr>
                  <w:rStyle w:val="InternetLink"/>
                </w:rPr>
                <w:t xml:space="preserve">Number and Terms of NSOs, SARs, Restricted Shares or Restricted Stock Units </w:t>
              </w:r>
            </w:hyperlink>
            <w:r>
              <mc:AlternateContent>
                <mc:Choice Requires="wps">
                  <w:drawing>
                    <wp:anchor behindDoc="0" distT="0" distB="0" distL="114300" distR="0" simplePos="0" locked="0" layoutInCell="1" allowOverlap="1" relativeHeight="372">
                      <wp:simplePos x="0" y="0"/>
                      <wp:positionH relativeFrom="column">
                        <wp:align>left</wp:align>
                      </wp:positionH>
                      <wp:positionV relativeFrom="line">
                        <wp:posOffset>635</wp:posOffset>
                      </wp:positionV>
                      <wp:extent cx="317500" cy="350520"/>
                      <wp:effectExtent l="0" t="0" r="0" b="0"/>
                      <wp:wrapSquare wrapText="right"/>
                      <wp:docPr id="377" name="Frame30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AT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AT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A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CATO">
              <w:r>
                <w:rPr>
                  <w:rStyle w:val="InternetLink"/>
                </w:rPr>
                <w:t xml:space="preserve">A-15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before="0" w:after="0"/>
              <w:jc w:val="left"/>
              <w:rPr/>
            </w:pPr>
            <w:hyperlink w:anchor="tS1AR">
              <w:r>
                <w:rPr>
                  <w:rStyle w:val="InternetLink"/>
                </w:rPr>
                <w:t>SECTION 17.    LEGAL AND REGULATORY REQUIREMENTS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S1AR">
              <w:r>
                <w:rPr>
                  <w:rStyle w:val="InternetLink"/>
                </w:rPr>
                <w:t>A-15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E18">
              <w:r>
                <w:rPr>
                  <w:rStyle w:val="InternetLink"/>
                </w:rPr>
                <w:t>SECTION 18.    TAXES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E18">
              <w:r>
                <w:rPr>
                  <w:rStyle w:val="InternetLink"/>
                </w:rPr>
                <w:t>A-15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lineRule="atLeast" w:line="180" w:before="0" w:after="0"/>
              <w:ind w:left="680" w:right="0" w:hanging="0"/>
              <w:jc w:val="left"/>
              <w:rPr/>
            </w:pPr>
            <w:hyperlink w:anchor="tATTT">
              <w:r>
                <w:rPr>
                  <w:rStyle w:val="InternetLink"/>
                </w:rPr>
                <w:t xml:space="preserve">Withholding Taxes </w:t>
              </w:r>
            </w:hyperlink>
            <w:r>
              <mc:AlternateContent>
                <mc:Choice Requires="wps">
                  <w:drawing>
                    <wp:anchor behindDoc="0" distT="0" distB="0" distL="114300" distR="0" simplePos="0" locked="0" layoutInCell="1" allowOverlap="1" relativeHeight="373">
                      <wp:simplePos x="0" y="0"/>
                      <wp:positionH relativeFrom="column">
                        <wp:align>left</wp:align>
                      </wp:positionH>
                      <wp:positionV relativeFrom="line">
                        <wp:posOffset>635</wp:posOffset>
                      </wp:positionV>
                      <wp:extent cx="317500" cy="350520"/>
                      <wp:effectExtent l="0" t="0" r="0" b="0"/>
                      <wp:wrapSquare wrapText="right"/>
                      <wp:docPr id="378" name="Frame30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TT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TT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T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ATTT">
              <w:r>
                <w:rPr>
                  <w:rStyle w:val="InternetLink"/>
                </w:rPr>
                <w:t xml:space="preserve">A-15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WTC">
              <w:r>
                <w:rPr>
                  <w:rStyle w:val="InternetLink"/>
                </w:rPr>
                <w:t xml:space="preserve">Share Withholding </w:t>
              </w:r>
            </w:hyperlink>
            <w:r>
              <mc:AlternateContent>
                <mc:Choice Requires="wps">
                  <w:drawing>
                    <wp:anchor behindDoc="0" distT="0" distB="0" distL="114300" distR="0" simplePos="0" locked="0" layoutInCell="1" allowOverlap="1" relativeHeight="374">
                      <wp:simplePos x="0" y="0"/>
                      <wp:positionH relativeFrom="column">
                        <wp:align>left</wp:align>
                      </wp:positionH>
                      <wp:positionV relativeFrom="line">
                        <wp:posOffset>635</wp:posOffset>
                      </wp:positionV>
                      <wp:extent cx="317500" cy="350520"/>
                      <wp:effectExtent l="0" t="0" r="0" b="0"/>
                      <wp:wrapSquare wrapText="right"/>
                      <wp:docPr id="379" name="Frame31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WTC">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WTC">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W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BWTC">
              <w:r>
                <w:rPr>
                  <w:rStyle w:val="InternetLink"/>
                </w:rPr>
                <w:t xml:space="preserve">A-15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lineRule="atLeast" w:line="180" w:before="0" w:after="0"/>
              <w:ind w:left="680" w:right="0" w:hanging="0"/>
              <w:jc w:val="left"/>
              <w:rPr/>
            </w:pPr>
            <w:hyperlink w:anchor="tC4TP">
              <w:r>
                <w:rPr>
                  <w:rStyle w:val="InternetLink"/>
                </w:rPr>
                <w:t xml:space="preserve">Section 409A </w:t>
              </w:r>
            </w:hyperlink>
            <w:r>
              <mc:AlternateContent>
                <mc:Choice Requires="wps">
                  <w:drawing>
                    <wp:anchor behindDoc="0" distT="0" distB="0" distL="114300" distR="0" simplePos="0" locked="0" layoutInCell="1" allowOverlap="1" relativeHeight="375">
                      <wp:simplePos x="0" y="0"/>
                      <wp:positionH relativeFrom="column">
                        <wp:align>left</wp:align>
                      </wp:positionH>
                      <wp:positionV relativeFrom="line">
                        <wp:posOffset>635</wp:posOffset>
                      </wp:positionV>
                      <wp:extent cx="317500" cy="350520"/>
                      <wp:effectExtent l="0" t="0" r="0" b="0"/>
                      <wp:wrapSquare wrapText="right"/>
                      <wp:docPr id="380" name="Frame31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4TP">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4TP">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4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C4TP">
              <w:r>
                <w:rPr>
                  <w:rStyle w:val="InternetLink"/>
                </w:rPr>
                <w:t xml:space="preserve">A-15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E19">
              <w:r>
                <w:rPr>
                  <w:rStyle w:val="InternetLink"/>
                </w:rPr>
                <w:t>SECTION 19.    TRANSFERABILITY</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E19">
              <w:r>
                <w:rPr>
                  <w:rStyle w:val="InternetLink"/>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before="0" w:after="0"/>
              <w:jc w:val="left"/>
              <w:rPr/>
            </w:pPr>
            <w:hyperlink w:anchor="tS2BA">
              <w:r>
                <w:rPr>
                  <w:rStyle w:val="InternetLink"/>
                </w:rPr>
                <w:t>SECTION 20.    PERFORMANCE BASED AWARDS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S2BA">
              <w:r>
                <w:rPr>
                  <w:rStyle w:val="InternetLink"/>
                </w:rPr>
                <w:t>A-16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2CO">
              <w:r>
                <w:rPr>
                  <w:rStyle w:val="InternetLink"/>
                </w:rPr>
                <w:t>SECTION 21.    FORFEITURE, CANCELLATION OR RECOUPMENT OF AWARDS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2CO">
              <w:r>
                <w:rPr>
                  <w:rStyle w:val="InternetLink"/>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before="0" w:after="0"/>
              <w:jc w:val="left"/>
              <w:rPr/>
            </w:pPr>
            <w:hyperlink w:anchor="tS2ER">
              <w:r>
                <w:rPr>
                  <w:rStyle w:val="InternetLink"/>
                </w:rPr>
                <w:t>SECTION 22.    NO EMPLOYMENT RIGHTS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S2ER">
              <w:r>
                <w:rPr>
                  <w:rStyle w:val="InternetLink"/>
                </w:rPr>
                <w:t>A-16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2AA">
              <w:r>
                <w:rPr>
                  <w:rStyle w:val="InternetLink"/>
                  <w:b/>
                </w:rPr>
                <w:t>SECTION 23.    DURATION AND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2AA">
              <w:r>
                <w:rPr>
                  <w:rStyle w:val="InternetLink"/>
                </w:rPr>
                <w:t xml:space="preserve">A-16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lineRule="atLeast" w:line="180" w:before="0" w:after="0"/>
              <w:ind w:left="680" w:right="0" w:hanging="0"/>
              <w:jc w:val="left"/>
              <w:rPr/>
            </w:pPr>
            <w:hyperlink w:anchor="tAOTP">
              <w:r>
                <w:rPr>
                  <w:rStyle w:val="InternetLink"/>
                </w:rPr>
                <w:t xml:space="preserve">Term of the Plan </w:t>
              </w:r>
            </w:hyperlink>
            <w:r>
              <mc:AlternateContent>
                <mc:Choice Requires="wps">
                  <w:drawing>
                    <wp:anchor behindDoc="0" distT="0" distB="0" distL="114300" distR="0" simplePos="0" locked="0" layoutInCell="1" allowOverlap="1" relativeHeight="376">
                      <wp:simplePos x="0" y="0"/>
                      <wp:positionH relativeFrom="column">
                        <wp:align>left</wp:align>
                      </wp:positionH>
                      <wp:positionV relativeFrom="line">
                        <wp:posOffset>635</wp:posOffset>
                      </wp:positionV>
                      <wp:extent cx="317500" cy="350520"/>
                      <wp:effectExtent l="0" t="0" r="0" b="0"/>
                      <wp:wrapSquare wrapText="right"/>
                      <wp:docPr id="381" name="Frame31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OTP">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OTP">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O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AOTP">
              <w:r>
                <w:rPr>
                  <w:rStyle w:val="InternetLink"/>
                </w:rPr>
                <w:t xml:space="preserve">A-16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TAT">
              <w:r>
                <w:rPr>
                  <w:rStyle w:val="InternetLink"/>
                </w:rPr>
                <w:t xml:space="preserve">Right to Amend the Plan </w:t>
              </w:r>
            </w:hyperlink>
            <w:r>
              <mc:AlternateContent>
                <mc:Choice Requires="wps">
                  <w:drawing>
                    <wp:anchor behindDoc="0" distT="0" distB="0" distL="114300" distR="0" simplePos="0" locked="0" layoutInCell="1" allowOverlap="1" relativeHeight="377">
                      <wp:simplePos x="0" y="0"/>
                      <wp:positionH relativeFrom="column">
                        <wp:align>left</wp:align>
                      </wp:positionH>
                      <wp:positionV relativeFrom="line">
                        <wp:posOffset>635</wp:posOffset>
                      </wp:positionV>
                      <wp:extent cx="317500" cy="350520"/>
                      <wp:effectExtent l="0" t="0" r="0" b="0"/>
                      <wp:wrapSquare wrapText="right"/>
                      <wp:docPr id="382" name="Frame31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TA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TA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T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BTAT">
              <w:r>
                <w:rPr>
                  <w:rStyle w:val="InternetLink"/>
                </w:rPr>
                <w:t xml:space="preserve">A-16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lineRule="atLeast" w:line="180" w:before="0" w:after="0"/>
              <w:ind w:left="680" w:right="0" w:hanging="0"/>
              <w:jc w:val="left"/>
              <w:rPr/>
            </w:pPr>
            <w:hyperlink w:anchor="tCOTN">
              <w:r>
                <w:rPr>
                  <w:rStyle w:val="InternetLink"/>
                </w:rPr>
                <w:t xml:space="preserve">Effect of Termination </w:t>
              </w:r>
            </w:hyperlink>
            <w:r>
              <mc:AlternateContent>
                <mc:Choice Requires="wps">
                  <w:drawing>
                    <wp:anchor behindDoc="0" distT="0" distB="0" distL="114300" distR="0" simplePos="0" locked="0" layoutInCell="1" allowOverlap="1" relativeHeight="378">
                      <wp:simplePos x="0" y="0"/>
                      <wp:positionH relativeFrom="column">
                        <wp:align>left</wp:align>
                      </wp:positionH>
                      <wp:positionV relativeFrom="line">
                        <wp:posOffset>635</wp:posOffset>
                      </wp:positionV>
                      <wp:extent cx="317500" cy="350520"/>
                      <wp:effectExtent l="0" t="0" r="0" b="0"/>
                      <wp:wrapSquare wrapText="right"/>
                      <wp:docPr id="383" name="Frame31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OTN">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OTN">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O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COTN">
              <w:r>
                <w:rPr>
                  <w:rStyle w:val="InternetLink"/>
                </w:rPr>
                <w:t xml:space="preserve">A-17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2TN">
              <w:r>
                <w:rPr>
                  <w:rStyle w:val="InternetLink"/>
                </w:rPr>
                <w:t>SECTION 24.    AWARDS TO NON-U.S. PARTICIPANTS.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2TN">
              <w:r>
                <w:rPr>
                  <w:rStyle w:val="InternetLink"/>
                </w:rPr>
                <w:t>A-17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before="0" w:after="0"/>
              <w:jc w:val="left"/>
              <w:rPr/>
            </w:pPr>
            <w:hyperlink w:anchor="tS2L">
              <w:r>
                <w:rPr>
                  <w:rStyle w:val="InternetLink"/>
                </w:rPr>
                <w:t>SECTION 25.    GOVERNING LAW</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S2L">
              <w:r>
                <w:rPr>
                  <w:rStyle w:val="InternetLink"/>
                </w:rPr>
                <w:t>A-17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59" w:type="dxa"/>
            <w:tcBorders/>
            <w:shd w:fill="CCEEFF" w:val="clear"/>
            <w:tcMar>
              <w:bottom w:w="0" w:type="dxa"/>
            </w:tcMar>
            <w:vAlign w:val="center"/>
          </w:tcPr>
          <w:p>
            <w:pPr>
              <w:pStyle w:val="TableContents"/>
              <w:bidi w:val="0"/>
              <w:spacing w:before="0" w:after="0"/>
              <w:jc w:val="left"/>
              <w:rPr/>
            </w:pPr>
            <w:hyperlink w:anchor="tS2AA1">
              <w:r>
                <w:rPr>
                  <w:rStyle w:val="InternetLink"/>
                </w:rPr>
                <w:t>SECTION 26.    SUCCESSORS AND ASSIGNS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6" w:type="dxa"/>
            <w:tcBorders/>
            <w:shd w:fill="CCEEFF" w:val="clear"/>
            <w:tcMar>
              <w:bottom w:w="0" w:type="dxa"/>
            </w:tcMar>
            <w:vAlign w:val="center"/>
          </w:tcPr>
          <w:p>
            <w:pPr>
              <w:pStyle w:val="TableContents"/>
              <w:bidi w:val="0"/>
              <w:spacing w:before="0" w:after="283"/>
              <w:jc w:val="right"/>
              <w:rPr/>
            </w:pPr>
            <w:hyperlink w:anchor="tS2AA1">
              <w:r>
                <w:rPr>
                  <w:rStyle w:val="InternetLink"/>
                </w:rPr>
                <w:t>A-17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59" w:type="dxa"/>
            <w:tcBorders/>
            <w:tcMar>
              <w:bottom w:w="0" w:type="dxa"/>
            </w:tcMar>
            <w:vAlign w:val="center"/>
          </w:tcPr>
          <w:p>
            <w:pPr>
              <w:pStyle w:val="TableContents"/>
              <w:bidi w:val="0"/>
              <w:spacing w:before="0" w:after="0"/>
              <w:jc w:val="left"/>
              <w:rPr/>
            </w:pPr>
            <w:hyperlink w:anchor="tSE27">
              <w:r>
                <w:rPr>
                  <w:rStyle w:val="InternetLink"/>
                </w:rPr>
                <w:t>SECTION 27.    EXECUTION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hyperlink w:anchor="tSE27">
              <w:r>
                <w:rPr>
                  <w:rStyle w:val="InternetLink"/>
                </w:rPr>
                <w:t>A-17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3243" w:type="dxa"/>
        <w:jc w:val="left"/>
        <w:tblInd w:w="720" w:type="dxa"/>
        <w:tblLayout w:type="fixed"/>
        <w:tblCellMar>
          <w:top w:w="0" w:type="dxa"/>
          <w:left w:w="0" w:type="dxa"/>
          <w:bottom w:w="0" w:type="dxa"/>
          <w:right w:w="0" w:type="dxa"/>
        </w:tblCellMar>
      </w:tblPr>
      <w:tblGrid>
        <w:gridCol w:w="124"/>
        <w:gridCol w:w="2206"/>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b/>
              </w:rPr>
            </w:pPr>
            <w:r>
              <w:rPr>
                <w:b/>
              </w:rPr>
              <w:t>A-iii</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S1AP"/>
      <w:bookmarkEnd w:id="31"/>
      <w:r>
        <w:rPr>
          <w:rFonts w:ascii="calibri;arial;sans-serif" w:hAnsi="calibri;arial;sans-serif"/>
          <w:b w:val="false"/>
          <w:i w:val="false"/>
          <w:caps w:val="false"/>
          <w:smallCaps w:val="false"/>
          <w:color w:val="000000"/>
          <w:sz w:val="16"/>
        </w:rPr>
        <w:t>​</w:t>
      </w:r>
      <w:bookmarkStart w:id="32" w:name="tSE2D"/>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L</w:t>
      </w:r>
      <w:r>
        <w:rPr>
          <w:rFonts w:ascii="Times New Roman;Times;serif" w:hAnsi="Times New Roman;Times;serif"/>
          <w:b w:val="false"/>
          <w:i w:val="false"/>
          <w:caps w:val="false"/>
          <w:smallCaps w:val="false"/>
          <w:color w:val="000000"/>
          <w:sz w:val="40"/>
        </w:rPr>
        <w:t>UCID</w:t>
      </w:r>
      <w:r>
        <w:rPr>
          <w:rFonts w:ascii="Times New Roman;Times;serif" w:hAnsi="Times New Roman;Times;serif"/>
          <w:b w:val="false"/>
          <w:i w:val="false"/>
          <w:caps w:val="false"/>
          <w:smallCaps w:val="false"/>
          <w:color w:val="000000"/>
          <w:sz w:val="40"/>
        </w:rPr>
        <w:t xml:space="preserve"> G</w:t>
      </w:r>
      <w:r>
        <w:rPr>
          <w:rFonts w:ascii="Times New Roman;Times;serif" w:hAnsi="Times New Roman;Times;serif"/>
          <w:b w:val="false"/>
          <w:i w:val="false"/>
          <w:caps w:val="false"/>
          <w:smallCaps w:val="false"/>
          <w:color w:val="000000"/>
          <w:sz w:val="40"/>
        </w:rPr>
        <w:t>ROUP</w:t>
      </w:r>
      <w:r>
        <w:rPr>
          <w:rFonts w:ascii="Times New Roman;Times;serif" w:hAnsi="Times New Roman;Times;serif"/>
          <w:b w:val="false"/>
          <w:i w:val="false"/>
          <w:caps w:val="false"/>
          <w:smallCaps w:val="false"/>
          <w:color w:val="000000"/>
          <w:sz w:val="40"/>
        </w:rPr>
        <w:t>, I</w:t>
      </w:r>
      <w:r>
        <w:rPr>
          <w:rFonts w:ascii="Times New Roman;Times;serif" w:hAnsi="Times New Roman;Times;serif"/>
          <w:b w:val="false"/>
          <w:i w:val="false"/>
          <w:caps w:val="false"/>
          <w:smallCaps w:val="false"/>
          <w:color w:val="000000"/>
          <w:sz w:val="40"/>
        </w:rPr>
        <w:t>NC</w:t>
      </w:r>
      <w:r>
        <w:rPr>
          <w:rFonts w:ascii="Times New Roman;Times;serif" w:hAnsi="Times New Roman;Times;serif"/>
          <w:b w:val="false"/>
          <w:i w:val="false"/>
          <w:caps w:val="false"/>
          <w:smallCaps w:val="false"/>
          <w:color w:val="000000"/>
          <w:sz w:val="40"/>
        </w:rPr>
        <w:t xml:space="preserve">. </w:t>
        <w:br/>
        <w:t>A</w:t>
      </w:r>
      <w:r>
        <w:rPr>
          <w:rFonts w:ascii="Times New Roman;Times;serif" w:hAnsi="Times New Roman;Times;serif"/>
          <w:b w:val="false"/>
          <w:i w:val="false"/>
          <w:caps w:val="false"/>
          <w:smallCaps w:val="false"/>
          <w:color w:val="000000"/>
          <w:sz w:val="40"/>
        </w:rPr>
        <w:t>MENDED AND</w:t>
      </w:r>
      <w:r>
        <w:rPr>
          <w:rFonts w:ascii="Times New Roman;Times;serif" w:hAnsi="Times New Roman;Times;serif"/>
          <w:b w:val="false"/>
          <w:i w:val="false"/>
          <w:caps w:val="false"/>
          <w:smallCaps w:val="false"/>
          <w:color w:val="000000"/>
          <w:sz w:val="40"/>
        </w:rPr>
        <w:t xml:space="preserve"> R</w:t>
      </w:r>
      <w:r>
        <w:rPr>
          <w:rFonts w:ascii="Times New Roman;Times;serif" w:hAnsi="Times New Roman;Times;serif"/>
          <w:b w:val="false"/>
          <w:i w:val="false"/>
          <w:caps w:val="false"/>
          <w:smallCaps w:val="false"/>
          <w:color w:val="000000"/>
          <w:sz w:val="40"/>
        </w:rPr>
        <w:t>ESTATED</w:t>
      </w:r>
      <w:r>
        <w:rPr>
          <w:rFonts w:ascii="Times New Roman;Times;serif" w:hAnsi="Times New Roman;Times;serif"/>
          <w:b w:val="false"/>
          <w:i w:val="false"/>
          <w:caps w:val="false"/>
          <w:smallCaps w:val="false"/>
          <w:color w:val="000000"/>
          <w:sz w:val="40"/>
        </w:rPr>
        <w:t xml:space="preserve"> 2021 S</w:t>
      </w:r>
      <w:r>
        <w:rPr>
          <w:rFonts w:ascii="Times New Roman;Times;serif" w:hAnsi="Times New Roman;Times;serif"/>
          <w:b w:val="false"/>
          <w:i w:val="false"/>
          <w:caps w:val="false"/>
          <w:smallCaps w:val="false"/>
          <w:color w:val="000000"/>
          <w:sz w:val="40"/>
        </w:rPr>
        <w:t>TOCK</w:t>
      </w:r>
      <w:r>
        <w:rPr>
          <w:rFonts w:ascii="Times New Roman;Times;serif" w:hAnsi="Times New Roman;Times;serif"/>
          <w:b w:val="false"/>
          <w:i w:val="false"/>
          <w:caps w:val="false"/>
          <w:smallCaps w:val="false"/>
          <w:color w:val="000000"/>
          <w:sz w:val="40"/>
        </w:rPr>
        <w:t xml:space="preserve"> I</w:t>
      </w:r>
      <w:r>
        <w:rPr>
          <w:rFonts w:ascii="Times New Roman;Times;serif" w:hAnsi="Times New Roman;Times;serif"/>
          <w:b w:val="false"/>
          <w:i w:val="false"/>
          <w:caps w:val="false"/>
          <w:smallCaps w:val="false"/>
          <w:color w:val="000000"/>
          <w:sz w:val="40"/>
        </w:rPr>
        <w:t>NCENTIVE</w:t>
      </w:r>
      <w:r>
        <w:rPr>
          <w:rFonts w:ascii="Times New Roman;Times;serif" w:hAnsi="Times New Roman;Times;serif"/>
          <w:b w:val="false"/>
          <w:i w:val="false"/>
          <w:caps w:val="false"/>
          <w:smallCaps w:val="false"/>
          <w:color w:val="000000"/>
          <w:sz w:val="40"/>
        </w:rPr>
        <w:t xml:space="preserve"> P</w:t>
      </w:r>
      <w:r>
        <w:rPr>
          <w:rFonts w:ascii="Times New Roman;Times;serif" w:hAnsi="Times New Roman;Times;serif"/>
          <w:b w:val="false"/>
          <w:i w:val="false"/>
          <w:caps w:val="false"/>
          <w:smallCaps w:val="false"/>
          <w:color w:val="000000"/>
          <w:sz w:val="40"/>
        </w:rPr>
        <w:t>LAN</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20" w:before="40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   ESTABLISHMENT AND PURPOSE.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Plan was initially adopted by the Board on February 22, 2021. The Plan was amended on June 21, 2021, amended and restated on April 27, 2022, amended and restated on March 2, 2023, amended and restated on April 22, 2024, and further amended and restated on April 22, 2025.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Arial;Helvetica;sans-serif" w:hAnsi="Arial;Helvetica;sans-serif"/>
          <w:b w:val="false"/>
          <w:i/>
          <w:caps w:val="false"/>
          <w:smallCaps w:val="false"/>
          <w:color w:val="000000"/>
          <w:sz w:val="18"/>
        </w:rPr>
        <w:t>provided, however</w:t>
      </w:r>
      <w:r>
        <w:rPr>
          <w:rFonts w:ascii="Arial;Helvetica;sans-serif" w:hAnsi="Arial;Helvetica;sans-serif"/>
          <w:b w:val="false"/>
          <w:i w:val="false"/>
          <w:caps w:val="false"/>
          <w:smallCaps w:val="false"/>
          <w:color w:val="000000"/>
          <w:sz w:val="18"/>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Helvetica;sans-serif" w:hAnsi="Arial;Helvetica;sans-serif"/>
          <w:b/>
          <w:i w:val="false"/>
          <w:caps w:val="false"/>
          <w:smallCaps w:val="false"/>
          <w:color w:val="000000"/>
          <w:sz w:val="18"/>
        </w:rPr>
        <w:t>Returning Shares</w:t>
      </w:r>
      <w:r>
        <w:rPr>
          <w:rFonts w:ascii="Arial;Helvetica;sans-serif" w:hAnsi="Arial;Helvetica;sans-serif"/>
          <w:b w:val="false"/>
          <w:i w:val="false"/>
          <w:caps w:val="false"/>
          <w:smallCaps w:val="false"/>
          <w:color w:val="000000"/>
          <w:sz w:val="18"/>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   DEFINITIONS.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“2009 Plan” means the 2009 Share Plan of Atieva, Inc., as amended.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“2014 Plan” means the 2014 Share Plan of Atieva, Inc., as amended.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“2021 Plan” means the Atieva, Inc. 2021 Stock Incentive Plan, as amended.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“Affiliate” means any entity other than a Subsidiary, if the Company and/or one or more Subsidiaries own not less than 50% of such entity.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“Award” means any award of an Option, a SAR, a Restricted Share, a Restricted Stock Unit, a Cash-Based Award or a Stock Purchase Right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“Award Agreement” means the agreement between the Company and the recipient of an Award which contains the terms, conditions and restrictions pertaining to such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“Board of Directors” or “Board” means the Board of Directors of the Company, as constituted from time to time.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   “Cash-Based Award” means an Award that entitles the Participant to receive a cash-denominated payment.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   “Cause”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(j)   “Change in Control” means the occurrence of any of the following events: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4"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change in the composition of the Board occurs, as a result of which fewer than one-half of the incumbent directors are directors who either: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1905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84"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7pt;mso-wrap-distance-bottom:0pt;margin-top:11.7pt;mso-position-vertical:top;mso-position-vertical-relative:text;margin-left:15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8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Had been directors of the Company on the “look-back date” ​(as defined below) (the “original directors”);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44450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85"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35pt;mso-wrap-distance-right:0pt;mso-wrap-distance-top:11.7pt;mso-wrap-distance-bottom:0pt;margin-top:11.7pt;mso-position-vertical:top;mso-position-vertical-relative:text;margin-left:35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8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44450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86"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35pt;mso-wrap-distance-right:0pt;mso-wrap-distance-top:11.8pt;mso-wrap-distance-bottom:0pt;margin-top:11.8pt;mso-position-vertical:top;mso-position-vertical-relative:text;margin-left:35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87"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88"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sale, transfer, or other disposition of all or substantially all of the Company’s assets.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89"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purposes of subsection (j)(i) above, the term “look-back” date means the later of  (1) the Effective Date and (2) the date that is 24 months prior to the date of the event that may constitute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r>
        <w:rPr>
          <w:rFonts w:ascii="Arial;Helvetica;sans-serif" w:hAnsi="Arial;Helvetica;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   “Code” means the United States Internal Revenue Code of 1986, as amended, and the rules and regulations promulgated thereunder.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   “Committee” means the Compensation and Human Capital Committee as designated by the Board, which is authorized to administer the Plan, as described in Section 3 hereof.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   “Company” means Lucid Group, Inc., a Delaware corporation, or any successor thereto.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   “Consultant” means a natural person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 provided that such bona fide services shall not be in connection with the offer or sale of securities in a capital-raising transaction and do not directly or indirectly promote or maintain a market for the Company’s securities.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   “Disability” means any permanent and total disability as defined by Section 22(e)(3)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   “Effective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(q)   “Employee” means any individual who is a common-law employee of the Company, a Parent, a Subsidiary, or an Affiliate.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(r)   “ESPP Addendum” means the Lucid Group, Inc. Amended and Restated 2021 Employee Stock Purchase Plan attached to this Plan as </w:t>
      </w:r>
      <w:r>
        <w:rPr>
          <w:rFonts w:ascii="Arial;Helvetica;sans-serif" w:hAnsi="Arial;Helvetica;sans-serif"/>
          <w:b w:val="false"/>
          <w:i w:val="false"/>
          <w:caps w:val="false"/>
          <w:smallCaps w:val="false"/>
          <w:color w:val="000000"/>
          <w:sz w:val="18"/>
          <w:u w:val="single"/>
        </w:rPr>
        <w:t>Exhibit A</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   “Exchange Act” means the United States Securities Exchange Act of 1934, as amended, and the rules and regulations promulgated thereunder.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   “Exercise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   “Fair Market Value” with respect to a Share, means the market price of one Share, determined by the Committee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90"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91"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none of the foregoing provisions is applicable, then the Fair Market Value shall be determined by the Committee in good faith on such basis as it deems appropriate.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92"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 all cases, the determination of Fair Market Value by the Committee shall be conclusive and binding on all persons.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   “ISO” means an employee incentive stock option described in Section 422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   “Nonstatutory Option” or “NSO” means an employee stock option that is not an ISO or a Stock Purchase Right.</w:t>
      </w:r>
      <w:r>
        <w:rPr>
          <w:rFonts w:ascii="Arial;Helvetica;sans-serif" w:hAnsi="Arial;Helvetica;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(x)   “Option” means an ISO or NSO granted under the Plan and entitling the holder to purchase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   “Outside Director” means a member of the Board who is not a common-law employee of, or paid consultant to, the Company, a Parent or a Subsidiary.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(z)   “Parent”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(aa)   “Participant” means a person who holds an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(bb)   “Plan” means this Amended and Restated 2021 Stock Incentive Plan of Lucid Group, Inc., as amended from time to time.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(cc)   “Purchase Price” means the consideration for which one Share may be acquired under the Plan (other than upon (i) exercise of an Option or (ii) exercise of any Stock Purchase Right under the ESPP Addendum), as specified by the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(dd)   “Restatement Date” means the date of the Company’s 2022 Annual Meeting of Stockholders, “Second Restatement Date” means the date of the Company’s 2023 Annual Meeting of Stockholders, “Third Restatement Date” means the date of the Company’s 2024 Annual Meeting of Stockholders, and “Fourth Restatement Date” means the date of the Company’s 2025 Annual Meeting of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(ee)   “Restricted Share” means a Share awarded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(ff)   “Restricted Stock Unit” means a bookkeeping entry representing the Company’s obligation to deliver one Share (or distribute cash) on a future date in accordance with the provisions of a Restricted Stock Unit Award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(gg)   “SAR” means a stock appreciation right granted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(hh)   “Section 409A” means Section 409A of the Code and any regulations or guidance promulgated thereunder.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(ii)   “Securities Act” means the United States Securities Act of 1933, as amended, the rules and regulations promulgated thereunder.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(jj)   “Service”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(kk)   “Share” means one Share of Stock, as adjusted in accordance with Section 13 (if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(ll)   “Stock” means the Common Stock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(mm)   “Stock Purchase Right” means an option to purchase Shares granted pursuant to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(nn)   “Subsidiary”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r>
        <w:rPr>
          <w:rFonts w:ascii="Arial;Helvetica;sans-serif" w:hAnsi="Arial;Helvetica;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SE3A"/>
      <w:bookmarkEnd w:id="33"/>
      <w:r>
        <w:rPr>
          <w:rFonts w:ascii="calibri;arial;sans-serif" w:hAnsi="calibri;arial;sans-serif"/>
          <w:b w:val="false"/>
          <w:i w:val="false"/>
          <w:caps w:val="false"/>
          <w:smallCaps w:val="false"/>
          <w:color w:val="000000"/>
          <w:sz w:val="16"/>
        </w:rPr>
        <w:t>​</w:t>
      </w:r>
      <w:bookmarkStart w:id="34" w:name="tACTP"/>
      <w:bookmarkEnd w:id="34"/>
      <w:r>
        <w:rPr>
          <w:rFonts w:ascii="calibri;arial;sans-serif" w:hAnsi="calibri;arial;sans-serif"/>
          <w:b w:val="false"/>
          <w:i w:val="false"/>
          <w:caps w:val="false"/>
          <w:smallCaps w:val="false"/>
          <w:color w:val="000000"/>
          <w:sz w:val="16"/>
        </w:rPr>
        <w:t>​</w:t>
      </w:r>
      <w:bookmarkStart w:id="35" w:name="tBATB"/>
      <w:bookmarkEnd w:id="35"/>
      <w:r>
        <w:rPr>
          <w:rFonts w:ascii="calibri;arial;sans-serif" w:hAnsi="calibri;arial;sans-serif"/>
          <w:b w:val="false"/>
          <w:i w:val="false"/>
          <w:caps w:val="false"/>
          <w:smallCaps w:val="false"/>
          <w:color w:val="000000"/>
          <w:sz w:val="16"/>
        </w:rPr>
        <w:t>​</w:t>
      </w:r>
      <w:bookmarkStart w:id="36" w:name="tCRST"/>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3.   ADMINISTRATION.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Committee Composition</w:t>
      </w:r>
      <w:r>
        <w:rPr>
          <w:rFonts w:ascii="Arial;Helvetica;sans-serif" w:hAnsi="Arial;Helvetica;sans-serif"/>
          <w:b w:val="false"/>
          <w:i w:val="false"/>
          <w:caps w:val="false"/>
          <w:smallCaps w:val="false"/>
          <w:color w:val="000000"/>
          <w:sz w:val="18"/>
        </w:rPr>
        <w:t>.   The Plan shall be administered by a Committee appointed by the Board, or by the Board acting as the Committee. The Committee shall consist of two or more directors of the Company. In addition, to the extent required by the Board, the composition of the Committee shall satisfy such requirements of the New York Stock Exchange (“</w:t>
      </w:r>
      <w:r>
        <w:rPr>
          <w:rFonts w:ascii="Arial;Helvetica;sans-serif" w:hAnsi="Arial;Helvetica;sans-serif"/>
          <w:b/>
          <w:i w:val="false"/>
          <w:caps w:val="false"/>
          <w:smallCaps w:val="false"/>
          <w:color w:val="000000"/>
          <w:sz w:val="18"/>
        </w:rPr>
        <w:t>NYSE</w:t>
      </w:r>
      <w:r>
        <w:rPr>
          <w:rFonts w:ascii="Arial;Helvetica;sans-serif" w:hAnsi="Arial;Helvetica;sans-serif"/>
          <w:b w:val="false"/>
          <w:i w:val="false"/>
          <w:caps w:val="false"/>
          <w:smallCaps w:val="false"/>
          <w:color w:val="000000"/>
          <w:sz w:val="18"/>
        </w:rPr>
        <w:t>”) or the Nasdaq Stock Market (“</w:t>
      </w:r>
      <w:r>
        <w:rPr>
          <w:rFonts w:ascii="Arial;Helvetica;sans-serif" w:hAnsi="Arial;Helvetica;sans-serif"/>
          <w:b/>
          <w:i w:val="false"/>
          <w:caps w:val="false"/>
          <w:smallCaps w:val="false"/>
          <w:color w:val="000000"/>
          <w:sz w:val="18"/>
        </w:rPr>
        <w:t>Nasdaq</w:t>
      </w:r>
      <w:r>
        <w:rPr>
          <w:rFonts w:ascii="Arial;Helvetica;sans-serif" w:hAnsi="Arial;Helvetica;sans-serif"/>
          <w:b w:val="false"/>
          <w:i w:val="false"/>
          <w:caps w:val="false"/>
          <w:smallCaps w:val="false"/>
          <w:color w:val="000000"/>
          <w:sz w:val="18"/>
        </w:rPr>
        <w:t>”), as applicable, and as the Securities and Exchange Commission may establish for administrators acting under plans intended to qualify for exemption under Rule 16b-3 (or its successor) under the Exchange Act.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Committee Appointment</w:t>
      </w:r>
      <w:r>
        <w:rPr>
          <w:rFonts w:ascii="Arial;Helvetica;sans-serif" w:hAnsi="Arial;Helvetica;sans-serif"/>
          <w:b w:val="false"/>
          <w:i w:val="false"/>
          <w:caps w:val="false"/>
          <w:smallCaps w:val="false"/>
          <w:color w:val="000000"/>
          <w:sz w:val="18"/>
        </w:rPr>
        <w:t>.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Committee Responsibilities</w:t>
      </w:r>
      <w:r>
        <w:rPr>
          <w:rFonts w:ascii="Arial;Helvetica;sans-serif" w:hAnsi="Arial;Helvetica;sans-serif"/>
          <w:b w:val="false"/>
          <w:i w:val="false"/>
          <w:caps w:val="false"/>
          <w:smallCaps w:val="false"/>
          <w:color w:val="000000"/>
          <w:sz w:val="18"/>
        </w:rPr>
        <w:t>.   Subject to the provisions of the Plan, the Committee shall have full authority and discretion to take the following actions: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interpret the Plan and to apply its provisions;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4940" distB="0" distL="254000" distR="0" simplePos="0" locked="0" layoutInCell="1" allowOverlap="1" relativeHeight="388">
                <wp:simplePos x="0" y="0"/>
                <wp:positionH relativeFrom="column">
                  <wp:align>left</wp:align>
                </wp:positionH>
                <wp:positionV relativeFrom="line">
                  <wp:align>top</wp:align>
                </wp:positionV>
                <wp:extent cx="317500" cy="350520"/>
                <wp:effectExtent l="0" t="0" r="0" b="0"/>
                <wp:wrapSquare wrapText="right"/>
                <wp:docPr id="393" name="Frame32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adopt, amend, or rescind rules, procedures, and forms relating to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4940" distB="0" distL="254000" distR="0" simplePos="0" locked="0" layoutInCell="1" allowOverlap="1" relativeHeight="389">
                <wp:simplePos x="0" y="0"/>
                <wp:positionH relativeFrom="column">
                  <wp:align>left</wp:align>
                </wp:positionH>
                <wp:positionV relativeFrom="line">
                  <wp:align>top</wp:align>
                </wp:positionV>
                <wp:extent cx="317500" cy="350520"/>
                <wp:effectExtent l="0" t="0" r="0" b="0"/>
                <wp:wrapSquare wrapText="right"/>
                <wp:docPr id="394" name="Frame32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adopt, amend, or terminate (A) the ESPP Addendum and (B) any sub-plans established for the purpose of satisfying applicable foreign laws including qualifying for preferred tax treatment under applicable foreign tax laws;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0">
                <wp:simplePos x="0" y="0"/>
                <wp:positionH relativeFrom="column">
                  <wp:align>left</wp:align>
                </wp:positionH>
                <wp:positionV relativeFrom="line">
                  <wp:align>top</wp:align>
                </wp:positionV>
                <wp:extent cx="317500" cy="350520"/>
                <wp:effectExtent l="0" t="0" r="0" b="0"/>
                <wp:wrapSquare wrapText="right"/>
                <wp:docPr id="395" name="Frame32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authorize any person to execute, on behalf of the Company, any instrument required to carry out the purposes of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1">
                <wp:simplePos x="0" y="0"/>
                <wp:positionH relativeFrom="column">
                  <wp:align>left</wp:align>
                </wp:positionH>
                <wp:positionV relativeFrom="line">
                  <wp:align>top</wp:align>
                </wp:positionV>
                <wp:extent cx="317500" cy="350520"/>
                <wp:effectExtent l="0" t="0" r="0" b="0"/>
                <wp:wrapSquare wrapText="right"/>
                <wp:docPr id="396" name="Frame32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determine when Awards are to be granted under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2">
                <wp:simplePos x="0" y="0"/>
                <wp:positionH relativeFrom="column">
                  <wp:align>left</wp:align>
                </wp:positionH>
                <wp:positionV relativeFrom="line">
                  <wp:align>top</wp:align>
                </wp:positionV>
                <wp:extent cx="317500" cy="350520"/>
                <wp:effectExtent l="0" t="0" r="0" b="0"/>
                <wp:wrapSquare wrapText="right"/>
                <wp:docPr id="397" name="Frame32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select the Participants to whom Awards are to be granted;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3">
                <wp:simplePos x="0" y="0"/>
                <wp:positionH relativeFrom="column">
                  <wp:align>left</wp:align>
                </wp:positionH>
                <wp:positionV relativeFrom="line">
                  <wp:align>top</wp:align>
                </wp:positionV>
                <wp:extent cx="317500" cy="350520"/>
                <wp:effectExtent l="0" t="0" r="0" b="0"/>
                <wp:wrapSquare wrapText="right"/>
                <wp:docPr id="398" name="Frame32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determine the type of Award and number of Shares or amount of cash to be made subject to each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4">
                <wp:simplePos x="0" y="0"/>
                <wp:positionH relativeFrom="column">
                  <wp:align>left</wp:align>
                </wp:positionH>
                <wp:positionV relativeFrom="line">
                  <wp:align>top</wp:align>
                </wp:positionV>
                <wp:extent cx="317500" cy="350520"/>
                <wp:effectExtent l="0" t="0" r="0" b="0"/>
                <wp:wrapSquare wrapText="right"/>
                <wp:docPr id="399" name="Frame33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5">
                <wp:simplePos x="0" y="0"/>
                <wp:positionH relativeFrom="column">
                  <wp:align>left</wp:align>
                </wp:positionH>
                <wp:positionV relativeFrom="line">
                  <wp:align>top</wp:align>
                </wp:positionV>
                <wp:extent cx="317500" cy="350520"/>
                <wp:effectExtent l="0" t="0" r="0" b="0"/>
                <wp:wrapSquare wrapText="right"/>
                <wp:docPr id="400" name="Frame33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amend any outstanding Award Agreement, subject to applicable legal restrictions and to the consent of the Participant if the Participant’s rights or obligations would be materially impaired;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6">
                <wp:simplePos x="0" y="0"/>
                <wp:positionH relativeFrom="column">
                  <wp:align>left</wp:align>
                </wp:positionH>
                <wp:positionV relativeFrom="line">
                  <wp:align>top</wp:align>
                </wp:positionV>
                <wp:extent cx="317500" cy="350520"/>
                <wp:effectExtent l="0" t="0" r="0" b="0"/>
                <wp:wrapSquare wrapText="right"/>
                <wp:docPr id="401" name="Frame33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(ix)</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(ix)</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prescribe the consideration for the grant of each Award or other right under the Plan and to determine the sufficiency of such consideration;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7">
                <wp:simplePos x="0" y="0"/>
                <wp:positionH relativeFrom="column">
                  <wp:align>left</wp:align>
                </wp:positionH>
                <wp:positionV relativeFrom="line">
                  <wp:align>top</wp:align>
                </wp:positionV>
                <wp:extent cx="317500" cy="350520"/>
                <wp:effectExtent l="0" t="0" r="0" b="0"/>
                <wp:wrapSquare wrapText="right"/>
                <wp:docPr id="402" name="Frame33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(x)</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determine the disposition of each Award or other right under the Plan in the event of a Participant’s divorce or dissolution of marriage;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398">
                <wp:simplePos x="0" y="0"/>
                <wp:positionH relativeFrom="column">
                  <wp:align>left</wp:align>
                </wp:positionH>
                <wp:positionV relativeFrom="line">
                  <wp:align>top</wp:align>
                </wp:positionV>
                <wp:extent cx="317500" cy="350520"/>
                <wp:effectExtent l="0" t="0" r="0" b="0"/>
                <wp:wrapSquare wrapText="right"/>
                <wp:docPr id="403" name="Frame33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SE4E"/>
      <w:bookmarkEnd w:id="37"/>
      <w:r>
        <w:rPr>
          <w:rFonts w:ascii="calibri;arial;sans-serif" w:hAnsi="calibri;arial;sans-serif"/>
          <w:b w:val="false"/>
          <w:i w:val="false"/>
          <w:caps w:val="false"/>
          <w:smallCaps w:val="false"/>
          <w:color w:val="000000"/>
          <w:sz w:val="16"/>
        </w:rPr>
        <w:t>​</w:t>
      </w:r>
      <w:bookmarkStart w:id="38" w:name="tAROE"/>
      <w:bookmarkEnd w:id="38"/>
      <w:r>
        <w:rPr>
          <w:rFonts w:ascii="calibri;arial;sans-serif" w:hAnsi="calibri;arial;sans-serif"/>
          <w:b w:val="false"/>
          <w:i w:val="false"/>
          <w:caps w:val="false"/>
          <w:smallCaps w:val="false"/>
          <w:color w:val="000000"/>
          <w:sz w:val="16"/>
        </w:rPr>
        <w:t>​</w:t>
      </w:r>
      <w:bookmarkStart w:id="39" w:name="tBSAE"/>
      <w:bookmarkEnd w:id="39"/>
      <w:r>
        <w:rPr>
          <w:rFonts w:ascii="calibri;arial;sans-serif" w:hAnsi="calibri;arial;sans-serif"/>
          <w:b w:val="false"/>
          <w:i w:val="false"/>
          <w:caps w:val="false"/>
          <w:smallCaps w:val="false"/>
          <w:color w:val="000000"/>
          <w:sz w:val="16"/>
        </w:rPr>
        <w:t>​</w:t>
      </w:r>
      <w:bookmarkStart w:id="40" w:name="tCRFP"/>
      <w:bookmarkEnd w:id="40"/>
      <w:r>
        <w:rPr>
          <w:rFonts w:ascii="calibri;arial;sans-serif" w:hAnsi="calibri;arial;sans-serif"/>
          <w:b w:val="false"/>
          <w:i w:val="false"/>
          <w:caps w:val="false"/>
          <w:smallCaps w:val="false"/>
          <w:color w:val="000000"/>
          <w:sz w:val="16"/>
        </w:rPr>
        <w:t>​</w:t>
      </w:r>
      <w:bookmarkStart w:id="41" w:name="tDSFP"/>
      <w:bookmarkEnd w:id="41"/>
      <w:r>
        <w:rPr>
          <w:rFonts w:ascii="calibri;arial;sans-serif" w:hAnsi="calibri;arial;sans-serif"/>
          <w:b w:val="false"/>
          <w:i w:val="false"/>
          <w:caps w:val="false"/>
          <w:smallCaps w:val="false"/>
          <w:color w:val="000000"/>
          <w:sz w:val="16"/>
        </w:rPr>
        <w:t>​</w:t>
      </w:r>
      <w:bookmarkStart w:id="42" w:name="tS5ST"/>
      <w:bookmarkEnd w:id="42"/>
      <w:r>
        <w:rPr>
          <w:rFonts w:ascii="calibri;arial;sans-serif" w:hAnsi="calibri;arial;sans-serif"/>
          <w:b w:val="false"/>
          <w:i w:val="false"/>
          <w:caps w:val="false"/>
          <w:smallCaps w:val="false"/>
          <w:color w:val="000000"/>
          <w:sz w:val="16"/>
        </w:rPr>
        <w:t>​</w:t>
      </w:r>
      <w:bookmarkStart w:id="43" w:name="tALSO"/>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determine whether Awards under the Plan will be granted in replacement of other grants under an incentive or other compensation plan of an acquired business;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399">
                <wp:simplePos x="0" y="0"/>
                <wp:positionH relativeFrom="column">
                  <wp:align>left</wp:align>
                </wp:positionH>
                <wp:positionV relativeFrom="line">
                  <wp:posOffset>635</wp:posOffset>
                </wp:positionV>
                <wp:extent cx="317500" cy="350520"/>
                <wp:effectExtent l="0" t="0" r="0" b="0"/>
                <wp:wrapSquare wrapText="right"/>
                <wp:docPr id="404" name="Frame33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To correct any defect, supply any omission, or reconcile any inconsistency in the Plan or any Award Agreement; </w:t>
      </w:r>
      <w:r>
        <mc:AlternateContent>
          <mc:Choice Requires="wps">
            <w:drawing>
              <wp:anchor behindDoc="0" distT="151130" distB="0" distL="254000" distR="0" simplePos="0" locked="0" layoutInCell="1" allowOverlap="1" relativeHeight="400">
                <wp:simplePos x="0" y="0"/>
                <wp:positionH relativeFrom="column">
                  <wp:align>left</wp:align>
                </wp:positionH>
                <wp:positionV relativeFrom="line">
                  <wp:align>top</wp:align>
                </wp:positionV>
                <wp:extent cx="317500" cy="350520"/>
                <wp:effectExtent l="0" t="0" r="0" b="0"/>
                <wp:wrapSquare wrapText="right"/>
                <wp:docPr id="405" name="Frame33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establish or verify the extent of satisfaction of any performance goals or other conditions applicable to the grant, issuance, exercisability, vesting, and/or ability to retain any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01">
                <wp:simplePos x="0" y="0"/>
                <wp:positionH relativeFrom="column">
                  <wp:align>left</wp:align>
                </wp:positionH>
                <wp:positionV relativeFrom="line">
                  <wp:align>top</wp:align>
                </wp:positionV>
                <wp:extent cx="317500" cy="350520"/>
                <wp:effectExtent l="0" t="0" r="0" b="0"/>
                <wp:wrapSquare wrapText="right"/>
                <wp:docPr id="406" name="Frame33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administer the ESPP Addendum and exercise such authority and take such actions as set forth in the ESPP Addendum;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02">
                <wp:simplePos x="0" y="0"/>
                <wp:positionH relativeFrom="column">
                  <wp:align>left</wp:align>
                </wp:positionH>
                <wp:positionV relativeFrom="line">
                  <wp:align>top</wp:align>
                </wp:positionV>
                <wp:extent cx="317500" cy="350520"/>
                <wp:effectExtent l="0" t="0" r="0" b="0"/>
                <wp:wrapSquare wrapText="right"/>
                <wp:docPr id="407" name="Frame33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(xv)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take any other actions deemed necessary or advisable for the administration of the Plan.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03">
                <wp:simplePos x="0" y="0"/>
                <wp:positionH relativeFrom="column">
                  <wp:align>left</wp:align>
                </wp:positionH>
                <wp:positionV relativeFrom="line">
                  <wp:align>top</wp:align>
                </wp:positionV>
                <wp:extent cx="317500" cy="350520"/>
                <wp:effectExtent l="0" t="0" r="0" b="0"/>
                <wp:wrapSquare wrapText="right"/>
                <wp:docPr id="408" name="Frame33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(xvi)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(xvi)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Consistent with Article VIII of the Company’s Third Amended and Restated Certificate of Incorporation (or any successor provision), and to the fullest extent permitted by applicable law (as it now exists and as it may hereafter be amended), no member of the Committee shall be liable for any action that he has taken or has failed to take in good faith with respect to the Plan or any Award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4.   ELIGIBILITY.</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General Rule</w:t>
      </w:r>
      <w:r>
        <w:rPr>
          <w:rFonts w:ascii="Arial;Helvetica;sans-serif" w:hAnsi="Arial;Helvetica;sans-serif"/>
          <w:b w:val="false"/>
          <w:i w:val="false"/>
          <w:caps w:val="false"/>
          <w:smallCaps w:val="false"/>
          <w:color w:val="000000"/>
          <w:sz w:val="18"/>
        </w:rPr>
        <w:t>.   Only Employees, Consultants and Outside Directors shall be eligible for the grant of Awards. Only common- law employees of the Company, a Parent, or a Subsidiary shall be eligible for the grant of ISOs and Stock Purchase Rights.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Ten-Percent Stockholders</w:t>
      </w:r>
      <w:r>
        <w:rPr>
          <w:rFonts w:ascii="Arial;Helvetica;sans-serif" w:hAnsi="Arial;Helvetica;sans-serif"/>
          <w:b w:val="false"/>
          <w:i w:val="false"/>
          <w:caps w:val="false"/>
          <w:smallCaps w:val="false"/>
          <w:color w:val="000000"/>
          <w:sz w:val="18"/>
        </w:rPr>
        <w:t>.   An Employee who owns more than 10% of the total combined voting power of all classes of outstanding stock of the Company, a Parent or Subsidiary shall not be eligible for the grant of an ISO unless such grant satisfies the requirements of Section 422(c)(5)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Attribution Rules</w:t>
      </w:r>
      <w:r>
        <w:rPr>
          <w:rFonts w:ascii="Arial;Helvetica;sans-serif" w:hAnsi="Arial;Helvetica;sans-serif"/>
          <w:b w:val="false"/>
          <w:i w:val="false"/>
          <w:caps w:val="false"/>
          <w:smallCaps w:val="false"/>
          <w:color w:val="000000"/>
          <w:sz w:val="18"/>
        </w:rPr>
        <w:t>.   For purposes of Section 4(b)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Outstanding Stock</w:t>
      </w:r>
      <w:r>
        <w:rPr>
          <w:rFonts w:ascii="Arial;Helvetica;sans-serif" w:hAnsi="Arial;Helvetica;sans-serif"/>
          <w:b w:val="false"/>
          <w:i w:val="false"/>
          <w:caps w:val="false"/>
          <w:smallCaps w:val="false"/>
          <w:color w:val="000000"/>
          <w:sz w:val="18"/>
        </w:rPr>
        <w:t>.   For purposes of Section 4(b) above, “outstanding stock” shall include all stock actually issued and outstanding immediately after the grant. “Outstanding stock” shall not include Shares authorized for issuance under outstanding options held by the Employee or by any other person.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5.   STOCK SUBJECT TO PLAN; DIRECTOR COMPENSATION LIMIT.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Basic Limitation</w:t>
      </w:r>
      <w:r>
        <w:rPr>
          <w:rFonts w:ascii="Arial;Helvetica;sans-serif" w:hAnsi="Arial;Helvetica;sans-serif"/>
          <w:b w:val="false"/>
          <w:i w:val="false"/>
          <w:caps w:val="false"/>
          <w:smallCaps w:val="false"/>
          <w:color w:val="000000"/>
          <w:sz w:val="18"/>
        </w:rPr>
        <w:t xml:space="preserve">.   Shares offered under the Plan shall be authorized but unissued Shares or treasury Shares. As of the Fourth Restatement Date, the maximum aggregate number of Shares authorized for issuance as Awards under the Plan on or after the Effective Date shall not exceed the sum of  (x) 378,669,244 Shares (consisting of  (i) 184,000,000 Shares approved by the Board on April 22, 2025, (ii) 119,000,000 Shares approved by the Board on April 22, 2024, (iii) 39,166,575 Shares approved by the Board on March 2, 2023, (iv) 15,000,000 Shares approved by the Board on April 27, 2022, (v) 12,500,000 Shares initially authorized for issuance under the Plan as of the Effective Date and (vi)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378,669,244 Shares plus, to the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BSIR"/>
      <w:bookmarkEnd w:id="44"/>
      <w:r>
        <w:rPr>
          <w:rFonts w:ascii="calibri;arial;sans-serif" w:hAnsi="calibri;arial;sans-serif"/>
          <w:b w:val="false"/>
          <w:i w:val="false"/>
          <w:caps w:val="false"/>
          <w:smallCaps w:val="false"/>
          <w:color w:val="000000"/>
          <w:sz w:val="16"/>
        </w:rPr>
        <w:t>​</w:t>
      </w:r>
      <w:bookmarkStart w:id="45" w:name="tCAAO"/>
      <w:bookmarkEnd w:id="45"/>
      <w:r>
        <w:rPr>
          <w:rFonts w:ascii="calibri;arial;sans-serif" w:hAnsi="calibri;arial;sans-serif"/>
          <w:b w:val="false"/>
          <w:i w:val="false"/>
          <w:caps w:val="false"/>
          <w:smallCaps w:val="false"/>
          <w:color w:val="000000"/>
          <w:sz w:val="16"/>
        </w:rPr>
        <w:t>​</w:t>
      </w:r>
      <w:bookmarkStart w:id="46" w:name="tDDCL"/>
      <w:bookmarkEnd w:id="46"/>
      <w:r>
        <w:rPr>
          <w:rFonts w:ascii="calibri;arial;sans-serif" w:hAnsi="calibri;arial;sans-serif"/>
          <w:b w:val="false"/>
          <w:i w:val="false"/>
          <w:caps w:val="false"/>
          <w:smallCaps w:val="false"/>
          <w:color w:val="000000"/>
          <w:sz w:val="16"/>
        </w:rPr>
        <w:t>​</w:t>
      </w:r>
      <w:bookmarkStart w:id="47" w:name="tERNA"/>
      <w:bookmarkEnd w:id="47"/>
      <w:r>
        <w:rPr>
          <w:rFonts w:ascii="calibri;arial;sans-serif" w:hAnsi="calibri;arial;sans-serif"/>
          <w:b w:val="false"/>
          <w:i w:val="false"/>
          <w:caps w:val="false"/>
          <w:smallCaps w:val="false"/>
          <w:color w:val="000000"/>
          <w:sz w:val="16"/>
        </w:rPr>
        <w:t>​</w:t>
      </w:r>
      <w:bookmarkStart w:id="48" w:name="tFOD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20,000,000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Additional Shares</w:t>
      </w:r>
      <w:r>
        <w:rPr>
          <w:rFonts w:ascii="Arial;Helvetica;sans-serif" w:hAnsi="Arial;Helvetica;sans-serif"/>
          <w:b w:val="false"/>
          <w:i w:val="false"/>
          <w:caps w:val="false"/>
          <w:smallCaps w:val="false"/>
          <w:color w:val="000000"/>
          <w:sz w:val="18"/>
        </w:rPr>
        <w:t>.   If Restricted Shares or Shares issued upon the exercise of options are forfeited, then such Shares shall 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Substitution and Assumption of Awards</w:t>
      </w:r>
      <w:r>
        <w:rPr>
          <w:rFonts w:ascii="Arial;Helvetica;sans-serif" w:hAnsi="Arial;Helvetica;sans-serif"/>
          <w:b w:val="false"/>
          <w:i w:val="false"/>
          <w:caps w:val="false"/>
          <w:smallCaps w:val="false"/>
          <w:color w:val="000000"/>
          <w:sz w:val="18"/>
        </w:rPr>
        <w:t>.   The Committee may make Awards under the Plan by assumption, substitution, or 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Outside Director Compensation Limit</w:t>
      </w:r>
      <w:r>
        <w:rPr>
          <w:rFonts w:ascii="Arial;Helvetica;sans-serif" w:hAnsi="Arial;Helvetica;sans-serif"/>
          <w:b w:val="false"/>
          <w:i w:val="false"/>
          <w:caps w:val="false"/>
          <w:smallCaps w:val="false"/>
          <w:color w:val="000000"/>
          <w:sz w:val="18"/>
        </w:rPr>
        <w:t>.   The maximum number of Shares subject to Awards granted under the Plan or otherwise during 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No Repricing</w:t>
      </w:r>
      <w:r>
        <w:rPr>
          <w:rFonts w:ascii="Arial;Helvetica;sans-serif" w:hAnsi="Arial;Helvetica;sans-serif"/>
          <w:b w:val="false"/>
          <w:i w:val="false"/>
          <w:caps w:val="false"/>
          <w:smallCaps w:val="false"/>
          <w:color w:val="000000"/>
          <w:sz w:val="18"/>
        </w:rPr>
        <w:t>.   Notwithstanding any other provision of the Plan to the contrary, except in connection with a corporate transaction involving the Company (including, without limitation, a Change in Control and any transaction or event described in Section 13), the Committee may not, without stockholder approval, (X) effect any re-pricing or buyout of any “underwater” Option or 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 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w:t>
      </w:r>
      <w:r>
        <w:rPr>
          <w:rFonts w:ascii="Arial;Helvetica;sans-serif" w:hAnsi="Arial;Helvetica;sans-serif"/>
          <w:b w:val="false"/>
          <w:i/>
          <w:caps w:val="false"/>
          <w:smallCaps w:val="false"/>
          <w:color w:val="000000"/>
          <w:sz w:val="18"/>
        </w:rPr>
        <w:t>Prohibition on Dividends on Unvested Awards</w:t>
      </w:r>
      <w:r>
        <w:rPr>
          <w:rFonts w:ascii="Arial;Helvetica;sans-serif" w:hAnsi="Arial;Helvetica;sans-serif"/>
          <w:b w:val="false"/>
          <w:i w:val="false"/>
          <w:caps w:val="false"/>
          <w:smallCaps w:val="false"/>
          <w:color w:val="000000"/>
          <w:sz w:val="18"/>
        </w:rPr>
        <w:t>.   Dividends or dividend equivalents may be credited on behalf of a Participant with respect to the unvested portion of an Award, in accordance with the other terms of the Plan (and applicable Award Agreement). However, for the avoidance of doubt, in no event shall any dividends or dividend equivalents credited with respect to the unvested portion of an Award be distributed to the Participant unless or until such unvested portion of the Award has been earned (if applicable) and has vested.</w:t>
      </w:r>
      <w:r>
        <w:rPr>
          <w:rFonts w:ascii="Arial;Helvetica;sans-serif" w:hAnsi="Arial;Helvetica;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S6S"/>
      <w:bookmarkEnd w:id="49"/>
      <w:r>
        <w:rPr>
          <w:rFonts w:ascii="calibri;arial;sans-serif" w:hAnsi="calibri;arial;sans-serif"/>
          <w:b w:val="false"/>
          <w:i w:val="false"/>
          <w:caps w:val="false"/>
          <w:smallCaps w:val="false"/>
          <w:color w:val="000000"/>
          <w:sz w:val="16"/>
        </w:rPr>
        <w:t>​</w:t>
      </w:r>
      <w:bookmarkStart w:id="50" w:name="tASAA"/>
      <w:bookmarkEnd w:id="50"/>
      <w:r>
        <w:rPr>
          <w:rFonts w:ascii="calibri;arial;sans-serif" w:hAnsi="calibri;arial;sans-serif"/>
          <w:b w:val="false"/>
          <w:i w:val="false"/>
          <w:caps w:val="false"/>
          <w:smallCaps w:val="false"/>
          <w:color w:val="000000"/>
          <w:sz w:val="16"/>
        </w:rPr>
        <w:t>​</w:t>
      </w:r>
      <w:bookmarkStart w:id="51" w:name="tBFAR"/>
      <w:bookmarkEnd w:id="51"/>
      <w:r>
        <w:rPr>
          <w:rFonts w:ascii="calibri;arial;sans-serif" w:hAnsi="calibri;arial;sans-serif"/>
          <w:b w:val="false"/>
          <w:i w:val="false"/>
          <w:caps w:val="false"/>
          <w:smallCaps w:val="false"/>
          <w:color w:val="000000"/>
          <w:sz w:val="16"/>
        </w:rPr>
        <w:t>​</w:t>
      </w:r>
      <w:bookmarkStart w:id="52" w:name="tCEAO"/>
      <w:bookmarkEnd w:id="52"/>
      <w:r>
        <w:rPr>
          <w:rFonts w:ascii="calibri;arial;sans-serif" w:hAnsi="calibri;arial;sans-serif"/>
          <w:b w:val="false"/>
          <w:i w:val="false"/>
          <w:caps w:val="false"/>
          <w:smallCaps w:val="false"/>
          <w:color w:val="000000"/>
          <w:sz w:val="16"/>
        </w:rPr>
        <w:t>​</w:t>
      </w:r>
      <w:bookmarkStart w:id="53" w:name="tDADR"/>
      <w:bookmarkEnd w:id="53"/>
      <w:r>
        <w:rPr>
          <w:rFonts w:ascii="calibri;arial;sans-serif" w:hAnsi="calibri;arial;sans-serif"/>
          <w:b w:val="false"/>
          <w:i w:val="false"/>
          <w:caps w:val="false"/>
          <w:smallCaps w:val="false"/>
          <w:color w:val="000000"/>
          <w:sz w:val="16"/>
        </w:rPr>
        <w:t>​</w:t>
      </w:r>
      <w:bookmarkStart w:id="54" w:name="tEOTO"/>
      <w:bookmarkEnd w:id="54"/>
      <w:r>
        <w:rPr>
          <w:rFonts w:ascii="calibri;arial;sans-serif" w:hAnsi="calibri;arial;sans-serif"/>
          <w:b w:val="false"/>
          <w:i w:val="false"/>
          <w:caps w:val="false"/>
          <w:smallCaps w:val="false"/>
          <w:color w:val="000000"/>
          <w:sz w:val="16"/>
        </w:rPr>
        <w:t>​</w:t>
      </w:r>
      <w:bookmarkStart w:id="55" w:name="tS7AC"/>
      <w:bookmarkEnd w:id="55"/>
      <w:r>
        <w:rPr>
          <w:rFonts w:ascii="calibri;arial;sans-serif" w:hAnsi="calibri;arial;sans-serif"/>
          <w:b w:val="false"/>
          <w:i w:val="false"/>
          <w:caps w:val="false"/>
          <w:smallCaps w:val="false"/>
          <w:color w:val="000000"/>
          <w:sz w:val="16"/>
        </w:rPr>
        <w:t>​</w:t>
      </w:r>
      <w:bookmarkStart w:id="56" w:name="tAAAE"/>
      <w:bookmarkEnd w:id="56"/>
      <w:r>
        <w:rPr>
          <w:rFonts w:ascii="calibri;arial;sans-serif" w:hAnsi="calibri;arial;sans-serif"/>
          <w:b w:val="false"/>
          <w:i w:val="false"/>
          <w:caps w:val="false"/>
          <w:smallCaps w:val="false"/>
          <w:color w:val="000000"/>
          <w:sz w:val="16"/>
        </w:rPr>
        <w:t>​</w:t>
      </w:r>
      <w:bookmarkStart w:id="57" w:name="tBOSE"/>
      <w:bookmarkEnd w:id="57"/>
      <w:r>
        <w:rPr>
          <w:rFonts w:ascii="calibri;arial;sans-serif" w:hAnsi="calibri;arial;sans-serif"/>
          <w:b w:val="false"/>
          <w:i w:val="false"/>
          <w:caps w:val="false"/>
          <w:smallCaps w:val="false"/>
          <w:color w:val="000000"/>
          <w:sz w:val="16"/>
        </w:rPr>
        <w:t>​</w:t>
      </w:r>
      <w:bookmarkStart w:id="58" w:name="tCPEO"/>
      <w:bookmarkEnd w:id="58"/>
      <w:r>
        <w:rPr>
          <w:rFonts w:ascii="calibri;arial;sans-serif" w:hAnsi="calibri;arial;sans-serif"/>
          <w:b w:val="false"/>
          <w:i w:val="false"/>
          <w:caps w:val="false"/>
          <w:smallCaps w:val="false"/>
          <w:color w:val="000000"/>
          <w:sz w:val="16"/>
        </w:rPr>
        <w:t>​</w:t>
      </w:r>
      <w:bookmarkStart w:id="59" w:name="tDTAA"/>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6.   RESTRICTED SHARES.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Restricted Share Award Agreement</w:t>
      </w:r>
      <w:r>
        <w:rPr>
          <w:rFonts w:ascii="Arial;Helvetica;sans-serif" w:hAnsi="Arial;Helvetica;sans-serif"/>
          <w:b w:val="false"/>
          <w:i w:val="false"/>
          <w:caps w:val="false"/>
          <w:smallCaps w:val="false"/>
          <w:color w:val="000000"/>
          <w:sz w:val="18"/>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Payment for Awards</w:t>
      </w:r>
      <w:r>
        <w:rPr>
          <w:rFonts w:ascii="Arial;Helvetica;sans-serif" w:hAnsi="Arial;Helvetica;sans-serif"/>
          <w:b w:val="false"/>
          <w:i w:val="false"/>
          <w:caps w:val="false"/>
          <w:smallCaps w:val="false"/>
          <w:color w:val="000000"/>
          <w:sz w:val="18"/>
        </w:rPr>
        <w:t>.   Restricted Shares may be sold or awarded under the Plan for such consideration as the Committee may determine, including (without limitation) cash, cash equivalents, full-recourse promissory notes, past services, and future services.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Vesting</w:t>
      </w:r>
      <w:r>
        <w:rPr>
          <w:rFonts w:ascii="Arial;Helvetica;sans-serif" w:hAnsi="Arial;Helvetica;sans-serif"/>
          <w:b w:val="false"/>
          <w:i w:val="false"/>
          <w:caps w:val="false"/>
          <w:smallCaps w:val="false"/>
          <w:color w:val="000000"/>
          <w:sz w:val="18"/>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Voting and Dividend Rights</w:t>
      </w:r>
      <w:r>
        <w:rPr>
          <w:rFonts w:ascii="Arial;Helvetica;sans-serif" w:hAnsi="Arial;Helvetica;sans-serif"/>
          <w:b w:val="false"/>
          <w:i w:val="false"/>
          <w:caps w:val="false"/>
          <w:smallCaps w:val="false"/>
          <w:color w:val="000000"/>
          <w:sz w:val="18"/>
        </w:rPr>
        <w:t>.   A holder of Restricted Shares awarded under the Plan shall have the same voting, dividend, and 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Restrictions on Transfer of Shares</w:t>
      </w:r>
      <w:r>
        <w:rPr>
          <w:rFonts w:ascii="Arial;Helvetica;sans-serif" w:hAnsi="Arial;Helvetica;sans-serif"/>
          <w:b w:val="false"/>
          <w:i w:val="false"/>
          <w:caps w:val="false"/>
          <w:smallCaps w:val="false"/>
          <w:color w:val="000000"/>
          <w:sz w:val="18"/>
        </w:rPr>
        <w:t>.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7.   TERMS AND CONDITIONS OF OPTIONS.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Option Award Agreement</w:t>
      </w:r>
      <w:r>
        <w:rPr>
          <w:rFonts w:ascii="Arial;Helvetica;sans-serif" w:hAnsi="Arial;Helvetica;sans-serif"/>
          <w:b w:val="false"/>
          <w:i w:val="false"/>
          <w:caps w:val="false"/>
          <w:smallCaps w:val="false"/>
          <w:color w:val="000000"/>
          <w:sz w:val="18"/>
        </w:rPr>
        <w:t>.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Number of Shares</w:t>
      </w:r>
      <w:r>
        <w:rPr>
          <w:rFonts w:ascii="Arial;Helvetica;sans-serif" w:hAnsi="Arial;Helvetica;sans-serif"/>
          <w:b w:val="false"/>
          <w:i w:val="false"/>
          <w:caps w:val="false"/>
          <w:smallCaps w:val="false"/>
          <w:color w:val="000000"/>
          <w:sz w:val="18"/>
        </w:rPr>
        <w:t>.   Each Option Award Agreement shall specify the number of Shares that are subject to the Option and shall provide for the adjustment of such number in accordance with Section 13.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Exercise Price</w:t>
      </w:r>
      <w:r>
        <w:rPr>
          <w:rFonts w:ascii="Arial;Helvetica;sans-serif" w:hAnsi="Arial;Helvetica;sans-serif"/>
          <w:b w:val="false"/>
          <w:i w:val="false"/>
          <w:caps w:val="false"/>
          <w:smallCaps w:val="false"/>
          <w:color w:val="000000"/>
          <w:sz w:val="18"/>
        </w:rPr>
        <w:t>.   Each Option Award Agreement shall specify the Exercise Price. The Exercise Price of an ISO shall not be 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Withholding Taxes</w:t>
      </w:r>
      <w:r>
        <w:rPr>
          <w:rFonts w:ascii="Arial;Helvetica;sans-serif" w:hAnsi="Arial;Helvetica;sans-serif"/>
          <w:b w:val="false"/>
          <w:i w:val="false"/>
          <w:caps w:val="false"/>
          <w:smallCaps w:val="false"/>
          <w:color w:val="000000"/>
          <w:sz w:val="18"/>
        </w:rPr>
        <w:t xml:space="preserve">.   As a condition to the exercise of an Option, the Participant shall make such arrangements as the Committee may require for the satisfaction of any federal, state, local or foreign withholding tax obligations that may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EATE"/>
      <w:bookmarkEnd w:id="60"/>
      <w:r>
        <w:rPr>
          <w:rFonts w:ascii="calibri;arial;sans-serif" w:hAnsi="calibri;arial;sans-serif"/>
          <w:b w:val="false"/>
          <w:i w:val="false"/>
          <w:caps w:val="false"/>
          <w:smallCaps w:val="false"/>
          <w:color w:val="000000"/>
          <w:sz w:val="16"/>
        </w:rPr>
        <w:t>​</w:t>
      </w:r>
      <w:bookmarkStart w:id="61" w:name="tFOOE"/>
      <w:bookmarkEnd w:id="61"/>
      <w:r>
        <w:rPr>
          <w:rFonts w:ascii="calibri;arial;sans-serif" w:hAnsi="calibri;arial;sans-serif"/>
          <w:b w:val="false"/>
          <w:i w:val="false"/>
          <w:caps w:val="false"/>
          <w:smallCaps w:val="false"/>
          <w:color w:val="000000"/>
          <w:sz w:val="16"/>
        </w:rPr>
        <w:t>​</w:t>
      </w:r>
      <w:bookmarkStart w:id="62" w:name="tGRAA"/>
      <w:bookmarkEnd w:id="62"/>
      <w:r>
        <w:rPr>
          <w:rFonts w:ascii="calibri;arial;sans-serif" w:hAnsi="calibri;arial;sans-serif"/>
          <w:b w:val="false"/>
          <w:i w:val="false"/>
          <w:caps w:val="false"/>
          <w:smallCaps w:val="false"/>
          <w:color w:val="000000"/>
          <w:sz w:val="16"/>
        </w:rPr>
        <w:t>​</w:t>
      </w:r>
      <w:bookmarkStart w:id="63" w:name="tHEAR"/>
      <w:bookmarkEnd w:id="63"/>
      <w:r>
        <w:rPr>
          <w:rFonts w:ascii="calibri;arial;sans-serif" w:hAnsi="calibri;arial;sans-serif"/>
          <w:b w:val="false"/>
          <w:i w:val="false"/>
          <w:caps w:val="false"/>
          <w:smallCaps w:val="false"/>
          <w:color w:val="000000"/>
          <w:sz w:val="16"/>
        </w:rPr>
        <w:t>​</w:t>
      </w:r>
      <w:bookmarkStart w:id="64" w:name="tIOTO"/>
      <w:bookmarkEnd w:id="64"/>
      <w:r>
        <w:rPr>
          <w:rFonts w:ascii="calibri;arial;sans-serif" w:hAnsi="calibri;arial;sans-serif"/>
          <w:b w:val="false"/>
          <w:i w:val="false"/>
          <w:caps w:val="false"/>
          <w:smallCaps w:val="false"/>
          <w:color w:val="000000"/>
          <w:sz w:val="16"/>
        </w:rPr>
        <w:t>​</w:t>
      </w:r>
      <w:bookmarkStart w:id="65" w:name="tJPST"/>
      <w:bookmarkEnd w:id="65"/>
      <w:r>
        <w:rPr>
          <w:rFonts w:ascii="calibri;arial;sans-serif" w:hAnsi="calibri;arial;sans-serif"/>
          <w:b w:val="false"/>
          <w:i w:val="false"/>
          <w:caps w:val="false"/>
          <w:smallCaps w:val="false"/>
          <w:color w:val="000000"/>
          <w:sz w:val="16"/>
        </w:rPr>
        <w:t>​</w:t>
      </w:r>
      <w:bookmarkStart w:id="66" w:name="tKDEO"/>
      <w:bookmarkEnd w:id="66"/>
      <w:r>
        <w:rPr>
          <w:rFonts w:ascii="calibri;arial;sans-serif" w:hAnsi="calibri;arial;sans-serif"/>
          <w:b w:val="false"/>
          <w:i w:val="false"/>
          <w:caps w:val="false"/>
          <w:smallCaps w:val="false"/>
          <w:color w:val="000000"/>
          <w:sz w:val="16"/>
        </w:rPr>
        <w:t>​</w:t>
      </w:r>
      <w:bookmarkStart w:id="67" w:name="tS8FS"/>
      <w:bookmarkEnd w:id="67"/>
      <w:r>
        <w:rPr>
          <w:rFonts w:ascii="calibri;arial;sans-serif" w:hAnsi="calibri;arial;sans-serif"/>
          <w:b w:val="false"/>
          <w:i w:val="false"/>
          <w:caps w:val="false"/>
          <w:smallCaps w:val="false"/>
          <w:color w:val="000000"/>
          <w:sz w:val="16"/>
        </w:rPr>
        <w:t>​</w:t>
      </w:r>
      <w:bookmarkStart w:id="68" w:name="tARTE"/>
      <w:bookmarkEnd w:id="68"/>
      <w:r>
        <w:rPr>
          <w:rFonts w:ascii="calibri;arial;sans-serif" w:hAnsi="calibri;arial;sans-serif"/>
          <w:b w:val="false"/>
          <w:i w:val="false"/>
          <w:caps w:val="false"/>
          <w:smallCaps w:val="false"/>
          <w:color w:val="000000"/>
          <w:sz w:val="16"/>
        </w:rPr>
        <w:t>​</w:t>
      </w:r>
      <w:bookmarkStart w:id="69" w:name="tBOS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Exercisability and Term</w:t>
      </w:r>
      <w:r>
        <w:rPr>
          <w:rFonts w:ascii="Arial;Helvetica;sans-serif" w:hAnsi="Arial;Helvetica;sans-serif"/>
          <w:b w:val="false"/>
          <w:i w:val="false"/>
          <w:caps w:val="false"/>
          <w:smallCaps w:val="false"/>
          <w:color w:val="000000"/>
          <w:sz w:val="18"/>
        </w:rPr>
        <w:t>.   Each Option Award Agreement shall specify the date when all or any installment of the Option is to 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w:t>
      </w:r>
      <w:r>
        <w:rPr>
          <w:rFonts w:ascii="Arial;Helvetica;sans-serif" w:hAnsi="Arial;Helvetica;sans-serif"/>
          <w:b w:val="false"/>
          <w:i/>
          <w:caps w:val="false"/>
          <w:smallCaps w:val="false"/>
          <w:color w:val="000000"/>
          <w:sz w:val="18"/>
        </w:rPr>
        <w:t>Exercise of Options</w:t>
      </w:r>
      <w:r>
        <w:rPr>
          <w:rFonts w:ascii="Arial;Helvetica;sans-serif" w:hAnsi="Arial;Helvetica;sans-serif"/>
          <w:b w:val="false"/>
          <w:i w:val="false"/>
          <w:caps w:val="false"/>
          <w:smallCaps w:val="false"/>
          <w:color w:val="000000"/>
          <w:sz w:val="18"/>
        </w:rPr>
        <w:t>.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w:t>
      </w:r>
      <w:r>
        <w:rPr>
          <w:rFonts w:ascii="Arial;Helvetica;sans-serif" w:hAnsi="Arial;Helvetica;sans-serif"/>
          <w:b w:val="false"/>
          <w:i/>
          <w:caps w:val="false"/>
          <w:smallCaps w:val="false"/>
          <w:color w:val="000000"/>
          <w:sz w:val="18"/>
        </w:rPr>
        <w:t>No Rights as a Stockholder</w:t>
      </w:r>
      <w:r>
        <w:rPr>
          <w:rFonts w:ascii="Arial;Helvetica;sans-serif" w:hAnsi="Arial;Helvetica;sans-serif"/>
          <w:b w:val="false"/>
          <w:i w:val="false"/>
          <w:caps w:val="false"/>
          <w:smallCaps w:val="false"/>
          <w:color w:val="000000"/>
          <w:sz w:val="18"/>
        </w:rPr>
        <w:t>.   A Participant shall have no rights as a stockholder with respect to any Shares covered by his Option until the date of the issuance of a share certificate for such Shares. No adjustments shall be made, except as provided in Section 13.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   </w:t>
      </w:r>
      <w:r>
        <w:rPr>
          <w:rFonts w:ascii="Arial;Helvetica;sans-serif" w:hAnsi="Arial;Helvetica;sans-serif"/>
          <w:b w:val="false"/>
          <w:i/>
          <w:caps w:val="false"/>
          <w:smallCaps w:val="false"/>
          <w:color w:val="000000"/>
          <w:sz w:val="18"/>
        </w:rPr>
        <w:t>Modification, Extension and Renewal of Options</w:t>
      </w:r>
      <w:r>
        <w:rPr>
          <w:rFonts w:ascii="Arial;Helvetica;sans-serif" w:hAnsi="Arial;Helvetica;sans-serif"/>
          <w:b w:val="false"/>
          <w:i w:val="false"/>
          <w:caps w:val="false"/>
          <w:smallCaps w:val="false"/>
          <w:color w:val="000000"/>
          <w:sz w:val="18"/>
        </w:rPr>
        <w:t>.   Subject to Section 5(e),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   </w:t>
      </w:r>
      <w:r>
        <w:rPr>
          <w:rFonts w:ascii="Arial;Helvetica;sans-serif" w:hAnsi="Arial;Helvetica;sans-serif"/>
          <w:b w:val="false"/>
          <w:i/>
          <w:caps w:val="false"/>
          <w:smallCaps w:val="false"/>
          <w:color w:val="000000"/>
          <w:sz w:val="18"/>
        </w:rPr>
        <w:t>Restrictions on Transfer of Shares</w:t>
      </w:r>
      <w:r>
        <w:rPr>
          <w:rFonts w:ascii="Arial;Helvetica;sans-serif" w:hAnsi="Arial;Helvetica;sans-serif"/>
          <w:b w:val="false"/>
          <w:i w:val="false"/>
          <w:caps w:val="false"/>
          <w:smallCaps w:val="false"/>
          <w:color w:val="000000"/>
          <w:sz w:val="18"/>
        </w:rPr>
        <w:t>.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(j)   </w:t>
      </w:r>
      <w:r>
        <w:rPr>
          <w:rFonts w:ascii="Arial;Helvetica;sans-serif" w:hAnsi="Arial;Helvetica;sans-serif"/>
          <w:b w:val="false"/>
          <w:i/>
          <w:caps w:val="false"/>
          <w:smallCaps w:val="false"/>
          <w:color w:val="000000"/>
          <w:sz w:val="18"/>
        </w:rPr>
        <w:t>Buyout Provisions</w:t>
      </w:r>
      <w:r>
        <w:rPr>
          <w:rFonts w:ascii="Arial;Helvetica;sans-serif" w:hAnsi="Arial;Helvetica;sans-serif"/>
          <w:b w:val="false"/>
          <w:i w:val="false"/>
          <w:caps w:val="false"/>
          <w:smallCaps w:val="false"/>
          <w:color w:val="000000"/>
          <w:sz w:val="18"/>
        </w:rPr>
        <w:t>.   Subject to Section 5(e), the Committee may at any time (i) offer to buy out for a payment in cash or cash equivalents an Option previously granted or (ii) authorize a Participant to elect to cash out an Option previously granted, in either case at such time and based upon such terms and conditions as the Committee shall establish.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   </w:t>
      </w:r>
      <w:r>
        <w:rPr>
          <w:rFonts w:ascii="Arial;Helvetica;sans-serif" w:hAnsi="Arial;Helvetica;sans-serif"/>
          <w:b w:val="false"/>
          <w:i/>
          <w:caps w:val="false"/>
          <w:smallCaps w:val="false"/>
          <w:color w:val="000000"/>
          <w:sz w:val="18"/>
        </w:rPr>
        <w:t>No Dividend Equivalents on Options</w:t>
      </w:r>
      <w:r>
        <w:rPr>
          <w:rFonts w:ascii="Arial;Helvetica;sans-serif" w:hAnsi="Arial;Helvetica;sans-serif"/>
          <w:b w:val="false"/>
          <w:i w:val="false"/>
          <w:caps w:val="false"/>
          <w:smallCaps w:val="false"/>
          <w:color w:val="000000"/>
          <w:sz w:val="18"/>
        </w:rPr>
        <w:t>.   No grant of Options may be accompanied by a tandem award of dividend equivalents or provide for dividends, dividend equivalents or other distributions to be paid on such Options (except pursuant to an adjustment or other action contemplated by Section 13).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8.   PAYMENT FOR SHARES.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General Rule</w:t>
      </w:r>
      <w:r>
        <w:rPr>
          <w:rFonts w:ascii="Arial;Helvetica;sans-serif" w:hAnsi="Arial;Helvetica;sans-serif"/>
          <w:b w:val="false"/>
          <w:i w:val="false"/>
          <w:caps w:val="false"/>
          <w:smallCaps w:val="false"/>
          <w:color w:val="000000"/>
          <w:sz w:val="18"/>
        </w:rPr>
        <w:t>.   The entire Exercise Price or Purchase Price of Shares issued under the Plan (other than Shares issued under 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Surrender of Stock</w:t>
      </w:r>
      <w:r>
        <w:rPr>
          <w:rFonts w:ascii="Arial;Helvetica;sans-serif" w:hAnsi="Arial;Helvetica;sans-serif"/>
          <w:b w:val="false"/>
          <w:i w:val="false"/>
          <w:caps w:val="false"/>
          <w:smallCaps w:val="false"/>
          <w:color w:val="000000"/>
          <w:sz w:val="18"/>
        </w:rPr>
        <w:t xml:space="preserve">.   To the extent that an Option Award Agreement so provides, payment may be made all or in part by surrendering, or attesting to the ownership of, Shares which have already been owned by the Participant or his or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CRAT"/>
      <w:bookmarkEnd w:id="70"/>
      <w:r>
        <w:rPr>
          <w:rFonts w:ascii="calibri;arial;sans-serif" w:hAnsi="calibri;arial;sans-serif"/>
          <w:b w:val="false"/>
          <w:i w:val="false"/>
          <w:caps w:val="false"/>
          <w:smallCaps w:val="false"/>
          <w:color w:val="000000"/>
          <w:sz w:val="16"/>
        </w:rPr>
        <w:t>​</w:t>
      </w:r>
      <w:bookmarkStart w:id="71" w:name="tDETT"/>
      <w:bookmarkEnd w:id="71"/>
      <w:r>
        <w:rPr>
          <w:rFonts w:ascii="calibri;arial;sans-serif" w:hAnsi="calibri;arial;sans-serif"/>
          <w:b w:val="false"/>
          <w:i w:val="false"/>
          <w:caps w:val="false"/>
          <w:smallCaps w:val="false"/>
          <w:color w:val="000000"/>
          <w:sz w:val="16"/>
        </w:rPr>
        <w:t>​</w:t>
      </w:r>
      <w:bookmarkStart w:id="72" w:name="tETTE"/>
      <w:bookmarkEnd w:id="72"/>
      <w:r>
        <w:rPr>
          <w:rFonts w:ascii="calibri;arial;sans-serif" w:hAnsi="calibri;arial;sans-serif"/>
          <w:b w:val="false"/>
          <w:i w:val="false"/>
          <w:caps w:val="false"/>
          <w:smallCaps w:val="false"/>
          <w:color w:val="000000"/>
          <w:sz w:val="16"/>
        </w:rPr>
        <w:t>​</w:t>
      </w:r>
      <w:bookmarkStart w:id="73" w:name="tFETT"/>
      <w:bookmarkEnd w:id="73"/>
      <w:r>
        <w:rPr>
          <w:rFonts w:ascii="calibri;arial;sans-serif" w:hAnsi="calibri;arial;sans-serif"/>
          <w:b w:val="false"/>
          <w:i w:val="false"/>
          <w:caps w:val="false"/>
          <w:smallCaps w:val="false"/>
          <w:color w:val="000000"/>
          <w:sz w:val="16"/>
        </w:rPr>
        <w:t>​</w:t>
      </w:r>
      <w:bookmarkStart w:id="74" w:name="tGNTT"/>
      <w:bookmarkEnd w:id="74"/>
      <w:r>
        <w:rPr>
          <w:rFonts w:ascii="calibri;arial;sans-serif" w:hAnsi="calibri;arial;sans-serif"/>
          <w:b w:val="false"/>
          <w:i w:val="false"/>
          <w:caps w:val="false"/>
          <w:smallCaps w:val="false"/>
          <w:color w:val="000000"/>
          <w:sz w:val="16"/>
        </w:rPr>
        <w:t>​</w:t>
      </w:r>
      <w:bookmarkStart w:id="75" w:name="tHFOP"/>
      <w:bookmarkEnd w:id="75"/>
      <w:r>
        <w:rPr>
          <w:rFonts w:ascii="calibri;arial;sans-serif" w:hAnsi="calibri;arial;sans-serif"/>
          <w:b w:val="false"/>
          <w:i w:val="false"/>
          <w:caps w:val="false"/>
          <w:smallCaps w:val="false"/>
          <w:color w:val="000000"/>
          <w:sz w:val="16"/>
        </w:rPr>
        <w:t>​</w:t>
      </w:r>
      <w:bookmarkStart w:id="76" w:name="tIUAL"/>
      <w:bookmarkEnd w:id="76"/>
      <w:r>
        <w:rPr>
          <w:rFonts w:ascii="calibri;arial;sans-serif" w:hAnsi="calibri;arial;sans-serif"/>
          <w:b w:val="false"/>
          <w:i w:val="false"/>
          <w:caps w:val="false"/>
          <w:smallCaps w:val="false"/>
          <w:color w:val="000000"/>
          <w:sz w:val="16"/>
        </w:rPr>
        <w:t>​</w:t>
      </w:r>
      <w:bookmarkStart w:id="77" w:name="tS9AR"/>
      <w:bookmarkEnd w:id="77"/>
      <w:r>
        <w:rPr>
          <w:rFonts w:ascii="calibri;arial;sans-serif" w:hAnsi="calibri;arial;sans-serif"/>
          <w:b w:val="false"/>
          <w:i w:val="false"/>
          <w:caps w:val="false"/>
          <w:smallCaps w:val="false"/>
          <w:color w:val="000000"/>
          <w:sz w:val="16"/>
        </w:rPr>
        <w:t>​</w:t>
      </w:r>
      <w:bookmarkStart w:id="78" w:name="tAAAE1"/>
      <w:bookmarkEnd w:id="78"/>
      <w:r>
        <w:rPr>
          <w:rFonts w:ascii="calibri;arial;sans-serif" w:hAnsi="calibri;arial;sans-serif"/>
          <w:b w:val="false"/>
          <w:i w:val="false"/>
          <w:caps w:val="false"/>
          <w:smallCaps w:val="false"/>
          <w:color w:val="000000"/>
          <w:sz w:val="16"/>
        </w:rPr>
        <w:t>​</w:t>
      </w:r>
      <w:bookmarkStart w:id="79" w:name="tBOSE1"/>
      <w:bookmarkEnd w:id="79"/>
      <w:r>
        <w:rPr>
          <w:rFonts w:ascii="calibri;arial;sans-serif" w:hAnsi="calibri;arial;sans-serif"/>
          <w:b w:val="false"/>
          <w:i w:val="false"/>
          <w:caps w:val="false"/>
          <w:smallCaps w:val="false"/>
          <w:color w:val="000000"/>
          <w:sz w:val="16"/>
        </w:rPr>
        <w:t>​</w:t>
      </w:r>
      <w:bookmarkStart w:id="80" w:name="tCPES"/>
      <w:bookmarkEnd w:id="80"/>
      <w:r>
        <w:rPr>
          <w:rFonts w:ascii="calibri;arial;sans-serif" w:hAnsi="calibri;arial;sans-serif"/>
          <w:b w:val="false"/>
          <w:i w:val="false"/>
          <w:caps w:val="false"/>
          <w:smallCaps w:val="false"/>
          <w:color w:val="000000"/>
          <w:sz w:val="16"/>
        </w:rPr>
        <w:t>​</w:t>
      </w:r>
      <w:bookmarkStart w:id="81" w:name="tDATE"/>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Services Rendered</w:t>
      </w:r>
      <w:r>
        <w:rPr>
          <w:rFonts w:ascii="Arial;Helvetica;sans-serif" w:hAnsi="Arial;Helvetica;sans-serif"/>
          <w:b w:val="false"/>
          <w:i w:val="false"/>
          <w:caps w:val="false"/>
          <w:smallCaps w:val="false"/>
          <w:color w:val="000000"/>
          <w:sz w:val="18"/>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Cashless Exercise</w:t>
      </w:r>
      <w:r>
        <w:rPr>
          <w:rFonts w:ascii="Arial;Helvetica;sans-serif" w:hAnsi="Arial;Helvetica;sans-serif"/>
          <w:b w:val="false"/>
          <w:i w:val="false"/>
          <w:caps w:val="false"/>
          <w:smallCaps w:val="false"/>
          <w:color w:val="000000"/>
          <w:sz w:val="18"/>
        </w:rPr>
        <w:t>.   To the extent that an Option Award Agreement so provides, if the Stock is traded on an 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Exercise/Pledge</w:t>
      </w:r>
      <w:r>
        <w:rPr>
          <w:rFonts w:ascii="Arial;Helvetica;sans-serif" w:hAnsi="Arial;Helvetica;sans-serif"/>
          <w:b w:val="false"/>
          <w:i w:val="false"/>
          <w:caps w:val="false"/>
          <w:smallCaps w:val="false"/>
          <w:color w:val="000000"/>
          <w:sz w:val="18"/>
        </w:rPr>
        <w:t>.   To the extent that an Option Award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w:t>
      </w:r>
      <w:r>
        <w:rPr>
          <w:rFonts w:ascii="Arial;Helvetica;sans-serif" w:hAnsi="Arial;Helvetica;sans-serif"/>
          <w:b w:val="false"/>
          <w:i/>
          <w:caps w:val="false"/>
          <w:smallCaps w:val="false"/>
          <w:color w:val="000000"/>
          <w:sz w:val="18"/>
        </w:rPr>
        <w:t>Net Exercise</w:t>
      </w:r>
      <w:r>
        <w:rPr>
          <w:rFonts w:ascii="Arial;Helvetica;sans-serif" w:hAnsi="Arial;Helvetica;sans-serif"/>
          <w:b w:val="false"/>
          <w:i w:val="false"/>
          <w:caps w:val="false"/>
          <w:smallCaps w:val="false"/>
          <w:color w:val="000000"/>
          <w:sz w:val="18"/>
        </w:rPr>
        <w:t>.   To the extent that an Option Award Agreement so provides,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w:t>
      </w:r>
      <w:r>
        <w:rPr>
          <w:rFonts w:ascii="Arial;Helvetica;sans-serif" w:hAnsi="Arial;Helvetica;sans-serif"/>
          <w:b w:val="false"/>
          <w:i/>
          <w:caps w:val="false"/>
          <w:smallCaps w:val="false"/>
          <w:color w:val="000000"/>
          <w:sz w:val="18"/>
        </w:rPr>
        <w:t>Promissory Note</w:t>
      </w:r>
      <w:r>
        <w:rPr>
          <w:rFonts w:ascii="Arial;Helvetica;sans-serif" w:hAnsi="Arial;Helvetica;sans-serif"/>
          <w:b w:val="false"/>
          <w:i w:val="false"/>
          <w:caps w:val="false"/>
          <w:smallCaps w:val="false"/>
          <w:color w:val="000000"/>
          <w:sz w:val="18"/>
        </w:rPr>
        <w:t>.   To the extent that an Option Award Agreement or Restricted Share Award Agreement so provides, payment may be made all or in part by delivering (on a form prescribed by the Company) a full-recourse promissory note.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   </w:t>
      </w:r>
      <w:r>
        <w:rPr>
          <w:rFonts w:ascii="Arial;Helvetica;sans-serif" w:hAnsi="Arial;Helvetica;sans-serif"/>
          <w:b w:val="false"/>
          <w:i/>
          <w:caps w:val="false"/>
          <w:smallCaps w:val="false"/>
          <w:color w:val="000000"/>
          <w:sz w:val="18"/>
        </w:rPr>
        <w:t>Other Forms of Payment</w:t>
      </w:r>
      <w:r>
        <w:rPr>
          <w:rFonts w:ascii="Arial;Helvetica;sans-serif" w:hAnsi="Arial;Helvetica;sans-serif"/>
          <w:b w:val="false"/>
          <w:i w:val="false"/>
          <w:caps w:val="false"/>
          <w:smallCaps w:val="false"/>
          <w:color w:val="000000"/>
          <w:sz w:val="18"/>
        </w:rPr>
        <w:t>.   To the extent that an Option Award Agreement or Restricted Share Award Agreement so provides, payment may be made in any other form that is consistent with applicable laws, regulations, and rules.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   </w:t>
      </w:r>
      <w:r>
        <w:rPr>
          <w:rFonts w:ascii="Arial;Helvetica;sans-serif" w:hAnsi="Arial;Helvetica;sans-serif"/>
          <w:b w:val="false"/>
          <w:i/>
          <w:caps w:val="false"/>
          <w:smallCaps w:val="false"/>
          <w:color w:val="000000"/>
          <w:sz w:val="18"/>
        </w:rPr>
        <w:t>Limitations under Applicable Law</w:t>
      </w:r>
      <w:r>
        <w:rPr>
          <w:rFonts w:ascii="Arial;Helvetica;sans-serif" w:hAnsi="Arial;Helvetica;sans-serif"/>
          <w:b w:val="false"/>
          <w:i w:val="false"/>
          <w:caps w:val="false"/>
          <w:smallCaps w:val="false"/>
          <w:color w:val="000000"/>
          <w:sz w:val="18"/>
        </w:rPr>
        <w:t>.   Notwithstanding anything herein or in an Option Award Agreement or Restricted Share Award Agreement to the contrary, payment may not be made in any form that is unlawful, as determined by the Committee in its sole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9.   STOCK APPRECIATION RIGHTS.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SAR Award Agreement</w:t>
      </w:r>
      <w:r>
        <w:rPr>
          <w:rFonts w:ascii="Arial;Helvetica;sans-serif" w:hAnsi="Arial;Helvetica;sans-serif"/>
          <w:b w:val="false"/>
          <w:i w:val="false"/>
          <w:caps w:val="false"/>
          <w:smallCaps w:val="false"/>
          <w:color w:val="000000"/>
          <w:sz w:val="18"/>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Number of Shares</w:t>
      </w:r>
      <w:r>
        <w:rPr>
          <w:rFonts w:ascii="Arial;Helvetica;sans-serif" w:hAnsi="Arial;Helvetica;sans-serif"/>
          <w:b w:val="false"/>
          <w:i w:val="false"/>
          <w:caps w:val="false"/>
          <w:smallCaps w:val="false"/>
          <w:color w:val="000000"/>
          <w:sz w:val="18"/>
        </w:rPr>
        <w:t>.   Each SAR Award Agreement shall specify the number of Shares to which the SAR pertains and shall provide for the adjustment of such number in accordance with Section 13.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Exercise Price</w:t>
      </w:r>
      <w:r>
        <w:rPr>
          <w:rFonts w:ascii="Arial;Helvetica;sans-serif" w:hAnsi="Arial;Helvetica;sans-serif"/>
          <w:b w:val="false"/>
          <w:i w:val="false"/>
          <w:caps w:val="false"/>
          <w:smallCaps w:val="false"/>
          <w:color w:val="000000"/>
          <w:sz w:val="18"/>
        </w:rPr>
        <w:t>.   Each SAR Award Agreement shall specify the Exercise Price. The Exercise Price of a SAR shall not be 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Exercisability and Term</w:t>
      </w:r>
      <w:r>
        <w:rPr>
          <w:rFonts w:ascii="Arial;Helvetica;sans-serif" w:hAnsi="Arial;Helvetica;sans-serif"/>
          <w:b w:val="false"/>
          <w:i w:val="false"/>
          <w:caps w:val="false"/>
          <w:smallCaps w:val="false"/>
          <w:color w:val="000000"/>
          <w:sz w:val="18"/>
        </w:rPr>
        <w:t xml:space="preserve">.   Each SAR Award Agreement shall specify the date when all or any installment of the SAR is to become exercisable. The SAR Award Agreement shall also specify the term of the SAR. A SAR Award Agreement may provide for accelerated exercisability in the event of the Participant’s death, Disability, retirement, or other events and may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EOSU"/>
      <w:bookmarkEnd w:id="82"/>
      <w:r>
        <w:rPr>
          <w:rFonts w:ascii="calibri;arial;sans-serif" w:hAnsi="calibri;arial;sans-serif"/>
          <w:b w:val="false"/>
          <w:i w:val="false"/>
          <w:caps w:val="false"/>
          <w:smallCaps w:val="false"/>
          <w:color w:val="000000"/>
          <w:sz w:val="16"/>
        </w:rPr>
        <w:t>​</w:t>
      </w:r>
      <w:bookmarkStart w:id="83" w:name="tFEOA"/>
      <w:bookmarkEnd w:id="83"/>
      <w:r>
        <w:rPr>
          <w:rFonts w:ascii="calibri;arial;sans-serif" w:hAnsi="calibri;arial;sans-serif"/>
          <w:b w:val="false"/>
          <w:i w:val="false"/>
          <w:caps w:val="false"/>
          <w:smallCaps w:val="false"/>
          <w:color w:val="000000"/>
          <w:sz w:val="16"/>
        </w:rPr>
        <w:t>​</w:t>
      </w:r>
      <w:bookmarkStart w:id="84" w:name="tGPST"/>
      <w:bookmarkEnd w:id="84"/>
      <w:r>
        <w:rPr>
          <w:rFonts w:ascii="calibri;arial;sans-serif" w:hAnsi="calibri;arial;sans-serif"/>
          <w:b w:val="false"/>
          <w:i w:val="false"/>
          <w:caps w:val="false"/>
          <w:smallCaps w:val="false"/>
          <w:color w:val="000000"/>
          <w:sz w:val="16"/>
        </w:rPr>
        <w:t>​</w:t>
      </w:r>
      <w:bookmarkStart w:id="85" w:name="tHDEO"/>
      <w:bookmarkEnd w:id="85"/>
      <w:r>
        <w:rPr>
          <w:rFonts w:ascii="calibri;arial;sans-serif" w:hAnsi="calibri;arial;sans-serif"/>
          <w:b w:val="false"/>
          <w:i w:val="false"/>
          <w:caps w:val="false"/>
          <w:smallCaps w:val="false"/>
          <w:color w:val="000000"/>
          <w:sz w:val="16"/>
        </w:rPr>
        <w:t>​</w:t>
      </w:r>
      <w:bookmarkStart w:id="86" w:name="tS1SU"/>
      <w:bookmarkEnd w:id="86"/>
      <w:r>
        <w:rPr>
          <w:rFonts w:ascii="calibri;arial;sans-serif" w:hAnsi="calibri;arial;sans-serif"/>
          <w:b w:val="false"/>
          <w:i w:val="false"/>
          <w:caps w:val="false"/>
          <w:smallCaps w:val="false"/>
          <w:color w:val="000000"/>
          <w:sz w:val="16"/>
        </w:rPr>
        <w:t>​</w:t>
      </w:r>
      <w:bookmarkStart w:id="87" w:name="tASUA"/>
      <w:bookmarkEnd w:id="87"/>
      <w:r>
        <w:rPr>
          <w:rFonts w:ascii="calibri;arial;sans-serif" w:hAnsi="calibri;arial;sans-serif"/>
          <w:b w:val="false"/>
          <w:i w:val="false"/>
          <w:caps w:val="false"/>
          <w:smallCaps w:val="false"/>
          <w:color w:val="000000"/>
          <w:sz w:val="16"/>
        </w:rPr>
        <w:t>​</w:t>
      </w:r>
      <w:bookmarkStart w:id="88" w:name="tBFAT"/>
      <w:bookmarkEnd w:id="88"/>
      <w:r>
        <w:rPr>
          <w:rFonts w:ascii="calibri;arial;sans-serif" w:hAnsi="calibri;arial;sans-serif"/>
          <w:b w:val="false"/>
          <w:i w:val="false"/>
          <w:caps w:val="false"/>
          <w:smallCaps w:val="false"/>
          <w:color w:val="000000"/>
          <w:sz w:val="16"/>
        </w:rPr>
        <w:t>​</w:t>
      </w:r>
      <w:bookmarkStart w:id="89" w:name="tCCEA"/>
      <w:bookmarkEnd w:id="89"/>
      <w:r>
        <w:rPr>
          <w:rFonts w:ascii="calibri;arial;sans-serif" w:hAnsi="calibri;arial;sans-serif"/>
          <w:b w:val="false"/>
          <w:i w:val="false"/>
          <w:caps w:val="false"/>
          <w:smallCaps w:val="false"/>
          <w:color w:val="000000"/>
          <w:sz w:val="16"/>
        </w:rPr>
        <w:t>​</w:t>
      </w:r>
      <w:bookmarkStart w:id="90" w:name="tDADR1"/>
      <w:bookmarkEnd w:id="90"/>
      <w:r>
        <w:rPr>
          <w:rFonts w:ascii="calibri;arial;sans-serif" w:hAnsi="calibri;arial;sans-serif"/>
          <w:b w:val="false"/>
          <w:i w:val="false"/>
          <w:caps w:val="false"/>
          <w:smallCaps w:val="false"/>
          <w:color w:val="000000"/>
          <w:sz w:val="16"/>
        </w:rPr>
        <w:t>​</w:t>
      </w:r>
      <w:bookmarkStart w:id="91" w:name="tEATO"/>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Exercise of SARs</w:t>
      </w:r>
      <w:r>
        <w:rPr>
          <w:rFonts w:ascii="Arial;Helvetica;sans-serif" w:hAnsi="Arial;Helvetica;sans-serif"/>
          <w:b w:val="false"/>
          <w:i w:val="false"/>
          <w:caps w:val="false"/>
          <w:smallCaps w:val="false"/>
          <w:color w:val="000000"/>
          <w:sz w:val="18"/>
        </w:rPr>
        <w:t>.   Upon exercise of a SAR, the Participant (or any person having the right to exercise the SAR after 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w:t>
      </w:r>
      <w:r>
        <w:rPr>
          <w:rFonts w:ascii="Arial;Helvetica;sans-serif" w:hAnsi="Arial;Helvetica;sans-serif"/>
          <w:b w:val="false"/>
          <w:i/>
          <w:caps w:val="false"/>
          <w:smallCaps w:val="false"/>
          <w:color w:val="000000"/>
          <w:sz w:val="18"/>
        </w:rPr>
        <w:t>Modification, Extension or Assumption of SARs</w:t>
      </w:r>
      <w:r>
        <w:rPr>
          <w:rFonts w:ascii="Arial;Helvetica;sans-serif" w:hAnsi="Arial;Helvetica;sans-serif"/>
          <w:b w:val="false"/>
          <w:i w:val="false"/>
          <w:caps w:val="false"/>
          <w:smallCaps w:val="false"/>
          <w:color w:val="000000"/>
          <w:sz w:val="18"/>
        </w:rPr>
        <w:t>.   Subject to Section 5(e),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w:t>
      </w:r>
      <w:r>
        <w:rPr>
          <w:rFonts w:ascii="Arial;Helvetica;sans-serif" w:hAnsi="Arial;Helvetica;sans-serif"/>
          <w:b w:val="false"/>
          <w:i/>
          <w:caps w:val="false"/>
          <w:smallCaps w:val="false"/>
          <w:color w:val="000000"/>
          <w:sz w:val="18"/>
        </w:rPr>
        <w:t>Buyout Provisions</w:t>
      </w:r>
      <w:r>
        <w:rPr>
          <w:rFonts w:ascii="Arial;Helvetica;sans-serif" w:hAnsi="Arial;Helvetica;sans-serif"/>
          <w:b w:val="false"/>
          <w:i w:val="false"/>
          <w:caps w:val="false"/>
          <w:smallCaps w:val="false"/>
          <w:color w:val="000000"/>
          <w:sz w:val="18"/>
        </w:rPr>
        <w:t>.   Subject to Section 5(e), the Committee may at any time (i) offer to buy out for a payment in cash or cash equivalents a SAR previously granted, or (ii) authorize a Participant to elect to cash out a SAR previously granted, in either case at such time and based upon such terms and conditions as the Committee shall establish.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   </w:t>
      </w:r>
      <w:r>
        <w:rPr>
          <w:rFonts w:ascii="Arial;Helvetica;sans-serif" w:hAnsi="Arial;Helvetica;sans-serif"/>
          <w:b w:val="false"/>
          <w:i/>
          <w:caps w:val="false"/>
          <w:smallCaps w:val="false"/>
          <w:color w:val="000000"/>
          <w:sz w:val="18"/>
        </w:rPr>
        <w:t>No Dividend Equivalents on SARs</w:t>
      </w:r>
      <w:r>
        <w:rPr>
          <w:rFonts w:ascii="Arial;Helvetica;sans-serif" w:hAnsi="Arial;Helvetica;sans-serif"/>
          <w:b w:val="false"/>
          <w:i w:val="false"/>
          <w:caps w:val="false"/>
          <w:smallCaps w:val="false"/>
          <w:color w:val="000000"/>
          <w:sz w:val="18"/>
        </w:rPr>
        <w:t>.   No grant of SARs may be accompanied by a tandem award of dividend equivalents or provide for dividends, dividend equivalents or other distributions to be paid on such SARs (except pursuant to an adjustment or other action contemplated by Section 13).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Arial;Helvetica;sans-serif" w:hAnsi="Arial;Helvetica;sans-serif"/>
          <w:b/>
          <w:i w:val="false"/>
          <w:caps w:val="false"/>
          <w:smallCaps w:val="false"/>
          <w:color w:val="000000"/>
          <w:sz w:val="16"/>
        </w:rPr>
      </w:pPr>
      <w:r>
        <w:rPr>
          <w:rFonts w:ascii="Arial;Helvetica;sans-serif" w:hAnsi="Arial;Helvetica;sans-serif"/>
          <w:b/>
          <w:i w:val="false"/>
          <w:caps/>
          <w:color w:val="000000"/>
          <w:sz w:val="16"/>
        </w:rPr>
        <w:t>SECTION 10.   RESTRICTED STOCK UNITS.</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Restricted Stock Unit Award Agreement</w:t>
      </w:r>
      <w:r>
        <w:rPr>
          <w:rFonts w:ascii="Arial;Helvetica;sans-serif" w:hAnsi="Arial;Helvetica;sans-serif"/>
          <w:b w:val="false"/>
          <w:i w:val="false"/>
          <w:caps w:val="false"/>
          <w:smallCaps w:val="false"/>
          <w:color w:val="000000"/>
          <w:sz w:val="18"/>
        </w:rPr>
        <w:t xml:space="preserve">.   Each grant of Restricted Stock Units under the Plan shall be evidenced 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Payment for Awards</w:t>
      </w:r>
      <w:r>
        <w:rPr>
          <w:rFonts w:ascii="Arial;Helvetica;sans-serif" w:hAnsi="Arial;Helvetica;sans-serif"/>
          <w:b w:val="false"/>
          <w:i w:val="false"/>
          <w:caps w:val="false"/>
          <w:smallCaps w:val="false"/>
          <w:color w:val="000000"/>
          <w:sz w:val="18"/>
        </w:rPr>
        <w:t>.   To the extent that an Award is granted in the form of Restricted Stock Units, no cash consideration shall be required of the Award recipients.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Vesting Conditions</w:t>
      </w:r>
      <w:r>
        <w:rPr>
          <w:rFonts w:ascii="Arial;Helvetica;sans-serif" w:hAnsi="Arial;Helvetica;sans-serif"/>
          <w:b w:val="false"/>
          <w:i w:val="false"/>
          <w:caps w:val="false"/>
          <w:smallCaps w:val="false"/>
          <w:color w:val="000000"/>
          <w:sz w:val="18"/>
        </w:rPr>
        <w:t>.   Each Award of Restricted Stock Units may or may not be subject to vesting. 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Voting and Dividend Rights</w:t>
      </w:r>
      <w:r>
        <w:rPr>
          <w:rFonts w:ascii="Arial;Helvetica;sans-serif" w:hAnsi="Arial;Helvetica;sans-serif"/>
          <w:b w:val="false"/>
          <w:i w:val="false"/>
          <w:caps w:val="false"/>
          <w:smallCaps w:val="false"/>
          <w:color w:val="000000"/>
          <w:sz w:val="18"/>
        </w:rPr>
        <w:t>.   The holders of Restricted Stock Units shall have no voting rights. Prior to settlement or forfeiture, 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Form and Time of Settlement of Restricted Stock Units</w:t>
      </w:r>
      <w:r>
        <w:rPr>
          <w:rFonts w:ascii="Arial;Helvetica;sans-serif" w:hAnsi="Arial;Helvetica;sans-serif"/>
          <w:b w:val="false"/>
          <w:i w:val="false"/>
          <w:caps w:val="false"/>
          <w:smallCaps w:val="false"/>
          <w:color w:val="000000"/>
          <w:sz w:val="18"/>
        </w:rPr>
        <w:t xml:space="preserve">.   Settlement of vested Restricted Stock Units may be made in the form of  (i) cash, (ii) 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FOPA"/>
      <w:bookmarkEnd w:id="92"/>
      <w:r>
        <w:rPr>
          <w:rFonts w:ascii="calibri;arial;sans-serif" w:hAnsi="calibri;arial;sans-serif"/>
          <w:b w:val="false"/>
          <w:i w:val="false"/>
          <w:caps w:val="false"/>
          <w:smallCaps w:val="false"/>
          <w:color w:val="000000"/>
          <w:sz w:val="16"/>
        </w:rPr>
        <w:t>​</w:t>
      </w:r>
      <w:bookmarkStart w:id="93" w:name="tGRAH"/>
      <w:bookmarkEnd w:id="93"/>
      <w:r>
        <w:rPr>
          <w:rFonts w:ascii="calibri;arial;sans-serif" w:hAnsi="calibri;arial;sans-serif"/>
          <w:b w:val="false"/>
          <w:i w:val="false"/>
          <w:caps w:val="false"/>
          <w:smallCaps w:val="false"/>
          <w:color w:val="000000"/>
          <w:sz w:val="16"/>
        </w:rPr>
        <w:t>​</w:t>
      </w:r>
      <w:bookmarkStart w:id="94" w:name="tS1A"/>
      <w:bookmarkEnd w:id="94"/>
      <w:r>
        <w:rPr>
          <w:rFonts w:ascii="calibri;arial;sans-serif" w:hAnsi="calibri;arial;sans-serif"/>
          <w:b w:val="false"/>
          <w:i w:val="false"/>
          <w:caps w:val="false"/>
          <w:smallCaps w:val="false"/>
          <w:color w:val="000000"/>
          <w:sz w:val="16"/>
        </w:rPr>
        <w:t>​</w:t>
      </w:r>
      <w:bookmarkStart w:id="95" w:name="tS1PR"/>
      <w:bookmarkEnd w:id="95"/>
      <w:r>
        <w:rPr>
          <w:rFonts w:ascii="calibri;arial;sans-serif" w:hAnsi="calibri;arial;sans-serif"/>
          <w:b w:val="false"/>
          <w:i w:val="false"/>
          <w:caps w:val="false"/>
          <w:smallCaps w:val="false"/>
          <w:color w:val="000000"/>
          <w:sz w:val="16"/>
        </w:rPr>
        <w:t>​</w:t>
      </w:r>
      <w:bookmarkStart w:id="96" w:name="tS1OS"/>
      <w:bookmarkEnd w:id="96"/>
      <w:r>
        <w:rPr>
          <w:rFonts w:ascii="calibri;arial;sans-serif" w:hAnsi="calibri;arial;sans-serif"/>
          <w:b w:val="false"/>
          <w:i w:val="false"/>
          <w:caps w:val="false"/>
          <w:smallCaps w:val="false"/>
          <w:color w:val="000000"/>
          <w:sz w:val="16"/>
        </w:rPr>
        <w:t>​</w:t>
      </w:r>
      <w:bookmarkStart w:id="97" w:name="tAITE"/>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w:t>
      </w:r>
      <w:r>
        <w:rPr>
          <w:rFonts w:ascii="Arial;Helvetica;sans-serif" w:hAnsi="Arial;Helvetica;sans-serif"/>
          <w:b w:val="false"/>
          <w:i/>
          <w:caps w:val="false"/>
          <w:smallCaps w:val="false"/>
          <w:color w:val="000000"/>
          <w:sz w:val="18"/>
        </w:rPr>
        <w:t>Death of Participant</w:t>
      </w:r>
      <w:r>
        <w:rPr>
          <w:rFonts w:ascii="Arial;Helvetica;sans-serif" w:hAnsi="Arial;Helvetica;sans-serif"/>
          <w:b w:val="false"/>
          <w:i w:val="false"/>
          <w:caps w:val="false"/>
          <w:smallCaps w:val="false"/>
          <w:color w:val="000000"/>
          <w:sz w:val="18"/>
        </w:rPr>
        <w:t>.   Any Restricted Stock Unit Award that becomes payable after the Participant’s death shall be distributed 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w:t>
      </w:r>
      <w:r>
        <w:rPr>
          <w:rFonts w:ascii="Arial;Helvetica;sans-serif" w:hAnsi="Arial;Helvetica;sans-serif"/>
          <w:b w:val="false"/>
          <w:i/>
          <w:caps w:val="false"/>
          <w:smallCaps w:val="false"/>
          <w:color w:val="000000"/>
          <w:sz w:val="18"/>
        </w:rPr>
        <w:t>Creditors’ Rights</w:t>
      </w:r>
      <w:r>
        <w:rPr>
          <w:rFonts w:ascii="Arial;Helvetica;sans-serif" w:hAnsi="Arial;Helvetica;sans-serif"/>
          <w:b w:val="false"/>
          <w:i w:val="false"/>
          <w:caps w:val="false"/>
          <w:smallCaps w:val="false"/>
          <w:color w:val="000000"/>
          <w:sz w:val="18"/>
        </w:rPr>
        <w:t>.   A holder of Restricted Stock Units shall have no rights other than those of a general creditor of the Company. Restricted Stock Units represent an unfunded and unsecured obligation of the Company, subject to the terms and conditions of the applicable Restricted Stock Unit Award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11.   CASH-BASED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12.   STOCK PURCHASE RIGHTS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Arial;Helvetica;sans-serif" w:hAnsi="Arial;Helvetica;sans-serif"/>
          <w:b w:val="false"/>
          <w:i/>
          <w:caps w:val="false"/>
          <w:smallCaps w:val="false"/>
          <w:color w:val="000000"/>
          <w:sz w:val="18"/>
        </w:rPr>
        <w:t>provided, however,</w:t>
      </w:r>
      <w:r>
        <w:rPr>
          <w:rFonts w:ascii="Arial;Helvetica;sans-serif" w:hAnsi="Arial;Helvetica;sans-serif"/>
          <w:b w:val="false"/>
          <w:i w:val="false"/>
          <w:caps w:val="false"/>
          <w:smallCaps w:val="false"/>
          <w:color w:val="000000"/>
          <w:sz w:val="18"/>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13.   ADJUSTMENT OF SHARES.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Adjustments</w:t>
      </w:r>
      <w:r>
        <w:rPr>
          <w:rFonts w:ascii="Arial;Helvetica;sans-serif" w:hAnsi="Arial;Helvetica;sans-serif"/>
          <w:b w:val="false"/>
          <w:i w:val="false"/>
          <w:caps w:val="false"/>
          <w:smallCaps w:val="false"/>
          <w:color w:val="000000"/>
          <w:sz w:val="18"/>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class(es) and number of securities available for future Awards and the limitations set forth under Section 5; </w:t>
      </w:r>
      <w:r>
        <mc:AlternateContent>
          <mc:Choice Requires="wps">
            <w:drawing>
              <wp:anchor behindDoc="0" distT="152400" distB="0" distL="254000" distR="0" simplePos="0" locked="0" layoutInCell="1" allowOverlap="1" relativeHeight="404">
                <wp:simplePos x="0" y="0"/>
                <wp:positionH relativeFrom="column">
                  <wp:align>left</wp:align>
                </wp:positionH>
                <wp:positionV relativeFrom="line">
                  <wp:align>top</wp:align>
                </wp:positionV>
                <wp:extent cx="317500" cy="350520"/>
                <wp:effectExtent l="0" t="0" r="0" b="0"/>
                <wp:wrapSquare wrapText="right"/>
                <wp:docPr id="409" name="Frame34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BOLT"/>
      <w:bookmarkEnd w:id="98"/>
      <w:r>
        <w:rPr>
          <w:rFonts w:ascii="calibri;arial;sans-serif" w:hAnsi="calibri;arial;sans-serif"/>
          <w:b w:val="false"/>
          <w:i w:val="false"/>
          <w:caps w:val="false"/>
          <w:smallCaps w:val="false"/>
          <w:color w:val="000000"/>
          <w:sz w:val="16"/>
        </w:rPr>
        <w:t>​</w:t>
      </w:r>
      <w:bookmarkStart w:id="99" w:name="tCORI"/>
      <w:bookmarkEnd w:id="99"/>
      <w:r>
        <w:rPr>
          <w:rFonts w:ascii="calibri;arial;sans-serif" w:hAnsi="calibri;arial;sans-serif"/>
          <w:b w:val="false"/>
          <w:i w:val="false"/>
          <w:caps w:val="false"/>
          <w:smallCaps w:val="false"/>
          <w:color w:val="000000"/>
          <w:sz w:val="16"/>
        </w:rPr>
        <w:t>​</w:t>
      </w:r>
      <w:bookmarkStart w:id="100" w:name="tDIC"/>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class(es) and number of securities covered by each outstanding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405">
                <wp:simplePos x="0" y="0"/>
                <wp:positionH relativeFrom="column">
                  <wp:align>left</wp:align>
                </wp:positionH>
                <wp:positionV relativeFrom="line">
                  <wp:posOffset>635</wp:posOffset>
                </wp:positionV>
                <wp:extent cx="317500" cy="350520"/>
                <wp:effectExtent l="0" t="0" r="0" b="0"/>
                <wp:wrapSquare wrapText="right"/>
                <wp:docPr id="410" name="Frame34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Exercise Price under each outstanding Option and SAR;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254000" distR="0" simplePos="0" locked="0" layoutInCell="1" allowOverlap="1" relativeHeight="406">
                <wp:simplePos x="0" y="0"/>
                <wp:positionH relativeFrom="column">
                  <wp:align>left</wp:align>
                </wp:positionH>
                <wp:positionV relativeFrom="line">
                  <wp:align>top</wp:align>
                </wp:positionV>
                <wp:extent cx="317500" cy="350520"/>
                <wp:effectExtent l="0" t="0" r="0" b="0"/>
                <wp:wrapSquare wrapText="right"/>
                <wp:docPr id="411" name="Frame34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 Purchase Rights to the extent set forth in the ESPP Addendum.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254000" distR="0" simplePos="0" locked="0" layoutInCell="1" allowOverlap="1" relativeHeight="407">
                <wp:simplePos x="0" y="0"/>
                <wp:positionH relativeFrom="column">
                  <wp:align>left</wp:align>
                </wp:positionH>
                <wp:positionV relativeFrom="line">
                  <wp:align>top</wp:align>
                </wp:positionV>
                <wp:extent cx="317500" cy="350520"/>
                <wp:effectExtent l="0" t="0" r="0" b="0"/>
                <wp:wrapSquare wrapText="right"/>
                <wp:docPr id="412" name="Frame34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Committee will make such adjustments, and its determination will be final, binding and conclusive.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Dissolution or Liquidation</w:t>
      </w:r>
      <w:r>
        <w:rPr>
          <w:rFonts w:ascii="Arial;Helvetica;sans-serif" w:hAnsi="Arial;Helvetica;sans-serif"/>
          <w:b w:val="false"/>
          <w:i w:val="false"/>
          <w:caps w:val="false"/>
          <w:smallCaps w:val="false"/>
          <w:color w:val="000000"/>
          <w:sz w:val="18"/>
        </w:rPr>
        <w:t>.   To the extent not previously exercised or settled, Options, SARs, and Restricted Stock Units shall terminate immediately prior to the dissolution or liquidation of the Company and Stock Purchase Rights shall be subject to such treatment as set forth in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Merger or Reorganization</w:t>
      </w:r>
      <w:r>
        <w:rPr>
          <w:rFonts w:ascii="Arial;Helvetica;sans-serif" w:hAnsi="Arial;Helvetica;sans-serif"/>
          <w:b w:val="false"/>
          <w:i w:val="false"/>
          <w:caps w:val="false"/>
          <w:smallCaps w:val="false"/>
          <w:color w:val="000000"/>
          <w:sz w:val="18"/>
        </w:rPr>
        <w:t>.   In the event that the Company is a party to a merger or other reorganization, outstanding Awards shall be subject to the agreement of merger or reorganization. Subject to compliance with Section 409A, such agreement may provide for one or more of the following with respect to Awards other than Stock Purchase Rights, without limitation: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continuation of the outstanding Awards by the Company, if the Company is a surviving corporation;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254000" distR="0" simplePos="0" locked="0" layoutInCell="1" allowOverlap="1" relativeHeight="408">
                <wp:simplePos x="0" y="0"/>
                <wp:positionH relativeFrom="column">
                  <wp:align>left</wp:align>
                </wp:positionH>
                <wp:positionV relativeFrom="line">
                  <wp:align>top</wp:align>
                </wp:positionV>
                <wp:extent cx="317500" cy="350520"/>
                <wp:effectExtent l="0" t="0" r="0" b="0"/>
                <wp:wrapSquare wrapText="right"/>
                <wp:docPr id="413" name="Frame34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assumption of the outstanding Awards by the surviving corporation or its parent or subsidiary;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254000" distR="0" simplePos="0" locked="0" layoutInCell="1" allowOverlap="1" relativeHeight="409">
                <wp:simplePos x="0" y="0"/>
                <wp:positionH relativeFrom="column">
                  <wp:align>left</wp:align>
                </wp:positionH>
                <wp:positionV relativeFrom="line">
                  <wp:align>top</wp:align>
                </wp:positionV>
                <wp:extent cx="317500" cy="350520"/>
                <wp:effectExtent l="0" t="0" r="0" b="0"/>
                <wp:wrapSquare wrapText="right"/>
                <wp:docPr id="414" name="Frame34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substitution by the surviving corporation or its parent or subsidiary of its own awards for the outstanding Awards;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8590" distB="0" distL="254000" distR="0" simplePos="0" locked="0" layoutInCell="1" allowOverlap="1" relativeHeight="410">
                <wp:simplePos x="0" y="0"/>
                <wp:positionH relativeFrom="column">
                  <wp:align>left</wp:align>
                </wp:positionH>
                <wp:positionV relativeFrom="line">
                  <wp:align>top</wp:align>
                </wp:positionV>
                <wp:extent cx="317500" cy="350520"/>
                <wp:effectExtent l="0" t="0" r="0" b="0"/>
                <wp:wrapSquare wrapText="right"/>
                <wp:docPr id="415" name="Frame34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Immediate vesting, exercisability, or settlement of outstanding Awards followed by the cancellation of such Awards upon or immediately prior to the effectiveness of such transaction;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11">
                <wp:simplePos x="0" y="0"/>
                <wp:positionH relativeFrom="column">
                  <wp:align>left</wp:align>
                </wp:positionH>
                <wp:positionV relativeFrom="line">
                  <wp:align>top</wp:align>
                </wp:positionV>
                <wp:extent cx="317500" cy="350520"/>
                <wp:effectExtent l="0" t="0" r="0" b="0"/>
                <wp:wrapSquare wrapText="right"/>
                <wp:docPr id="416" name="Frame34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12">
                <wp:simplePos x="0" y="0"/>
                <wp:positionH relativeFrom="column">
                  <wp:align>left</wp:align>
                </wp:positionH>
                <wp:positionV relativeFrom="line">
                  <wp:align>top</wp:align>
                </wp:positionV>
                <wp:extent cx="317500" cy="350520"/>
                <wp:effectExtent l="0" t="0" r="0" b="0"/>
                <wp:wrapSquare wrapText="right"/>
                <wp:docPr id="417" name="Frame34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13">
                <wp:simplePos x="0" y="0"/>
                <wp:positionH relativeFrom="column">
                  <wp:align>left</wp:align>
                </wp:positionH>
                <wp:positionV relativeFrom="line">
                  <wp:align>top</wp:align>
                </wp:positionV>
                <wp:extent cx="317500" cy="350520"/>
                <wp:effectExtent l="0" t="0" r="0" b="0"/>
                <wp:wrapSquare wrapText="right"/>
                <wp:docPr id="418" name="Frame34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will have no obligation to treat all Awards, all Awards held by a Participant, or all Awards of the same type, similarly.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w:t>
      </w:r>
      <w:r>
        <w:rPr>
          <w:rFonts w:ascii="Arial;Helvetica;sans-serif" w:hAnsi="Arial;Helvetica;sans-serif"/>
          <w:b w:val="false"/>
          <w:i/>
          <w:caps w:val="false"/>
          <w:smallCaps w:val="false"/>
          <w:color w:val="000000"/>
          <w:sz w:val="18"/>
        </w:rPr>
        <w:t>Change in Control</w:t>
      </w:r>
      <w:r>
        <w:rPr>
          <w:rFonts w:ascii="Arial;Helvetica;sans-serif" w:hAnsi="Arial;Helvetica;sans-serif"/>
          <w:b w:val="false"/>
          <w:i w:val="false"/>
          <w:caps w:val="false"/>
          <w:smallCaps w:val="false"/>
          <w:color w:val="000000"/>
          <w:sz w:val="18"/>
        </w:rPr>
        <w:t xml:space="preserve">.   In addition to (and without limiting) the actions that may be taken under Section 13(c), in the event of a 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EORE"/>
      <w:bookmarkEnd w:id="101"/>
      <w:r>
        <w:rPr>
          <w:rFonts w:ascii="calibri;arial;sans-serif" w:hAnsi="calibri;arial;sans-serif"/>
          <w:b w:val="false"/>
          <w:i w:val="false"/>
          <w:caps w:val="false"/>
          <w:smallCaps w:val="false"/>
          <w:color w:val="000000"/>
          <w:sz w:val="16"/>
        </w:rPr>
        <w:t>​</w:t>
      </w:r>
      <w:bookmarkStart w:id="102" w:name="tS1OA"/>
      <w:bookmarkEnd w:id="102"/>
      <w:r>
        <w:rPr>
          <w:rFonts w:ascii="calibri;arial;sans-serif" w:hAnsi="calibri;arial;sans-serif"/>
          <w:b w:val="false"/>
          <w:i w:val="false"/>
          <w:caps w:val="false"/>
          <w:smallCaps w:val="false"/>
          <w:color w:val="000000"/>
          <w:sz w:val="16"/>
        </w:rPr>
        <w:t>​</w:t>
      </w:r>
      <w:bookmarkStart w:id="103" w:name="tAPST"/>
      <w:bookmarkEnd w:id="103"/>
      <w:r>
        <w:rPr>
          <w:rFonts w:ascii="calibri;arial;sans-serif" w:hAnsi="calibri;arial;sans-serif"/>
          <w:b w:val="false"/>
          <w:i w:val="false"/>
          <w:caps w:val="false"/>
          <w:smallCaps w:val="false"/>
          <w:color w:val="000000"/>
          <w:sz w:val="16"/>
        </w:rPr>
        <w:t>​</w:t>
      </w:r>
      <w:bookmarkStart w:id="104" w:name="tBRAD"/>
      <w:bookmarkEnd w:id="104"/>
      <w:r>
        <w:rPr>
          <w:rFonts w:ascii="calibri;arial;sans-serif" w:hAnsi="calibri;arial;sans-serif"/>
          <w:b w:val="false"/>
          <w:i w:val="false"/>
          <w:caps w:val="false"/>
          <w:smallCaps w:val="false"/>
          <w:color w:val="000000"/>
          <w:sz w:val="16"/>
        </w:rPr>
        <w:t>​</w:t>
      </w:r>
      <w:bookmarkStart w:id="105" w:name="tS1UO"/>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w:t>
      </w:r>
      <w:r>
        <w:rPr>
          <w:rFonts w:ascii="Arial;Helvetica;sans-serif" w:hAnsi="Arial;Helvetica;sans-serif"/>
          <w:b w:val="false"/>
          <w:i/>
          <w:caps w:val="false"/>
          <w:smallCaps w:val="false"/>
          <w:color w:val="000000"/>
          <w:sz w:val="18"/>
        </w:rPr>
        <w:t>Reservation of Rights</w:t>
      </w:r>
      <w:r>
        <w:rPr>
          <w:rFonts w:ascii="Arial;Helvetica;sans-serif" w:hAnsi="Arial;Helvetica;sans-serif"/>
          <w:b w:val="false"/>
          <w:i w:val="false"/>
          <w:caps w:val="false"/>
          <w:smallCaps w:val="false"/>
          <w:color w:val="000000"/>
          <w:sz w:val="18"/>
        </w:rPr>
        <w:t xml:space="preserve">.   Except as provided in this Section 13,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14.   DEFERRAL OF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Committee Powers</w:t>
      </w:r>
      <w:r>
        <w:rPr>
          <w:rFonts w:ascii="Arial;Helvetica;sans-serif" w:hAnsi="Arial;Helvetica;sans-serif"/>
          <w:b w:val="false"/>
          <w:i w:val="false"/>
          <w:caps w:val="false"/>
          <w:smallCaps w:val="false"/>
          <w:color w:val="000000"/>
          <w:sz w:val="18"/>
        </w:rPr>
        <w:t>.   Subject to compliance with Section 409A, the Committee (in its sole discretion) may permit or require a Participant 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4940" distB="0" distL="254000" distR="0" simplePos="0" locked="0" layoutInCell="1" allowOverlap="1" relativeHeight="414">
                <wp:simplePos x="0" y="0"/>
                <wp:positionH relativeFrom="column">
                  <wp:align>left</wp:align>
                </wp:positionH>
                <wp:positionV relativeFrom="line">
                  <wp:align>top</wp:align>
                </wp:positionV>
                <wp:extent cx="317500" cy="350520"/>
                <wp:effectExtent l="0" t="0" r="0" b="0"/>
                <wp:wrapSquare wrapText="right"/>
                <wp:docPr id="419" name="Frame35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Have Shares that otherwise would be delivered to such Participant as a result of the exercise of an Option or SAR converted into an equal number of Restricted Stock Units;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4940" distB="0" distL="254000" distR="0" simplePos="0" locked="0" layoutInCell="1" allowOverlap="1" relativeHeight="415">
                <wp:simplePos x="0" y="0"/>
                <wp:positionH relativeFrom="column">
                  <wp:align>left</wp:align>
                </wp:positionH>
                <wp:positionV relativeFrom="line">
                  <wp:align>top</wp:align>
                </wp:positionV>
                <wp:extent cx="317500" cy="350520"/>
                <wp:effectExtent l="0" t="0" r="0" b="0"/>
                <wp:wrapSquare wrapText="right"/>
                <wp:docPr id="420" name="Frame35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4940" distB="0" distL="254000" distR="0" simplePos="0" locked="0" layoutInCell="1" allowOverlap="1" relativeHeight="416">
                <wp:simplePos x="0" y="0"/>
                <wp:positionH relativeFrom="column">
                  <wp:align>left</wp:align>
                </wp:positionH>
                <wp:positionV relativeFrom="line">
                  <wp:align>top</wp:align>
                </wp:positionV>
                <wp:extent cx="317500" cy="350520"/>
                <wp:effectExtent l="0" t="0" r="0" b="0"/>
                <wp:wrapSquare wrapText="right"/>
                <wp:docPr id="421" name="Frame35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Such amounts shall be determined by reference to the Fair Market Value of such Shares as of the date when they otherwise would have been delivered to such Participant.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General Rules</w:t>
      </w:r>
      <w:r>
        <w:rPr>
          <w:rFonts w:ascii="Arial;Helvetica;sans-serif" w:hAnsi="Arial;Helvetica;sans-serif"/>
          <w:b w:val="false"/>
          <w:i w:val="false"/>
          <w:caps w:val="false"/>
          <w:smallCaps w:val="false"/>
          <w:color w:val="000000"/>
          <w:sz w:val="18"/>
        </w:rPr>
        <w:t>.   A deferred compensation account established under this Section 14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15.   AWARDS UNDER OTHER PLANS.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r>
        <w:rPr>
          <w:rFonts w:ascii="Arial;Helvetica;sans-serif" w:hAnsi="Arial;Helvetica;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S1OD"/>
      <w:bookmarkEnd w:id="106"/>
      <w:r>
        <w:rPr>
          <w:rFonts w:ascii="calibri;arial;sans-serif" w:hAnsi="calibri;arial;sans-serif"/>
          <w:b w:val="false"/>
          <w:i w:val="false"/>
          <w:caps w:val="false"/>
          <w:smallCaps w:val="false"/>
          <w:color w:val="000000"/>
          <w:sz w:val="16"/>
        </w:rPr>
        <w:t>​</w:t>
      </w:r>
      <w:bookmarkStart w:id="107" w:name="tADNP"/>
      <w:bookmarkEnd w:id="107"/>
      <w:r>
        <w:rPr>
          <w:rFonts w:ascii="calibri;arial;sans-serif" w:hAnsi="calibri;arial;sans-serif"/>
          <w:b w:val="false"/>
          <w:i w:val="false"/>
          <w:caps w:val="false"/>
          <w:smallCaps w:val="false"/>
          <w:color w:val="000000"/>
          <w:sz w:val="16"/>
        </w:rPr>
        <w:t>​</w:t>
      </w:r>
      <w:bookmarkStart w:id="108" w:name="tBTRN"/>
      <w:bookmarkEnd w:id="108"/>
      <w:r>
        <w:rPr>
          <w:rFonts w:ascii="calibri;arial;sans-serif" w:hAnsi="calibri;arial;sans-serif"/>
          <w:b w:val="false"/>
          <w:i w:val="false"/>
          <w:caps w:val="false"/>
          <w:smallCaps w:val="false"/>
          <w:color w:val="000000"/>
          <w:sz w:val="16"/>
        </w:rPr>
        <w:t>​</w:t>
      </w:r>
      <w:bookmarkStart w:id="109" w:name="tCATO"/>
      <w:bookmarkEnd w:id="109"/>
      <w:r>
        <w:rPr>
          <w:rFonts w:ascii="calibri;arial;sans-serif" w:hAnsi="calibri;arial;sans-serif"/>
          <w:b w:val="false"/>
          <w:i w:val="false"/>
          <w:caps w:val="false"/>
          <w:smallCaps w:val="false"/>
          <w:color w:val="000000"/>
          <w:sz w:val="16"/>
        </w:rPr>
        <w:t>​</w:t>
      </w:r>
      <w:bookmarkStart w:id="110" w:name="tS1AR"/>
      <w:bookmarkEnd w:id="110"/>
      <w:r>
        <w:rPr>
          <w:rFonts w:ascii="calibri;arial;sans-serif" w:hAnsi="calibri;arial;sans-serif"/>
          <w:b w:val="false"/>
          <w:i w:val="false"/>
          <w:caps w:val="false"/>
          <w:smallCaps w:val="false"/>
          <w:color w:val="000000"/>
          <w:sz w:val="16"/>
        </w:rPr>
        <w:t>​</w:t>
      </w:r>
      <w:bookmarkStart w:id="111" w:name="tSE18"/>
      <w:bookmarkEnd w:id="111"/>
      <w:r>
        <w:rPr>
          <w:rFonts w:ascii="calibri;arial;sans-serif" w:hAnsi="calibri;arial;sans-serif"/>
          <w:b w:val="false"/>
          <w:i w:val="false"/>
          <w:caps w:val="false"/>
          <w:smallCaps w:val="false"/>
          <w:color w:val="000000"/>
          <w:sz w:val="16"/>
        </w:rPr>
        <w:t>​</w:t>
      </w:r>
      <w:bookmarkStart w:id="112" w:name="tATTT"/>
      <w:bookmarkEnd w:id="112"/>
      <w:r>
        <w:rPr>
          <w:rFonts w:ascii="calibri;arial;sans-serif" w:hAnsi="calibri;arial;sans-serif"/>
          <w:b w:val="false"/>
          <w:i w:val="false"/>
          <w:caps w:val="false"/>
          <w:smallCaps w:val="false"/>
          <w:color w:val="000000"/>
          <w:sz w:val="16"/>
        </w:rPr>
        <w:t>​</w:t>
      </w:r>
      <w:bookmarkStart w:id="113" w:name="tBWTC"/>
      <w:bookmarkEnd w:id="113"/>
      <w:r>
        <w:rPr>
          <w:rFonts w:ascii="calibri;arial;sans-serif" w:hAnsi="calibri;arial;sans-serif"/>
          <w:b w:val="false"/>
          <w:i w:val="false"/>
          <w:caps w:val="false"/>
          <w:smallCaps w:val="false"/>
          <w:color w:val="000000"/>
          <w:sz w:val="16"/>
        </w:rPr>
        <w:t>​</w:t>
      </w:r>
      <w:bookmarkStart w:id="114" w:name="tC4TP"/>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16.   PAYMENT OF DIRECTOR’S FEES IN SECURITIES.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Effective Date</w:t>
      </w:r>
      <w:r>
        <w:rPr>
          <w:rFonts w:ascii="Arial;Helvetica;sans-serif" w:hAnsi="Arial;Helvetica;sans-serif"/>
          <w:b w:val="false"/>
          <w:i w:val="false"/>
          <w:caps w:val="false"/>
          <w:smallCaps w:val="false"/>
          <w:color w:val="000000"/>
          <w:sz w:val="18"/>
        </w:rPr>
        <w:t>.   No provision of this Section 16 shall be effective unless and until the Board has determined to implement such provision.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Elections to Receive NSOs, SARs, Restricted Shares, or Restricted Stock Units</w:t>
      </w:r>
      <w:r>
        <w:rPr>
          <w:rFonts w:ascii="Arial;Helvetica;sans-serif" w:hAnsi="Arial;Helvetica;sans-serif"/>
          <w:b w:val="false"/>
          <w:i w:val="false"/>
          <w:caps w:val="false"/>
          <w:smallCaps w:val="false"/>
          <w:color w:val="000000"/>
          <w:sz w:val="18"/>
        </w:rPr>
        <w:t>.   An Outside Director may elect to receive his 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Number and Terms of NSOs, SARs, Restricted Shares or Restricted Stock Units</w:t>
      </w:r>
      <w:r>
        <w:rPr>
          <w:rFonts w:ascii="Arial;Helvetica;sans-serif" w:hAnsi="Arial;Helvetica;sans-serif"/>
          <w:b w:val="false"/>
          <w:i w:val="false"/>
          <w:caps w:val="false"/>
          <w:smallCaps w:val="false"/>
          <w:color w:val="000000"/>
          <w:sz w:val="18"/>
        </w:rPr>
        <w:t>.   The number of NSOs, SARs, Restricted 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17.   LEGAL AND REGULATORY REQUIREMENTS.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18.   TAXES.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Withholding Taxes</w:t>
      </w:r>
      <w:r>
        <w:rPr>
          <w:rFonts w:ascii="Arial;Helvetica;sans-serif" w:hAnsi="Arial;Helvetica;sans-serif"/>
          <w:b w:val="false"/>
          <w:i w:val="false"/>
          <w:caps w:val="false"/>
          <w:smallCaps w:val="false"/>
          <w:color w:val="000000"/>
          <w:sz w:val="18"/>
        </w:rPr>
        <w:t>.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Share Withholding</w:t>
      </w:r>
      <w:r>
        <w:rPr>
          <w:rFonts w:ascii="Arial;Helvetica;sans-serif" w:hAnsi="Arial;Helvetica;sans-serif"/>
          <w:b w:val="false"/>
          <w:i w:val="false"/>
          <w:caps w:val="false"/>
          <w:smallCaps w:val="false"/>
          <w:color w:val="000000"/>
          <w:sz w:val="18"/>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Section 409A</w:t>
      </w:r>
      <w:r>
        <w:rPr>
          <w:rFonts w:ascii="Arial;Helvetica;sans-serif" w:hAnsi="Arial;Helvetica;sans-serif"/>
          <w:b w:val="false"/>
          <w:i w:val="false"/>
          <w:caps w:val="false"/>
          <w:smallCaps w:val="false"/>
          <w:color w:val="000000"/>
          <w:sz w:val="18"/>
        </w:rPr>
        <w:t xml:space="preserve">.   The Plan as well as payments and benefits under the Plan are intended to be exempt from, or to the extent subject thereto, to comply with Section 409A, and, accordingly, to the maximum extent permitted, the Plan shall be interpreted in accordance therewith.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 Notwithstanding anything contained herein to the contrary, to the extent required in order to avoid accelerated taxation and/or tax penalties under Section 409A, a Participant shall not be considered to have terminated employment or service with the Company or a Parent or Subsidiary, for purposes of the Plan and no payment shall be due to the Participant under the Plan or any Award until the Participant would be considered to have incurred a “separation from service” from the Company or a Parent or Subsidiary within the meaning of Section 409A. Each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E19"/>
      <w:bookmarkEnd w:id="115"/>
      <w:r>
        <w:rPr>
          <w:rFonts w:ascii="calibri;arial;sans-serif" w:hAnsi="calibri;arial;sans-serif"/>
          <w:b w:val="false"/>
          <w:i w:val="false"/>
          <w:caps w:val="false"/>
          <w:smallCaps w:val="false"/>
          <w:color w:val="000000"/>
          <w:sz w:val="16"/>
        </w:rPr>
        <w:t>​</w:t>
      </w:r>
      <w:bookmarkStart w:id="116" w:name="tS2BA"/>
      <w:bookmarkEnd w:id="116"/>
      <w:r>
        <w:rPr>
          <w:rFonts w:ascii="calibri;arial;sans-serif" w:hAnsi="calibri;arial;sans-serif"/>
          <w:b w:val="false"/>
          <w:i w:val="false"/>
          <w:caps w:val="false"/>
          <w:smallCaps w:val="false"/>
          <w:color w:val="000000"/>
          <w:sz w:val="16"/>
        </w:rPr>
        <w:t>​</w:t>
      </w:r>
      <w:bookmarkStart w:id="117" w:name="tS2CO"/>
      <w:bookmarkEnd w:id="117"/>
      <w:r>
        <w:rPr>
          <w:rFonts w:ascii="calibri;arial;sans-serif" w:hAnsi="calibri;arial;sans-serif"/>
          <w:b w:val="false"/>
          <w:i w:val="false"/>
          <w:caps w:val="false"/>
          <w:smallCaps w:val="false"/>
          <w:color w:val="000000"/>
          <w:sz w:val="16"/>
        </w:rPr>
        <w:t>​</w:t>
      </w:r>
      <w:bookmarkStart w:id="118" w:name="tS2ER"/>
      <w:bookmarkEnd w:id="118"/>
      <w:r>
        <w:rPr>
          <w:rFonts w:ascii="calibri;arial;sans-serif" w:hAnsi="calibri;arial;sans-serif"/>
          <w:b w:val="false"/>
          <w:i w:val="false"/>
          <w:caps w:val="false"/>
          <w:smallCaps w:val="false"/>
          <w:color w:val="000000"/>
          <w:sz w:val="16"/>
        </w:rPr>
        <w:t>​</w:t>
      </w:r>
      <w:bookmarkStart w:id="119" w:name="tS2AA"/>
      <w:bookmarkEnd w:id="119"/>
      <w:r>
        <w:rPr>
          <w:rFonts w:ascii="calibri;arial;sans-serif" w:hAnsi="calibri;arial;sans-serif"/>
          <w:b w:val="false"/>
          <w:i w:val="false"/>
          <w:caps w:val="false"/>
          <w:smallCaps w:val="false"/>
          <w:color w:val="000000"/>
          <w:sz w:val="16"/>
        </w:rPr>
        <w:t>​</w:t>
      </w:r>
      <w:bookmarkStart w:id="120" w:name="tAOTP"/>
      <w:bookmarkEnd w:id="120"/>
      <w:r>
        <w:rPr>
          <w:rFonts w:ascii="calibri;arial;sans-serif" w:hAnsi="calibri;arial;sans-serif"/>
          <w:b w:val="false"/>
          <w:i w:val="false"/>
          <w:caps w:val="false"/>
          <w:smallCaps w:val="false"/>
          <w:color w:val="000000"/>
          <w:sz w:val="16"/>
        </w:rPr>
        <w:t>​</w:t>
      </w:r>
      <w:bookmarkStart w:id="121" w:name="tBTAT"/>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amount to be paid or benefit to be provided under this Plan shall be construed as a separate identified payment for purposes of Section 409A. The Company makes no representation that any or all of the payments or benefits described in this Plan will be exempt from or comply with Section 409A and makes no undertaking to preclude Section 409A from applying to any such payment. The Participant shall be solely responsible for the payment of any taxes and penalties incurred under Section 409A.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19.   TRANSFERABILITY.</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20.   PERFORMANCE BASED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21.   FORFEITURE, CANCELLATION OR RECOUPMENT OF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or amended by the Company from time to time, including, without limitation, the Company’s Compensation Recoupment Policy. Notwithstanding the foregoing, Stock Purchase Rights shall be subject to the terms of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22.   NO EMPLOYMENT RIGHTS.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23.   DURATION AND AMENDMENTS.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t>
      </w:r>
      <w:r>
        <w:rPr>
          <w:rFonts w:ascii="Arial;Helvetica;sans-serif" w:hAnsi="Arial;Helvetica;sans-serif"/>
          <w:b w:val="false"/>
          <w:i/>
          <w:caps w:val="false"/>
          <w:smallCaps w:val="false"/>
          <w:color w:val="000000"/>
          <w:sz w:val="18"/>
        </w:rPr>
        <w:t>Term of the Plan</w:t>
      </w:r>
      <w:r>
        <w:rPr>
          <w:rFonts w:ascii="Arial;Helvetica;sans-serif" w:hAnsi="Arial;Helvetica;sans-serif"/>
          <w:b w:val="false"/>
          <w:i w:val="false"/>
          <w:caps w:val="false"/>
          <w:smallCaps w:val="false"/>
          <w:color w:val="000000"/>
          <w:sz w:val="18"/>
        </w:rPr>
        <w:t>.   The Plan, as set forth herein, shall come into existence on the date of its adoption by the Board; provided, however, that no Award may be granted hereunder prior to the Effective Date. The Board may suspend or terminate the Plan at any time. No ISOs may be granted after the tenth (10</w:t>
      </w:r>
      <w:r>
        <w:rPr>
          <w:rFonts w:ascii="Arial;Helvetica;sans-serif" w:hAnsi="Arial;Helvetica;sans-serif"/>
          <w:b w:val="false"/>
          <w:i w:val="false"/>
          <w:caps w:val="false"/>
          <w:smallCaps w:val="false"/>
          <w:color w:val="000000"/>
          <w:sz w:val="14"/>
        </w:rPr>
        <w:t>th</w:t>
      </w:r>
      <w:r>
        <w:rPr>
          <w:rFonts w:ascii="Arial;Helvetica;sans-serif" w:hAnsi="Arial;Helvetica;sans-serif"/>
          <w:b w:val="false"/>
          <w:i w:val="false"/>
          <w:caps w:val="false"/>
          <w:smallCaps w:val="false"/>
          <w:color w:val="000000"/>
          <w:sz w:val="18"/>
        </w:rPr>
        <w:t>) anniversary of the earlier of  (i) the date the Plan is adopted by the Board, or (ii) the date the Plan is approved by the stockholders of the Company. The grant of Stock Purchase Rights shall be subject to such further restrictions as set forth in the ESPP Addendum.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w:t>
      </w:r>
      <w:r>
        <w:rPr>
          <w:rFonts w:ascii="Arial;Helvetica;sans-serif" w:hAnsi="Arial;Helvetica;sans-serif"/>
          <w:b w:val="false"/>
          <w:i/>
          <w:caps w:val="false"/>
          <w:smallCaps w:val="false"/>
          <w:color w:val="000000"/>
          <w:sz w:val="18"/>
        </w:rPr>
        <w:t>Right to Amend the Plan</w:t>
      </w:r>
      <w:r>
        <w:rPr>
          <w:rFonts w:ascii="Arial;Helvetica;sans-serif" w:hAnsi="Arial;Helvetica;sans-serif"/>
          <w:b w:val="false"/>
          <w:i w:val="false"/>
          <w:caps w:val="false"/>
          <w:smallCaps w:val="false"/>
          <w:color w:val="000000"/>
          <w:sz w:val="18"/>
        </w:rPr>
        <w:t xml:space="preserve">.   Subject to Section 5(e), the Board may amend the Plan or the ESPP Addendum at any time and from time to time. Rights and obligations under any Award granted before amendment of the Plan shall not be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COTN"/>
      <w:bookmarkEnd w:id="122"/>
      <w:r>
        <w:rPr>
          <w:rFonts w:ascii="calibri;arial;sans-serif" w:hAnsi="calibri;arial;sans-serif"/>
          <w:b w:val="false"/>
          <w:i w:val="false"/>
          <w:caps w:val="false"/>
          <w:smallCaps w:val="false"/>
          <w:color w:val="000000"/>
          <w:sz w:val="16"/>
        </w:rPr>
        <w:t>​</w:t>
      </w:r>
      <w:bookmarkStart w:id="123" w:name="tS2TN"/>
      <w:bookmarkEnd w:id="123"/>
      <w:r>
        <w:rPr>
          <w:rFonts w:ascii="calibri;arial;sans-serif" w:hAnsi="calibri;arial;sans-serif"/>
          <w:b w:val="false"/>
          <w:i w:val="false"/>
          <w:caps w:val="false"/>
          <w:smallCaps w:val="false"/>
          <w:color w:val="000000"/>
          <w:sz w:val="16"/>
        </w:rPr>
        <w:t>​</w:t>
      </w:r>
      <w:bookmarkStart w:id="124" w:name="tS2L"/>
      <w:bookmarkEnd w:id="124"/>
      <w:r>
        <w:rPr>
          <w:rFonts w:ascii="calibri;arial;sans-serif" w:hAnsi="calibri;arial;sans-serif"/>
          <w:b w:val="false"/>
          <w:i w:val="false"/>
          <w:caps w:val="false"/>
          <w:smallCaps w:val="false"/>
          <w:color w:val="000000"/>
          <w:sz w:val="16"/>
        </w:rPr>
        <w:t>​</w:t>
      </w:r>
      <w:bookmarkStart w:id="125" w:name="tS2AA1"/>
      <w:bookmarkEnd w:id="125"/>
      <w:r>
        <w:rPr>
          <w:rFonts w:ascii="calibri;arial;sans-serif" w:hAnsi="calibri;arial;sans-serif"/>
          <w:b w:val="false"/>
          <w:i w:val="false"/>
          <w:caps w:val="false"/>
          <w:smallCaps w:val="false"/>
          <w:color w:val="000000"/>
          <w:sz w:val="16"/>
        </w:rPr>
        <w:t>​</w:t>
      </w:r>
      <w:bookmarkStart w:id="126" w:name="tSE27"/>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materially impaired by such amendment, except with consent of the Participant. An amendment of the Plan (and the ESPP Addendum) shall be subject to the approval of the Company’s stockholders only to the extent required by applicable laws, regulations or rules.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324"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w:t>
      </w:r>
      <w:r>
        <w:rPr>
          <w:rFonts w:ascii="Arial;Helvetica;sans-serif" w:hAnsi="Arial;Helvetica;sans-serif"/>
          <w:b w:val="false"/>
          <w:i/>
          <w:caps w:val="false"/>
          <w:smallCaps w:val="false"/>
          <w:color w:val="000000"/>
          <w:sz w:val="18"/>
        </w:rPr>
        <w:t>Effect of Termination</w:t>
      </w:r>
      <w:r>
        <w:rPr>
          <w:rFonts w:ascii="Arial;Helvetica;sans-serif" w:hAnsi="Arial;Helvetica;sans-serif"/>
          <w:b w:val="false"/>
          <w:i w:val="false"/>
          <w:caps w:val="false"/>
          <w:smallCaps w:val="false"/>
          <w:color w:val="000000"/>
          <w:sz w:val="18"/>
        </w:rPr>
        <w:t>.   No Awards shall be granted under the Plan after the termination thereof. The termination of the Plan shall not affect Awards previously granted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44"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24.   AWARDS TO NON-U.S. PARTICIPANTS.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44"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25.   GOVERNING LAW.</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Plan, the ESPP Addendum and each Award Agreement shall be governed by the laws of the state of Delaware, without application of the conflicts of law principles thereof.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44"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26.   SUCCESSORS AND ASSIGNS.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terms of the Plan shall be binding upon and inure to the benefit of the Company and any successor entity, including any successor entity contemplated by Section 13(c).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44"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27.   EXECUTION.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record the adoption of the Plan by the Board, the Company has caused its authorized officer to execute the same.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324" w:after="283"/>
        <w:ind w:left="64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LUCID GROUP, INC.</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264" w:after="0"/>
        <w:ind w:left="677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 Brian K. Tomkiel</w:t>
      </w:r>
      <w:r>
        <mc:AlternateContent>
          <mc:Choice Requires="wps">
            <w:drawing>
              <wp:anchor behindDoc="0" distT="167640" distB="0" distL="3657600" distR="0" simplePos="0" locked="0" layoutInCell="1" allowOverlap="1" relativeHeight="417">
                <wp:simplePos x="0" y="0"/>
                <wp:positionH relativeFrom="column">
                  <wp:align>left</wp:align>
                </wp:positionH>
                <wp:positionV relativeFrom="line">
                  <wp:align>top</wp:align>
                </wp:positionV>
                <wp:extent cx="186055" cy="525780"/>
                <wp:effectExtent l="0" t="0" r="0" b="0"/>
                <wp:wrapSquare wrapText="right"/>
                <wp:docPr id="422" name="Frame353"/>
                <a:graphic xmlns:a="http://schemas.openxmlformats.org/drawingml/2006/main">
                  <a:graphicData uri="http://schemas.microsoft.com/office/word/2010/wordprocessingShape">
                    <wps:wsp>
                      <wps:cNvSpPr txBox="1"/>
                      <wps:spPr>
                        <a:xfrm>
                          <a:off x="0" y="0"/>
                          <a:ext cx="186055" cy="52578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14.65pt;height:41.4pt;mso-wrap-distance-left:288pt;mso-wrap-distance-right:0pt;mso-wrap-distance-top:13.2pt;mso-wrap-distance-bottom:0pt;margin-top:13.2pt;mso-position-vertical:top;mso-position-vertical-relative:text;margin-left:185.25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283"/>
        <w:ind w:left="67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70" w:after="283"/>
        <w:ind w:left="677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Name: Brian K. Tomkiel</w:t>
        <w:br/>
        <w:t>Title: General Counsel</w:t>
      </w:r>
      <w:r>
        <w:rPr>
          <w:rFonts w:ascii="Arial;Helvetica;sans-serif" w:hAnsi="Arial;Helvetica;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612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 xml:space="preserve">ADDENDUM TO </w:t>
        <w:br/>
        <w:t xml:space="preserve">LUCID GROUP, INC. AMENDED AND RESTATED 2021 STOCK INCENTIVE PLAN </w:t>
        <w:br/>
        <w:t xml:space="preserve">AMENDED AND RESTATED 2021 EMPLOYEE STOCK PURCHASE PLAN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OC6"/>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T</w:t>
      </w:r>
      <w:r>
        <w:rPr>
          <w:rFonts w:ascii="Times New Roman;Times;serif" w:hAnsi="Times New Roman;Times;serif"/>
          <w:b w:val="false"/>
          <w:i w:val="false"/>
          <w:caps w:val="false"/>
          <w:smallCaps w:val="false"/>
          <w:color w:val="000000"/>
          <w:sz w:val="40"/>
        </w:rPr>
        <w:t>ABLE OF</w:t>
      </w:r>
      <w:r>
        <w:rPr>
          <w:rFonts w:ascii="Times New Roman;Times;serif" w:hAnsi="Times New Roman;Times;serif"/>
          <w:b w:val="false"/>
          <w:i w:val="false"/>
          <w:caps w:val="false"/>
          <w:smallCaps w:val="false"/>
          <w:color w:val="000000"/>
          <w:sz w:val="40"/>
        </w:rPr>
        <w:t xml:space="preserve"> C</w:t>
      </w:r>
      <w:r>
        <w:rPr>
          <w:rFonts w:ascii="Times New Roman;Times;serif" w:hAnsi="Times New Roman;Times;serif"/>
          <w:b w:val="false"/>
          <w:i w:val="false"/>
          <w:caps w:val="false"/>
          <w:smallCaps w:val="false"/>
          <w:color w:val="000000"/>
          <w:sz w:val="40"/>
        </w:rPr>
        <w:t>ONTENTS</w:t>
      </w:r>
      <w:r>
        <w:rPr>
          <w:rFonts w:ascii="Times New Roman;Times;serif" w:hAnsi="Times New Roman;Times;serif"/>
          <w:b w:val="false"/>
          <w:i w:val="false"/>
          <w:caps w:val="false"/>
          <w:smallCaps w:val="false"/>
          <w:color w:val="000000"/>
          <w:spacing w:val="8"/>
          <w:sz w:val="40"/>
        </w:rPr>
        <w:t xml:space="preserve"> </w:t>
      </w:r>
    </w:p>
    <w:tbl>
      <w:tblPr>
        <w:tblW w:w="8366" w:type="dxa"/>
        <w:jc w:val="left"/>
        <w:tblInd w:w="720" w:type="dxa"/>
        <w:tblLayout w:type="fixed"/>
        <w:tblCellMar>
          <w:top w:w="0" w:type="dxa"/>
          <w:left w:w="0" w:type="dxa"/>
          <w:bottom w:w="28" w:type="dxa"/>
          <w:right w:w="0" w:type="dxa"/>
        </w:tblCellMar>
      </w:tblPr>
      <w:tblGrid>
        <w:gridCol w:w="7006"/>
        <w:gridCol w:w="109"/>
        <w:gridCol w:w="109"/>
        <w:gridCol w:w="109"/>
        <w:gridCol w:w="109"/>
        <w:gridCol w:w="661"/>
        <w:gridCol w:w="109"/>
        <w:gridCol w:w="154"/>
      </w:tblGrid>
      <w:tr>
        <w:trPr/>
        <w:tc>
          <w:tcPr>
            <w:tcW w:w="700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88"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before="0" w:after="0"/>
              <w:jc w:val="left"/>
              <w:rPr/>
            </w:pPr>
            <w:hyperlink w:anchor="sS1OT">
              <w:r>
                <w:rPr>
                  <w:rStyle w:val="InternetLink"/>
                </w:rPr>
                <w:t>SECTION 1    PURPOSE OF THE PLAN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1OT">
              <w:r>
                <w:rPr>
                  <w:rStyle w:val="InternetLink"/>
                </w:rPr>
                <w:t>A-21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E2D">
              <w:r>
                <w:rPr>
                  <w:rStyle w:val="InternetLink"/>
                </w:rPr>
                <w:t>SECTION 2    DEFINITIONS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E2D">
              <w:r>
                <w:rPr>
                  <w:rStyle w:val="InternetLink"/>
                </w:rPr>
                <w:t>A-21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before="0" w:after="0"/>
              <w:jc w:val="left"/>
              <w:rPr/>
            </w:pPr>
            <w:hyperlink w:anchor="sS3OT">
              <w:r>
                <w:rPr>
                  <w:rStyle w:val="InternetLink"/>
                </w:rPr>
                <w:t>SECTION 3    ADMINISTRATION OF THE PLAN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3OT">
              <w:r>
                <w:rPr>
                  <w:rStyle w:val="InternetLink"/>
                </w:rPr>
                <w:t>A-22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APAR">
              <w:r>
                <w:rPr>
                  <w:rStyle w:val="InternetLink"/>
                </w:rPr>
                <w:t xml:space="preserve">Administrative Powers and Responsibilities </w:t>
              </w:r>
            </w:hyperlink>
            <w:r>
              <mc:AlternateContent>
                <mc:Choice Requires="wps">
                  <w:drawing>
                    <wp:anchor behindDoc="0" distT="0" distB="0" distL="114300" distR="0" simplePos="0" locked="0" layoutInCell="1" allowOverlap="1" relativeHeight="418">
                      <wp:simplePos x="0" y="0"/>
                      <wp:positionH relativeFrom="column">
                        <wp:align>left</wp:align>
                      </wp:positionH>
                      <wp:positionV relativeFrom="line">
                        <wp:posOffset>635</wp:posOffset>
                      </wp:positionV>
                      <wp:extent cx="317500" cy="350520"/>
                      <wp:effectExtent l="0" t="0" r="0" b="0"/>
                      <wp:wrapSquare wrapText="right"/>
                      <wp:docPr id="423" name="Frame35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PAR">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PAR">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P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APAR">
              <w:r>
                <w:rPr>
                  <w:rStyle w:val="InternetLink"/>
                </w:rPr>
                <w:t xml:space="preserve">A-22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BATC">
              <w:r>
                <w:rPr>
                  <w:rStyle w:val="InternetLink"/>
                </w:rPr>
                <w:t xml:space="preserve">International Administration </w:t>
              </w:r>
            </w:hyperlink>
            <w:r>
              <mc:AlternateContent>
                <mc:Choice Requires="wps">
                  <w:drawing>
                    <wp:anchor behindDoc="0" distT="0" distB="0" distL="114300" distR="0" simplePos="0" locked="0" layoutInCell="1" allowOverlap="1" relativeHeight="419">
                      <wp:simplePos x="0" y="0"/>
                      <wp:positionH relativeFrom="column">
                        <wp:align>left</wp:align>
                      </wp:positionH>
                      <wp:positionV relativeFrom="line">
                        <wp:posOffset>635</wp:posOffset>
                      </wp:positionV>
                      <wp:extent cx="317500" cy="350520"/>
                      <wp:effectExtent l="0" t="0" r="0" b="0"/>
                      <wp:wrapSquare wrapText="right"/>
                      <wp:docPr id="424" name="Frame35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ATC">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ATC">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A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BATC">
              <w:r>
                <w:rPr>
                  <w:rStyle w:val="InternetLink"/>
                </w:rPr>
                <w:t xml:space="preserve">A-23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4AP">
              <w:r>
                <w:rPr>
                  <w:rStyle w:val="InternetLink"/>
                </w:rPr>
                <w:t>SECTION 4    ENROLLMENT AND PARTICIPATION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4AP">
              <w:r>
                <w:rPr>
                  <w:rStyle w:val="InternetLink"/>
                </w:rPr>
                <w:t>A-23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APWT">
              <w:r>
                <w:rPr>
                  <w:rStyle w:val="InternetLink"/>
                </w:rPr>
                <w:t xml:space="preserve">Offering Periods </w:t>
              </w:r>
            </w:hyperlink>
            <w:r>
              <mc:AlternateContent>
                <mc:Choice Requires="wps">
                  <w:drawing>
                    <wp:anchor behindDoc="0" distT="0" distB="0" distL="114300" distR="0" simplePos="0" locked="0" layoutInCell="1" allowOverlap="1" relativeHeight="420">
                      <wp:simplePos x="0" y="0"/>
                      <wp:positionH relativeFrom="column">
                        <wp:align>left</wp:align>
                      </wp:positionH>
                      <wp:positionV relativeFrom="line">
                        <wp:posOffset>635</wp:posOffset>
                      </wp:positionV>
                      <wp:extent cx="317500" cy="350520"/>
                      <wp:effectExtent l="0" t="0" r="0" b="0"/>
                      <wp:wrapSquare wrapText="right"/>
                      <wp:docPr id="425" name="Frame35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PW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PW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PW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APWT">
              <w:r>
                <w:rPr>
                  <w:rStyle w:val="InternetLink"/>
                </w:rPr>
                <w:t xml:space="preserve">A-23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BAIW">
              <w:r>
                <w:rPr>
                  <w:rStyle w:val="InternetLink"/>
                </w:rPr>
                <w:t xml:space="preserve">Enrollment </w:t>
              </w:r>
            </w:hyperlink>
            <w:r>
              <mc:AlternateContent>
                <mc:Choice Requires="wps">
                  <w:drawing>
                    <wp:anchor behindDoc="0" distT="0" distB="0" distL="114300" distR="0" simplePos="0" locked="0" layoutInCell="1" allowOverlap="1" relativeHeight="421">
                      <wp:simplePos x="0" y="0"/>
                      <wp:positionH relativeFrom="column">
                        <wp:align>left</wp:align>
                      </wp:positionH>
                      <wp:positionV relativeFrom="line">
                        <wp:posOffset>635</wp:posOffset>
                      </wp:positionV>
                      <wp:extent cx="317500" cy="350520"/>
                      <wp:effectExtent l="0" t="0" r="0" b="0"/>
                      <wp:wrapSquare wrapText="right"/>
                      <wp:docPr id="426" name="Frame35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AIW">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AIW">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AI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BAIW">
              <w:r>
                <w:rPr>
                  <w:rStyle w:val="InternetLink"/>
                </w:rPr>
                <w:t xml:space="preserve">A-23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COPO">
              <w:r>
                <w:rPr>
                  <w:rStyle w:val="InternetLink"/>
                </w:rPr>
                <w:t xml:space="preserve">Duration of Participation </w:t>
              </w:r>
            </w:hyperlink>
            <w:r>
              <mc:AlternateContent>
                <mc:Choice Requires="wps">
                  <w:drawing>
                    <wp:anchor behindDoc="0" distT="0" distB="0" distL="114300" distR="0" simplePos="0" locked="0" layoutInCell="1" allowOverlap="1" relativeHeight="422">
                      <wp:simplePos x="0" y="0"/>
                      <wp:positionH relativeFrom="column">
                        <wp:align>left</wp:align>
                      </wp:positionH>
                      <wp:positionV relativeFrom="line">
                        <wp:posOffset>635</wp:posOffset>
                      </wp:positionV>
                      <wp:extent cx="317500" cy="350520"/>
                      <wp:effectExtent l="0" t="0" r="0" b="0"/>
                      <wp:wrapSquare wrapText="right"/>
                      <wp:docPr id="427" name="Frame35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COP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COP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sCOP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COPO">
              <w:r>
                <w:rPr>
                  <w:rStyle w:val="InternetLink"/>
                </w:rPr>
                <w:t xml:space="preserve">A-23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5C">
              <w:r>
                <w:rPr>
                  <w:rStyle w:val="InternetLink"/>
                </w:rPr>
                <w:t>SECTION 5    EMPLOYEE CONTRIBUTIONS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5C">
              <w:r>
                <w:rPr>
                  <w:rStyle w:val="InternetLink"/>
                </w:rPr>
                <w:t>A-23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AOPD">
              <w:r>
                <w:rPr>
                  <w:rStyle w:val="InternetLink"/>
                </w:rPr>
                <w:t xml:space="preserve">Frequency of Payroll Deductions </w:t>
              </w:r>
            </w:hyperlink>
            <w:r>
              <mc:AlternateContent>
                <mc:Choice Requires="wps">
                  <w:drawing>
                    <wp:anchor behindDoc="0" distT="0" distB="0" distL="114300" distR="0" simplePos="0" locked="0" layoutInCell="1" allowOverlap="1" relativeHeight="423">
                      <wp:simplePos x="0" y="0"/>
                      <wp:positionH relativeFrom="column">
                        <wp:align>left</wp:align>
                      </wp:positionH>
                      <wp:positionV relativeFrom="line">
                        <wp:posOffset>635</wp:posOffset>
                      </wp:positionV>
                      <wp:extent cx="317500" cy="350520"/>
                      <wp:effectExtent l="0" t="0" r="0" b="0"/>
                      <wp:wrapSquare wrapText="right"/>
                      <wp:docPr id="428" name="Frame35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OPD">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OPD">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OP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AOPD">
              <w:r>
                <w:rPr>
                  <w:rStyle w:val="InternetLink"/>
                </w:rPr>
                <w:t xml:space="preserve">A-23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BOPD">
              <w:r>
                <w:rPr>
                  <w:rStyle w:val="InternetLink"/>
                </w:rPr>
                <w:t xml:space="preserve">Amount of Payroll Deductions </w:t>
              </w:r>
            </w:hyperlink>
            <w:r>
              <mc:AlternateContent>
                <mc:Choice Requires="wps">
                  <w:drawing>
                    <wp:anchor behindDoc="0" distT="0" distB="0" distL="114300" distR="0" simplePos="0" locked="0" layoutInCell="1" allowOverlap="1" relativeHeight="424">
                      <wp:simplePos x="0" y="0"/>
                      <wp:positionH relativeFrom="column">
                        <wp:align>left</wp:align>
                      </wp:positionH>
                      <wp:positionV relativeFrom="line">
                        <wp:posOffset>635</wp:posOffset>
                      </wp:positionV>
                      <wp:extent cx="317500" cy="350520"/>
                      <wp:effectExtent l="0" t="0" r="0" b="0"/>
                      <wp:wrapSquare wrapText="right"/>
                      <wp:docPr id="429" name="Frame36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OPD">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OPD">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OP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BOPD">
              <w:r>
                <w:rPr>
                  <w:rStyle w:val="InternetLink"/>
                </w:rPr>
                <w:t xml:space="preserve">A-23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CWRU">
              <w:r>
                <w:rPr>
                  <w:rStyle w:val="InternetLink"/>
                </w:rPr>
                <w:t xml:space="preserve">Changing Withholding Rate </w:t>
              </w:r>
            </w:hyperlink>
            <w:r>
              <mc:AlternateContent>
                <mc:Choice Requires="wps">
                  <w:drawing>
                    <wp:anchor behindDoc="0" distT="0" distB="0" distL="114300" distR="0" simplePos="0" locked="0" layoutInCell="1" allowOverlap="1" relativeHeight="425">
                      <wp:simplePos x="0" y="0"/>
                      <wp:positionH relativeFrom="column">
                        <wp:align>left</wp:align>
                      </wp:positionH>
                      <wp:positionV relativeFrom="line">
                        <wp:posOffset>635</wp:posOffset>
                      </wp:positionV>
                      <wp:extent cx="317500" cy="350520"/>
                      <wp:effectExtent l="0" t="0" r="0" b="0"/>
                      <wp:wrapSquare wrapText="right"/>
                      <wp:docPr id="430" name="Frame36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CWRU">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CWRU">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sCWR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CWRU">
              <w:r>
                <w:rPr>
                  <w:rStyle w:val="InternetLink"/>
                </w:rPr>
                <w:t xml:space="preserve">A-24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DPDI">
              <w:r>
                <w:rPr>
                  <w:rStyle w:val="InternetLink"/>
                </w:rPr>
                <w:t xml:space="preserve">Discontinuing Payroll Deductions </w:t>
              </w:r>
            </w:hyperlink>
            <w:r>
              <mc:AlternateContent>
                <mc:Choice Requires="wps">
                  <w:drawing>
                    <wp:anchor behindDoc="0" distT="0" distB="0" distL="114300" distR="0" simplePos="0" locked="0" layoutInCell="1" allowOverlap="1" relativeHeight="426">
                      <wp:simplePos x="0" y="0"/>
                      <wp:positionH relativeFrom="column">
                        <wp:align>left</wp:align>
                      </wp:positionH>
                      <wp:positionV relativeFrom="line">
                        <wp:posOffset>635</wp:posOffset>
                      </wp:positionV>
                      <wp:extent cx="317500" cy="350520"/>
                      <wp:effectExtent l="0" t="0" r="0" b="0"/>
                      <wp:wrapSquare wrapText="right"/>
                      <wp:docPr id="431" name="Frame36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DPDI">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DPDI">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sDPD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DPDI">
              <w:r>
                <w:rPr>
                  <w:rStyle w:val="InternetLink"/>
                </w:rPr>
                <w:t xml:space="preserve">A-24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before="0" w:after="0"/>
              <w:jc w:val="left"/>
              <w:rPr/>
            </w:pPr>
            <w:hyperlink w:anchor="sS6FT">
              <w:r>
                <w:rPr>
                  <w:rStyle w:val="InternetLink"/>
                </w:rPr>
                <w:t>SECTION 6    WITHDRAWAL FROM THE PLAN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6FT">
              <w:r>
                <w:rPr>
                  <w:rStyle w:val="InternetLink"/>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AAPM">
              <w:r>
                <w:rPr>
                  <w:rStyle w:val="InternetLink"/>
                </w:rPr>
                <w:t xml:space="preserve">Withdrawal </w:t>
              </w:r>
            </w:hyperlink>
            <w:r>
              <mc:AlternateContent>
                <mc:Choice Requires="wps">
                  <w:drawing>
                    <wp:anchor behindDoc="0" distT="0" distB="0" distL="114300" distR="0" simplePos="0" locked="0" layoutInCell="1" allowOverlap="1" relativeHeight="427">
                      <wp:simplePos x="0" y="0"/>
                      <wp:positionH relativeFrom="column">
                        <wp:align>left</wp:align>
                      </wp:positionH>
                      <wp:positionV relativeFrom="line">
                        <wp:posOffset>635</wp:posOffset>
                      </wp:positionV>
                      <wp:extent cx="317500" cy="350520"/>
                      <wp:effectExtent l="0" t="0" r="0" b="0"/>
                      <wp:wrapSquare wrapText="right"/>
                      <wp:docPr id="432" name="Frame36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APM">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APM">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AP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AAPM">
              <w:r>
                <w:rPr>
                  <w:rStyle w:val="InternetLink"/>
                </w:rPr>
                <w:t xml:space="preserve">A-24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BAWA">
              <w:r>
                <w:rPr>
                  <w:rStyle w:val="InternetLink"/>
                </w:rPr>
                <w:t xml:space="preserve">Re-enrollment After Withdrawal </w:t>
              </w:r>
            </w:hyperlink>
            <w:r>
              <mc:AlternateContent>
                <mc:Choice Requires="wps">
                  <w:drawing>
                    <wp:anchor behindDoc="0" distT="0" distB="0" distL="114300" distR="0" simplePos="0" locked="0" layoutInCell="1" allowOverlap="1" relativeHeight="428">
                      <wp:simplePos x="0" y="0"/>
                      <wp:positionH relativeFrom="column">
                        <wp:align>left</wp:align>
                      </wp:positionH>
                      <wp:positionV relativeFrom="line">
                        <wp:posOffset>635</wp:posOffset>
                      </wp:positionV>
                      <wp:extent cx="317500" cy="350520"/>
                      <wp:effectExtent l="0" t="0" r="0" b="0"/>
                      <wp:wrapSquare wrapText="right"/>
                      <wp:docPr id="433" name="Frame36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AWA">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AWA">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AW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BAWA">
              <w:r>
                <w:rPr>
                  <w:rStyle w:val="InternetLink"/>
                </w:rPr>
                <w:t xml:space="preserve">A-24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7IE">
              <w:r>
                <w:rPr>
                  <w:rStyle w:val="InternetLink"/>
                </w:rPr>
                <w:t>SECTION 7    CHANGE IN EMPLOYMENT STATUS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7IE">
              <w:r>
                <w:rPr>
                  <w:rStyle w:val="InternetLink"/>
                </w:rPr>
                <w:t>A-24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AOET">
              <w:r>
                <w:rPr>
                  <w:rStyle w:val="InternetLink"/>
                </w:rPr>
                <w:t xml:space="preserve">Termination of Employment </w:t>
              </w:r>
            </w:hyperlink>
            <w:r>
              <mc:AlternateContent>
                <mc:Choice Requires="wps">
                  <w:drawing>
                    <wp:anchor behindDoc="0" distT="0" distB="0" distL="114300" distR="0" simplePos="0" locked="0" layoutInCell="1" allowOverlap="1" relativeHeight="429">
                      <wp:simplePos x="0" y="0"/>
                      <wp:positionH relativeFrom="column">
                        <wp:align>left</wp:align>
                      </wp:positionH>
                      <wp:positionV relativeFrom="line">
                        <wp:posOffset>635</wp:posOffset>
                      </wp:positionV>
                      <wp:extent cx="317500" cy="350520"/>
                      <wp:effectExtent l="0" t="0" r="0" b="0"/>
                      <wp:wrapSquare wrapText="right"/>
                      <wp:docPr id="434" name="Frame36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OE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OE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OE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AOET">
              <w:r>
                <w:rPr>
                  <w:rStyle w:val="InternetLink"/>
                </w:rPr>
                <w:t xml:space="preserve">A-24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BOAF">
              <w:r>
                <w:rPr>
                  <w:rStyle w:val="InternetLink"/>
                </w:rPr>
                <w:t xml:space="preserve">Leave of Absence </w:t>
              </w:r>
            </w:hyperlink>
            <w:r>
              <mc:AlternateContent>
                <mc:Choice Requires="wps">
                  <w:drawing>
                    <wp:anchor behindDoc="0" distT="0" distB="0" distL="114300" distR="0" simplePos="0" locked="0" layoutInCell="1" allowOverlap="1" relativeHeight="430">
                      <wp:simplePos x="0" y="0"/>
                      <wp:positionH relativeFrom="column">
                        <wp:align>left</wp:align>
                      </wp:positionH>
                      <wp:positionV relativeFrom="line">
                        <wp:posOffset>635</wp:posOffset>
                      </wp:positionV>
                      <wp:extent cx="317500" cy="350520"/>
                      <wp:effectExtent l="0" t="0" r="0" b="0"/>
                      <wp:wrapSquare wrapText="right"/>
                      <wp:docPr id="435" name="Frame36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OAF">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OAF">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OA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BOAF">
              <w:r>
                <w:rPr>
                  <w:rStyle w:val="InternetLink"/>
                </w:rPr>
                <w:t xml:space="preserve">A-24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CITE">
              <w:r>
                <w:rPr>
                  <w:rStyle w:val="InternetLink"/>
                </w:rPr>
                <w:t xml:space="preserve">Death </w:t>
              </w:r>
            </w:hyperlink>
            <w:r>
              <mc:AlternateContent>
                <mc:Choice Requires="wps">
                  <w:drawing>
                    <wp:anchor behindDoc="0" distT="0" distB="0" distL="114300" distR="0" simplePos="0" locked="0" layoutInCell="1" allowOverlap="1" relativeHeight="431">
                      <wp:simplePos x="0" y="0"/>
                      <wp:positionH relativeFrom="column">
                        <wp:align>left</wp:align>
                      </wp:positionH>
                      <wp:positionV relativeFrom="line">
                        <wp:posOffset>635</wp:posOffset>
                      </wp:positionV>
                      <wp:extent cx="317500" cy="350520"/>
                      <wp:effectExtent l="0" t="0" r="0" b="0"/>
                      <wp:wrapSquare wrapText="right"/>
                      <wp:docPr id="436" name="Frame36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CITE">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CITE">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sCI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CITE">
              <w:r>
                <w:rPr>
                  <w:rStyle w:val="InternetLink"/>
                </w:rPr>
                <w:t xml:space="preserve">A-24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8AA">
              <w:r>
                <w:rPr>
                  <w:rStyle w:val="InternetLink"/>
                </w:rPr>
                <w:t>SECTION 8    PLAN ACCOUNTS AND PURCHASE OF SHARES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8AA">
              <w:r>
                <w:rPr>
                  <w:rStyle w:val="InternetLink"/>
                </w:rPr>
                <w:t>A-24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AATC">
              <w:r>
                <w:rPr>
                  <w:rStyle w:val="InternetLink"/>
                </w:rPr>
                <w:t xml:space="preserve">Plan Accounts </w:t>
              </w:r>
            </w:hyperlink>
            <w:r>
              <mc:AlternateContent>
                <mc:Choice Requires="wps">
                  <w:drawing>
                    <wp:anchor behindDoc="0" distT="0" distB="0" distL="114300" distR="0" simplePos="0" locked="0" layoutInCell="1" allowOverlap="1" relativeHeight="432">
                      <wp:simplePos x="0" y="0"/>
                      <wp:positionH relativeFrom="column">
                        <wp:align>left</wp:align>
                      </wp:positionH>
                      <wp:positionV relativeFrom="line">
                        <wp:posOffset>635</wp:posOffset>
                      </wp:positionV>
                      <wp:extent cx="317500" cy="350520"/>
                      <wp:effectExtent l="0" t="0" r="0" b="0"/>
                      <wp:wrapSquare wrapText="right"/>
                      <wp:docPr id="437" name="Frame36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ATC">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ATC">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A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AATC">
              <w:r>
                <w:rPr>
                  <w:rStyle w:val="InternetLink"/>
                </w:rPr>
                <w:t xml:space="preserve">A-24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BPTP">
              <w:r>
                <w:rPr>
                  <w:rStyle w:val="InternetLink"/>
                </w:rPr>
                <w:t xml:space="preserve">Purchase Price </w:t>
              </w:r>
            </w:hyperlink>
            <w:r>
              <mc:AlternateContent>
                <mc:Choice Requires="wps">
                  <w:drawing>
                    <wp:anchor behindDoc="0" distT="0" distB="0" distL="114300" distR="0" simplePos="0" locked="0" layoutInCell="1" allowOverlap="1" relativeHeight="433">
                      <wp:simplePos x="0" y="0"/>
                      <wp:positionH relativeFrom="column">
                        <wp:align>left</wp:align>
                      </wp:positionH>
                      <wp:positionV relativeFrom="line">
                        <wp:posOffset>635</wp:posOffset>
                      </wp:positionV>
                      <wp:extent cx="317500" cy="350520"/>
                      <wp:effectExtent l="0" t="0" r="0" b="0"/>
                      <wp:wrapSquare wrapText="right"/>
                      <wp:docPr id="438" name="Frame36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PTP">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PTP">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P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BPTP">
              <w:r>
                <w:rPr>
                  <w:rStyle w:val="InternetLink"/>
                </w:rPr>
                <w:t xml:space="preserve">A-24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COSP">
              <w:r>
                <w:rPr>
                  <w:rStyle w:val="InternetLink"/>
                </w:rPr>
                <w:t xml:space="preserve">Number of Shares Purchased </w:t>
              </w:r>
            </w:hyperlink>
            <w:r>
              <mc:AlternateContent>
                <mc:Choice Requires="wps">
                  <w:drawing>
                    <wp:anchor behindDoc="0" distT="0" distB="0" distL="114300" distR="0" simplePos="0" locked="0" layoutInCell="1" allowOverlap="1" relativeHeight="434">
                      <wp:simplePos x="0" y="0"/>
                      <wp:positionH relativeFrom="column">
                        <wp:align>left</wp:align>
                      </wp:positionH>
                      <wp:positionV relativeFrom="line">
                        <wp:posOffset>635</wp:posOffset>
                      </wp:positionV>
                      <wp:extent cx="317500" cy="350520"/>
                      <wp:effectExtent l="0" t="0" r="0" b="0"/>
                      <wp:wrapSquare wrapText="right"/>
                      <wp:docPr id="439" name="Frame37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COSP">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COSP">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sCO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COSP">
              <w:r>
                <w:rPr>
                  <w:rStyle w:val="InternetLink"/>
                </w:rPr>
                <w:t xml:space="preserve">A-25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DSII">
              <w:r>
                <w:rPr>
                  <w:rStyle w:val="InternetLink"/>
                </w:rPr>
                <w:t xml:space="preserve">Available Shares Insufficient </w:t>
              </w:r>
            </w:hyperlink>
            <w:r>
              <mc:AlternateContent>
                <mc:Choice Requires="wps">
                  <w:drawing>
                    <wp:anchor behindDoc="0" distT="0" distB="0" distL="114300" distR="0" simplePos="0" locked="0" layoutInCell="1" allowOverlap="1" relativeHeight="435">
                      <wp:simplePos x="0" y="0"/>
                      <wp:positionH relativeFrom="column">
                        <wp:align>left</wp:align>
                      </wp:positionH>
                      <wp:positionV relativeFrom="line">
                        <wp:posOffset>635</wp:posOffset>
                      </wp:positionV>
                      <wp:extent cx="317500" cy="350520"/>
                      <wp:effectExtent l="0" t="0" r="0" b="0"/>
                      <wp:wrapSquare wrapText="right"/>
                      <wp:docPr id="440" name="Frame37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DSII">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DSII">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sDSI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DSII">
              <w:r>
                <w:rPr>
                  <w:rStyle w:val="InternetLink"/>
                </w:rPr>
                <w:t xml:space="preserve">A-25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EOSC">
              <w:r>
                <w:rPr>
                  <w:rStyle w:val="InternetLink"/>
                </w:rPr>
                <w:t xml:space="preserve">Issuance of Stock </w:t>
              </w:r>
            </w:hyperlink>
            <w:r>
              <mc:AlternateContent>
                <mc:Choice Requires="wps">
                  <w:drawing>
                    <wp:anchor behindDoc="0" distT="0" distB="0" distL="114300" distR="0" simplePos="0" locked="0" layoutInCell="1" allowOverlap="1" relativeHeight="436">
                      <wp:simplePos x="0" y="0"/>
                      <wp:positionH relativeFrom="column">
                        <wp:align>left</wp:align>
                      </wp:positionH>
                      <wp:positionV relativeFrom="line">
                        <wp:posOffset>635</wp:posOffset>
                      </wp:positionV>
                      <wp:extent cx="317500" cy="350520"/>
                      <wp:effectExtent l="0" t="0" r="0" b="0"/>
                      <wp:wrapSquare wrapText="right"/>
                      <wp:docPr id="441" name="Frame37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EOSC">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EOSC">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sEOS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EOSC">
              <w:r>
                <w:rPr>
                  <w:rStyle w:val="InternetLink"/>
                </w:rPr>
                <w:t xml:space="preserve">A-25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FCBA">
              <w:r>
                <w:rPr>
                  <w:rStyle w:val="InternetLink"/>
                </w:rPr>
                <w:t xml:space="preserve">Unused Cash Balances </w:t>
              </w:r>
            </w:hyperlink>
            <w:r>
              <mc:AlternateContent>
                <mc:Choice Requires="wps">
                  <w:drawing>
                    <wp:anchor behindDoc="0" distT="0" distB="0" distL="114300" distR="0" simplePos="0" locked="0" layoutInCell="1" allowOverlap="1" relativeHeight="437">
                      <wp:simplePos x="0" y="0"/>
                      <wp:positionH relativeFrom="column">
                        <wp:align>left</wp:align>
                      </wp:positionH>
                      <wp:positionV relativeFrom="line">
                        <wp:posOffset>635</wp:posOffset>
                      </wp:positionV>
                      <wp:extent cx="317500" cy="350520"/>
                      <wp:effectExtent l="0" t="0" r="0" b="0"/>
                      <wp:wrapSquare wrapText="right"/>
                      <wp:docPr id="442" name="Frame37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FCBA">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FCBA">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sFCB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FCBA">
              <w:r>
                <w:rPr>
                  <w:rStyle w:val="InternetLink"/>
                </w:rPr>
                <w:t xml:space="preserve">A-25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GATP">
              <w:r>
                <w:rPr>
                  <w:rStyle w:val="InternetLink"/>
                </w:rPr>
                <w:t xml:space="preserve">Stockholder Approval </w:t>
              </w:r>
            </w:hyperlink>
            <w:r>
              <mc:AlternateContent>
                <mc:Choice Requires="wps">
                  <w:drawing>
                    <wp:anchor behindDoc="0" distT="0" distB="0" distL="114300" distR="0" simplePos="0" locked="0" layoutInCell="1" allowOverlap="1" relativeHeight="438">
                      <wp:simplePos x="0" y="0"/>
                      <wp:positionH relativeFrom="column">
                        <wp:align>left</wp:align>
                      </wp:positionH>
                      <wp:positionV relativeFrom="line">
                        <wp:posOffset>635</wp:posOffset>
                      </wp:positionV>
                      <wp:extent cx="317500" cy="350520"/>
                      <wp:effectExtent l="0" t="0" r="0" b="0"/>
                      <wp:wrapSquare wrapText="right"/>
                      <wp:docPr id="443" name="Frame37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GATP">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GATP">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sGA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GATP">
              <w:r>
                <w:rPr>
                  <w:rStyle w:val="InternetLink"/>
                </w:rPr>
                <w:t xml:space="preserve">A-25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9OS">
              <w:r>
                <w:rPr>
                  <w:rStyle w:val="InternetLink"/>
                </w:rPr>
                <w:t>SECTION 9    LIMITATIONS ON STOCK OWNERSHIP</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9OS">
              <w:r>
                <w:rPr>
                  <w:rStyle w:val="InternetLink"/>
                </w:rPr>
                <w:t>A-25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APLA">
              <w:r>
                <w:rPr>
                  <w:rStyle w:val="InternetLink"/>
                </w:rPr>
                <w:t xml:space="preserve">Five Percent Limit </w:t>
              </w:r>
            </w:hyperlink>
            <w:r>
              <mc:AlternateContent>
                <mc:Choice Requires="wps">
                  <w:drawing>
                    <wp:anchor behindDoc="0" distT="0" distB="0" distL="114300" distR="0" simplePos="0" locked="0" layoutInCell="1" allowOverlap="1" relativeHeight="439">
                      <wp:simplePos x="0" y="0"/>
                      <wp:positionH relativeFrom="column">
                        <wp:align>left</wp:align>
                      </wp:positionH>
                      <wp:positionV relativeFrom="line">
                        <wp:posOffset>635</wp:posOffset>
                      </wp:positionV>
                      <wp:extent cx="317500" cy="350520"/>
                      <wp:effectExtent l="0" t="0" r="0" b="0"/>
                      <wp:wrapSquare wrapText="right"/>
                      <wp:docPr id="444" name="Frame37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PLA">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PLA">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PL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APLA">
              <w:r>
                <w:rPr>
                  <w:rStyle w:val="InternetLink"/>
                </w:rPr>
                <w:t xml:space="preserve">A-25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lineRule="atLeast" w:line="180" w:before="0" w:after="0"/>
              <w:ind w:left="680" w:right="0" w:hanging="0"/>
              <w:jc w:val="left"/>
              <w:rPr/>
            </w:pPr>
            <w:hyperlink w:anchor="sBLAO">
              <w:r>
                <w:rPr>
                  <w:rStyle w:val="InternetLink"/>
                </w:rPr>
                <w:t xml:space="preserve">Dollar Limit </w:t>
              </w:r>
            </w:hyperlink>
            <w:r>
              <mc:AlternateContent>
                <mc:Choice Requires="wps">
                  <w:drawing>
                    <wp:anchor behindDoc="0" distT="0" distB="0" distL="114300" distR="0" simplePos="0" locked="0" layoutInCell="1" allowOverlap="1" relativeHeight="440">
                      <wp:simplePos x="0" y="0"/>
                      <wp:positionH relativeFrom="column">
                        <wp:align>left</wp:align>
                      </wp:positionH>
                      <wp:positionV relativeFrom="line">
                        <wp:posOffset>635</wp:posOffset>
                      </wp:positionV>
                      <wp:extent cx="317500" cy="350520"/>
                      <wp:effectExtent l="0" t="0" r="0" b="0"/>
                      <wp:wrapSquare wrapText="right"/>
                      <wp:docPr id="445" name="Frame37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LAO">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LAO">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L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BLAO">
              <w:r>
                <w:rPr>
                  <w:rStyle w:val="InternetLink"/>
                </w:rPr>
                <w:t xml:space="preserve">A-25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before="0" w:after="0"/>
              <w:jc w:val="left"/>
              <w:rPr/>
            </w:pPr>
            <w:hyperlink w:anchor="sS1NT">
              <w:r>
                <w:rPr>
                  <w:rStyle w:val="InternetLink"/>
                </w:rPr>
                <w:t>SECTION 10    RIGHTS NOT TRANSFERABLE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1NT">
              <w:r>
                <w:rPr>
                  <w:rStyle w:val="InternetLink"/>
                </w:rPr>
                <w:t>A-26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06" w:type="dxa"/>
            <w:tcBorders/>
            <w:tcMar>
              <w:bottom w:w="0" w:type="dxa"/>
            </w:tcMar>
            <w:vAlign w:val="center"/>
          </w:tcPr>
          <w:p>
            <w:pPr>
              <w:pStyle w:val="TableContents"/>
              <w:bidi w:val="0"/>
              <w:spacing w:before="0" w:after="0"/>
              <w:jc w:val="left"/>
              <w:rPr/>
            </w:pPr>
            <w:hyperlink w:anchor="sS1RA">
              <w:r>
                <w:rPr>
                  <w:rStyle w:val="InternetLink"/>
                </w:rPr>
                <w:t>SECTION 11    NO RIGHTS AS AN EMPLOYEE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1RA">
              <w:r>
                <w:rPr>
                  <w:rStyle w:val="InternetLink"/>
                </w:rPr>
                <w:t>A-26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06" w:type="dxa"/>
            <w:tcBorders/>
            <w:shd w:fill="CCEEFF" w:val="clear"/>
            <w:tcMar>
              <w:bottom w:w="0" w:type="dxa"/>
            </w:tcMar>
            <w:vAlign w:val="center"/>
          </w:tcPr>
          <w:p>
            <w:pPr>
              <w:pStyle w:val="TableContents"/>
              <w:bidi w:val="0"/>
              <w:spacing w:before="0" w:after="0"/>
              <w:jc w:val="left"/>
              <w:rPr/>
            </w:pPr>
            <w:hyperlink w:anchor="sS1RA1">
              <w:r>
                <w:rPr>
                  <w:rStyle w:val="InternetLink"/>
                </w:rPr>
                <w:t>SECTION 12    NO RIGHTS AS A STOCKHOLDER</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1RA1">
              <w:r>
                <w:rPr>
                  <w:rStyle w:val="InternetLink"/>
                </w:rPr>
                <w:t>A-26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OC7"/>
      <w:bookmarkEnd w:id="128"/>
      <w:r>
        <w:rPr>
          <w:rFonts w:ascii="calibri;arial;sans-serif" w:hAnsi="calibri;arial;sans-serif"/>
          <w:b w:val="false"/>
          <w:i w:val="false"/>
          <w:caps w:val="false"/>
          <w:smallCaps w:val="false"/>
          <w:color w:val="000000"/>
          <w:sz w:val="16"/>
        </w:rPr>
        <w:t xml:space="preserve">​ </w:t>
      </w:r>
    </w:p>
    <w:tbl>
      <w:tblPr>
        <w:tblW w:w="7346" w:type="dxa"/>
        <w:jc w:val="left"/>
        <w:tblInd w:w="720" w:type="dxa"/>
        <w:tblLayout w:type="fixed"/>
        <w:tblCellMar>
          <w:top w:w="0" w:type="dxa"/>
          <w:left w:w="0" w:type="dxa"/>
          <w:bottom w:w="28" w:type="dxa"/>
          <w:right w:w="0" w:type="dxa"/>
        </w:tblCellMar>
      </w:tblPr>
      <w:tblGrid>
        <w:gridCol w:w="5986"/>
        <w:gridCol w:w="109"/>
        <w:gridCol w:w="109"/>
        <w:gridCol w:w="109"/>
        <w:gridCol w:w="109"/>
        <w:gridCol w:w="661"/>
        <w:gridCol w:w="109"/>
        <w:gridCol w:w="154"/>
      </w:tblGrid>
      <w:tr>
        <w:trPr/>
        <w:tc>
          <w:tcPr>
            <w:tcW w:w="598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88"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5986" w:type="dxa"/>
            <w:tcBorders/>
            <w:shd w:fill="CCEEFF" w:val="clear"/>
            <w:tcMar>
              <w:bottom w:w="0" w:type="dxa"/>
            </w:tcMar>
            <w:vAlign w:val="center"/>
          </w:tcPr>
          <w:p>
            <w:pPr>
              <w:pStyle w:val="TableContents"/>
              <w:bidi w:val="0"/>
              <w:spacing w:before="0" w:after="0"/>
              <w:jc w:val="left"/>
              <w:rPr/>
            </w:pPr>
            <w:hyperlink w:anchor="sS1LR">
              <w:r>
                <w:rPr>
                  <w:rStyle w:val="InternetLink"/>
                </w:rPr>
                <w:t>SECTION 13    SECURITIES LAW REQUIREMENTS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1LR">
              <w:r>
                <w:rPr>
                  <w:rStyle w:val="InternetLink"/>
                </w:rPr>
                <w:t>A-26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86" w:type="dxa"/>
            <w:tcBorders/>
            <w:tcMar>
              <w:bottom w:w="0" w:type="dxa"/>
            </w:tcMar>
            <w:vAlign w:val="center"/>
          </w:tcPr>
          <w:p>
            <w:pPr>
              <w:pStyle w:val="TableContents"/>
              <w:bidi w:val="0"/>
              <w:spacing w:before="0" w:after="0"/>
              <w:jc w:val="left"/>
              <w:rPr/>
            </w:pPr>
            <w:hyperlink w:anchor="sS1OU">
              <w:r>
                <w:rPr>
                  <w:rStyle w:val="InternetLink"/>
                </w:rPr>
                <w:t>SECTION 14    STOCK OFFERED UNDER THE PLAN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1OU">
              <w:r>
                <w:rPr>
                  <w:rStyle w:val="InternetLink"/>
                </w:rPr>
                <w:t>A-26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ASUO">
              <w:r>
                <w:rPr>
                  <w:rStyle w:val="InternetLink"/>
                </w:rPr>
                <w:t xml:space="preserve">Authorized Shares </w:t>
              </w:r>
            </w:hyperlink>
            <w:r>
              <mc:AlternateContent>
                <mc:Choice Requires="wps">
                  <w:drawing>
                    <wp:anchor behindDoc="0" distT="0" distB="0" distL="114300" distR="0" simplePos="0" locked="0" layoutInCell="1" allowOverlap="1" relativeHeight="441">
                      <wp:simplePos x="0" y="0"/>
                      <wp:positionH relativeFrom="column">
                        <wp:align>left</wp:align>
                      </wp:positionH>
                      <wp:positionV relativeFrom="line">
                        <wp:posOffset>635</wp:posOffset>
                      </wp:positionV>
                      <wp:extent cx="317500" cy="350520"/>
                      <wp:effectExtent l="0" t="0" r="0" b="0"/>
                      <wp:wrapSquare wrapText="right"/>
                      <wp:docPr id="446" name="Frame37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ASUO">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ASUO">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sASU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ASUO">
              <w:r>
                <w:rPr>
                  <w:rStyle w:val="InternetLink"/>
                </w:rPr>
                <w:t xml:space="preserve">A-26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86" w:type="dxa"/>
            <w:tcBorders/>
            <w:tcMar>
              <w:bottom w:w="0" w:type="dxa"/>
            </w:tcMar>
            <w:vAlign w:val="center"/>
          </w:tcPr>
          <w:p>
            <w:pPr>
              <w:pStyle w:val="TableContents"/>
              <w:bidi w:val="0"/>
              <w:spacing w:lineRule="atLeast" w:line="180" w:before="0" w:after="0"/>
              <w:ind w:left="680" w:right="0" w:hanging="0"/>
              <w:jc w:val="left"/>
              <w:rPr/>
            </w:pPr>
            <w:hyperlink w:anchor="sBATA">
              <w:r>
                <w:rPr>
                  <w:rStyle w:val="InternetLink"/>
                </w:rPr>
                <w:t xml:space="preserve">Antidilution Adjustments </w:t>
              </w:r>
            </w:hyperlink>
            <w:r>
              <mc:AlternateContent>
                <mc:Choice Requires="wps">
                  <w:drawing>
                    <wp:anchor behindDoc="0" distT="0" distB="0" distL="114300" distR="0" simplePos="0" locked="0" layoutInCell="1" allowOverlap="1" relativeHeight="442">
                      <wp:simplePos x="0" y="0"/>
                      <wp:positionH relativeFrom="column">
                        <wp:align>left</wp:align>
                      </wp:positionH>
                      <wp:positionV relativeFrom="line">
                        <wp:posOffset>635</wp:posOffset>
                      </wp:positionV>
                      <wp:extent cx="317500" cy="350520"/>
                      <wp:effectExtent l="0" t="0" r="0" b="0"/>
                      <wp:wrapSquare wrapText="right"/>
                      <wp:docPr id="447" name="Frame37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BATA">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BATA">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sBA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BATA">
              <w:r>
                <w:rPr>
                  <w:rStyle w:val="InternetLink"/>
                </w:rPr>
                <w:t xml:space="preserve">A-26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sCAOP">
              <w:r>
                <w:rPr>
                  <w:rStyle w:val="InternetLink"/>
                </w:rPr>
                <w:t xml:space="preserve">Reorganizations </w:t>
              </w:r>
            </w:hyperlink>
            <w:r>
              <mc:AlternateContent>
                <mc:Choice Requires="wps">
                  <w:drawing>
                    <wp:anchor behindDoc="0" distT="0" distB="0" distL="114300" distR="0" simplePos="0" locked="0" layoutInCell="1" allowOverlap="1" relativeHeight="443">
                      <wp:simplePos x="0" y="0"/>
                      <wp:positionH relativeFrom="column">
                        <wp:align>left</wp:align>
                      </wp:positionH>
                      <wp:positionV relativeFrom="line">
                        <wp:posOffset>635</wp:posOffset>
                      </wp:positionV>
                      <wp:extent cx="317500" cy="350520"/>
                      <wp:effectExtent l="0" t="0" r="0" b="0"/>
                      <wp:wrapSquare wrapText="right"/>
                      <wp:docPr id="448" name="Frame37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sCAOP">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sCAOP">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sCAO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CAOP">
              <w:r>
                <w:rPr>
                  <w:rStyle w:val="InternetLink"/>
                </w:rPr>
                <w:t xml:space="preserve">A-26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86" w:type="dxa"/>
            <w:tcBorders/>
            <w:tcMar>
              <w:bottom w:w="0" w:type="dxa"/>
            </w:tcMar>
            <w:vAlign w:val="center"/>
          </w:tcPr>
          <w:p>
            <w:pPr>
              <w:pStyle w:val="TableContents"/>
              <w:bidi w:val="0"/>
              <w:spacing w:before="0" w:after="0"/>
              <w:jc w:val="left"/>
              <w:rPr/>
            </w:pPr>
            <w:hyperlink w:anchor="sS1OD">
              <w:r>
                <w:rPr>
                  <w:rStyle w:val="InternetLink"/>
                </w:rPr>
                <w:t>SECTION 15    AMENDMENT OR DISCONTINUANCE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sS1OD">
              <w:r>
                <w:rPr>
                  <w:rStyle w:val="InternetLink"/>
                </w:rPr>
                <w:t>A-27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86" w:type="dxa"/>
            <w:tcBorders/>
            <w:shd w:fill="CCEEFF" w:val="clear"/>
            <w:tcMar>
              <w:bottom w:w="0" w:type="dxa"/>
            </w:tcMar>
            <w:vAlign w:val="center"/>
          </w:tcPr>
          <w:p>
            <w:pPr>
              <w:pStyle w:val="TableContents"/>
              <w:bidi w:val="0"/>
              <w:spacing w:before="0" w:after="0"/>
              <w:jc w:val="left"/>
              <w:rPr/>
            </w:pPr>
            <w:hyperlink w:anchor="sSE16">
              <w:r>
                <w:rPr>
                  <w:rStyle w:val="InternetLink"/>
                </w:rPr>
                <w:t>SECTION 16    EXECUTION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sSE16">
              <w:r>
                <w:rPr>
                  <w:rStyle w:val="InternetLink"/>
                </w:rPr>
                <w:t>A-27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sS1OT"/>
      <w:bookmarkEnd w:id="129"/>
      <w:r>
        <w:rPr>
          <w:rFonts w:ascii="calibri;arial;sans-serif" w:hAnsi="calibri;arial;sans-serif"/>
          <w:b w:val="false"/>
          <w:i w:val="false"/>
          <w:caps w:val="false"/>
          <w:smallCaps w:val="false"/>
          <w:color w:val="000000"/>
          <w:sz w:val="16"/>
        </w:rPr>
        <w:t>​</w:t>
      </w:r>
      <w:bookmarkStart w:id="130" w:name="sSE2D"/>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L</w:t>
      </w:r>
      <w:r>
        <w:rPr>
          <w:rFonts w:ascii="Times New Roman;Times;serif" w:hAnsi="Times New Roman;Times;serif"/>
          <w:b w:val="false"/>
          <w:i w:val="false"/>
          <w:caps w:val="false"/>
          <w:smallCaps w:val="false"/>
          <w:color w:val="000000"/>
          <w:sz w:val="40"/>
        </w:rPr>
        <w:t>UCID</w:t>
      </w:r>
      <w:r>
        <w:rPr>
          <w:rFonts w:ascii="Times New Roman;Times;serif" w:hAnsi="Times New Roman;Times;serif"/>
          <w:b w:val="false"/>
          <w:i w:val="false"/>
          <w:caps w:val="false"/>
          <w:smallCaps w:val="false"/>
          <w:color w:val="000000"/>
          <w:sz w:val="40"/>
        </w:rPr>
        <w:t xml:space="preserve"> G</w:t>
      </w:r>
      <w:r>
        <w:rPr>
          <w:rFonts w:ascii="Times New Roman;Times;serif" w:hAnsi="Times New Roman;Times;serif"/>
          <w:b w:val="false"/>
          <w:i w:val="false"/>
          <w:caps w:val="false"/>
          <w:smallCaps w:val="false"/>
          <w:color w:val="000000"/>
          <w:sz w:val="40"/>
        </w:rPr>
        <w:t>ROUP</w:t>
      </w:r>
      <w:r>
        <w:rPr>
          <w:rFonts w:ascii="Times New Roman;Times;serif" w:hAnsi="Times New Roman;Times;serif"/>
          <w:b w:val="false"/>
          <w:i w:val="false"/>
          <w:caps w:val="false"/>
          <w:smallCaps w:val="false"/>
          <w:color w:val="000000"/>
          <w:sz w:val="40"/>
        </w:rPr>
        <w:t>, I</w:t>
      </w:r>
      <w:r>
        <w:rPr>
          <w:rFonts w:ascii="Times New Roman;Times;serif" w:hAnsi="Times New Roman;Times;serif"/>
          <w:b w:val="false"/>
          <w:i w:val="false"/>
          <w:caps w:val="false"/>
          <w:smallCaps w:val="false"/>
          <w:color w:val="000000"/>
          <w:sz w:val="40"/>
        </w:rPr>
        <w:t>NC</w:t>
      </w:r>
      <w:r>
        <w:rPr>
          <w:rFonts w:ascii="Times New Roman;Times;serif" w:hAnsi="Times New Roman;Times;serif"/>
          <w:b w:val="false"/>
          <w:i w:val="false"/>
          <w:caps w:val="false"/>
          <w:smallCaps w:val="false"/>
          <w:color w:val="000000"/>
          <w:sz w:val="40"/>
        </w:rPr>
        <w:t xml:space="preserve">. </w:t>
        <w:br/>
        <w:t>A</w:t>
      </w:r>
      <w:r>
        <w:rPr>
          <w:rFonts w:ascii="Times New Roman;Times;serif" w:hAnsi="Times New Roman;Times;serif"/>
          <w:b w:val="false"/>
          <w:i w:val="false"/>
          <w:caps w:val="false"/>
          <w:smallCaps w:val="false"/>
          <w:color w:val="000000"/>
          <w:sz w:val="40"/>
        </w:rPr>
        <w:t>MENDED AND</w:t>
      </w:r>
      <w:r>
        <w:rPr>
          <w:rFonts w:ascii="Times New Roman;Times;serif" w:hAnsi="Times New Roman;Times;serif"/>
          <w:b w:val="false"/>
          <w:i w:val="false"/>
          <w:caps w:val="false"/>
          <w:smallCaps w:val="false"/>
          <w:color w:val="000000"/>
          <w:sz w:val="40"/>
        </w:rPr>
        <w:t xml:space="preserve"> R</w:t>
      </w:r>
      <w:r>
        <w:rPr>
          <w:rFonts w:ascii="Times New Roman;Times;serif" w:hAnsi="Times New Roman;Times;serif"/>
          <w:b w:val="false"/>
          <w:i w:val="false"/>
          <w:caps w:val="false"/>
          <w:smallCaps w:val="false"/>
          <w:color w:val="000000"/>
          <w:sz w:val="40"/>
        </w:rPr>
        <w:t>ESTATED</w:t>
      </w:r>
      <w:r>
        <w:rPr>
          <w:rFonts w:ascii="Times New Roman;Times;serif" w:hAnsi="Times New Roman;Times;serif"/>
          <w:b w:val="false"/>
          <w:i w:val="false"/>
          <w:caps w:val="false"/>
          <w:smallCaps w:val="false"/>
          <w:color w:val="000000"/>
          <w:sz w:val="40"/>
        </w:rPr>
        <w:t xml:space="preserve"> 2021 E</w:t>
      </w:r>
      <w:r>
        <w:rPr>
          <w:rFonts w:ascii="Times New Roman;Times;serif" w:hAnsi="Times New Roman;Times;serif"/>
          <w:b w:val="false"/>
          <w:i w:val="false"/>
          <w:caps w:val="false"/>
          <w:smallCaps w:val="false"/>
          <w:color w:val="000000"/>
          <w:sz w:val="40"/>
        </w:rPr>
        <w:t>MPLOYEE</w:t>
      </w:r>
      <w:r>
        <w:rPr>
          <w:rFonts w:ascii="Times New Roman;Times;serif" w:hAnsi="Times New Roman;Times;serif"/>
          <w:b w:val="false"/>
          <w:i w:val="false"/>
          <w:caps w:val="false"/>
          <w:smallCaps w:val="false"/>
          <w:color w:val="000000"/>
          <w:sz w:val="40"/>
        </w:rPr>
        <w:t xml:space="preserve"> S</w:t>
      </w:r>
      <w:r>
        <w:rPr>
          <w:rFonts w:ascii="Times New Roman;Times;serif" w:hAnsi="Times New Roman;Times;serif"/>
          <w:b w:val="false"/>
          <w:i w:val="false"/>
          <w:caps w:val="false"/>
          <w:smallCaps w:val="false"/>
          <w:color w:val="000000"/>
          <w:sz w:val="40"/>
        </w:rPr>
        <w:t>TOCK</w:t>
      </w:r>
      <w:r>
        <w:rPr>
          <w:rFonts w:ascii="Times New Roman;Times;serif" w:hAnsi="Times New Roman;Times;serif"/>
          <w:b w:val="false"/>
          <w:i w:val="false"/>
          <w:caps w:val="false"/>
          <w:smallCaps w:val="false"/>
          <w:color w:val="000000"/>
          <w:sz w:val="40"/>
        </w:rPr>
        <w:t xml:space="preserve"> P</w:t>
      </w:r>
      <w:r>
        <w:rPr>
          <w:rFonts w:ascii="Times New Roman;Times;serif" w:hAnsi="Times New Roman;Times;serif"/>
          <w:b w:val="false"/>
          <w:i w:val="false"/>
          <w:caps w:val="false"/>
          <w:smallCaps w:val="false"/>
          <w:color w:val="000000"/>
          <w:sz w:val="40"/>
        </w:rPr>
        <w:t>URCHASE</w:t>
      </w:r>
      <w:r>
        <w:rPr>
          <w:rFonts w:ascii="Times New Roman;Times;serif" w:hAnsi="Times New Roman;Times;serif"/>
          <w:b w:val="false"/>
          <w:i w:val="false"/>
          <w:caps w:val="false"/>
          <w:smallCaps w:val="false"/>
          <w:color w:val="000000"/>
          <w:sz w:val="40"/>
        </w:rPr>
        <w:t xml:space="preserve"> P</w:t>
      </w:r>
      <w:r>
        <w:rPr>
          <w:rFonts w:ascii="Times New Roman;Times;serif" w:hAnsi="Times New Roman;Times;serif"/>
          <w:b w:val="false"/>
          <w:i w:val="false"/>
          <w:caps w:val="false"/>
          <w:smallCaps w:val="false"/>
          <w:color w:val="000000"/>
          <w:sz w:val="40"/>
        </w:rPr>
        <w:t>LAN</w:t>
      </w:r>
    </w:p>
    <w:p>
      <w:pPr>
        <w:pStyle w:val="TextBody"/>
        <w:bidi w:val="0"/>
        <w:spacing w:lineRule="atLeast" w:line="220" w:before="40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   PURPOSE OF THE PLAN.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Plan is an addendum to and subject to the terms of the Amended and Restated 2021 Stock Incentive Plan of Lucid Group, Inc., as amended from time to time (the “2021 SIP”). The Plan was adopted by the Board on February 22, 2021, amended and restated as of January 1, 2024, and is hereby amended and restated effective as of April 22, 2025.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2   DEFINITIONS.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Capitalized terms used but not defined in this Plan shall have the meaning set forth in the 2021 SIP. In addition, the following terms used in this Plan have the following meanings.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“Committee” means the Compensation and Human Capital Committee of the Board or such other committee, comprised exclusively of one or more directors of the Company, as may be appointed by the Board from time to time to administer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“Compensation”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“Corporate Reorganization” means: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6"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consummation of a merger or consolidation of the Company with or into another entity, or any other corporate reorganization;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44">
                <wp:simplePos x="0" y="0"/>
                <wp:positionH relativeFrom="column">
                  <wp:align>left</wp:align>
                </wp:positionH>
                <wp:positionV relativeFrom="line">
                  <wp:align>top</wp:align>
                </wp:positionV>
                <wp:extent cx="317500" cy="350520"/>
                <wp:effectExtent l="0" t="0" r="0" b="0"/>
                <wp:wrapSquare wrapText="right"/>
                <wp:docPr id="449" name="Frame38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sale, transfer or other disposition of all or substantially all of the Company’s assets or the complete liquidation or dissolution of the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45">
                <wp:simplePos x="0" y="0"/>
                <wp:positionH relativeFrom="column">
                  <wp:align>left</wp:align>
                </wp:positionH>
                <wp:positionV relativeFrom="line">
                  <wp:align>top</wp:align>
                </wp:positionV>
                <wp:extent cx="317500" cy="350520"/>
                <wp:effectExtent l="0" t="0" r="0" b="0"/>
                <wp:wrapSquare wrapText="right"/>
                <wp:docPr id="450" name="Frame38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“Eligible Employee” means any employee of a Participating Company whose customary employment is for more than five (5) months per calendar year and for more than twenty (20) hours per week.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foregoing notwithstanding, an individual shall not be considered an Eligible Employee if his or her participation in the Plan is prohibited by the law of any country which has jurisdiction over him or her.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“Fair Market Value” means the fair market value of a share of Stock, determined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6"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Wall Street Journal or such other source as the Committee deems reliable;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46">
                <wp:simplePos x="0" y="0"/>
                <wp:positionH relativeFrom="column">
                  <wp:align>left</wp:align>
                </wp:positionH>
                <wp:positionV relativeFrom="line">
                  <wp:align>top</wp:align>
                </wp:positionV>
                <wp:extent cx="317500" cy="350520"/>
                <wp:effectExtent l="0" t="0" r="0" b="0"/>
                <wp:wrapSquare wrapText="right"/>
                <wp:docPr id="451" name="Frame38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the foregoing provision is not applicable, then the Fair Market Value shall be determined by the Committee in good faith on such basis as it deems appropriate.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47">
                <wp:simplePos x="0" y="0"/>
                <wp:positionH relativeFrom="column">
                  <wp:align>left</wp:align>
                </wp:positionH>
                <wp:positionV relativeFrom="line">
                  <wp:align>top</wp:align>
                </wp:positionV>
                <wp:extent cx="317500" cy="350520"/>
                <wp:effectExtent l="0" t="0" r="0" b="0"/>
                <wp:wrapSquare wrapText="right"/>
                <wp:docPr id="452" name="Frame38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A-21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sS3OT"/>
      <w:bookmarkEnd w:id="131"/>
      <w:r>
        <w:rPr>
          <w:rFonts w:ascii="calibri;arial;sans-serif" w:hAnsi="calibri;arial;sans-serif"/>
          <w:b w:val="false"/>
          <w:i w:val="false"/>
          <w:caps w:val="false"/>
          <w:smallCaps w:val="false"/>
          <w:color w:val="000000"/>
          <w:sz w:val="16"/>
        </w:rPr>
        <w:t>​</w:t>
      </w:r>
      <w:bookmarkStart w:id="132" w:name="sAPAR"/>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“Offering” means the grant of options to purchase shares of Stock under the Plan to Eligible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“Offering Date” means the first day of an Offering.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   “Offering Period” means a period with respect to which the right to purchase Stock may be granted under the Plan, as determined pursuant to Section 4(a).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   “Participant” means an Eligible Employee who elects to participate in the Plan, as provided in Section 4(b).</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(j)   “Participating Company” means (i) the Company and (ii) each present or future Subsidiary designated by the Committee as a Participating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   “Plan” means this Lucid Group Inc. Amended and Restated 2021 Employee Stock Purchase Plan, as it may be amended from time to time.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   “Plan Account” means the account established for each Participant pursuant to Section 8(a).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   “Purchase Date” means one or more dates during an Offering on which shares of Stock may be purchased pursuant to the terms of the Offering.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   “Purchase Period” means one or more successive periods during an Offering, beginning on the Offering Date or on the day after a Purchase Date, and ending on the next succeeding Purchase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   “Purchase Price” means the price at which Participants may purchase shares of Stock under the Plan, as determined pursuant to Section 8(b).</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   “Subsidiary”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(q)   “Trading Day” means a day on which the national stock exchange on which the Stock is traded is open for trading.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3   ADMINISTRATION OF THE PLAN.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Administrative Powers and Responsibilities.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Consistent with Article VIII of the Company’s Third Amended and Restated Certificate of Incorporation (or any successor provision), and to the fullest extent permitted by applicable law (as it now exists and as it may hereafter be amended), no member of the Committee shall be liable for any action, inaction, determination, or interpretation made in good faith with respect to the Plan, and all members of the Committee shall be fully indemnified by the Company with respect to any such action, inaction,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Notwithstanding anything to the contrary in the Plan, the Board may, in its sole discretion, at any time and from time to time, resolve to administer the Plan. In such event, the Board shall have all of the authority and responsibility granted to the Committee herein.</w:t>
      </w:r>
      <w:r>
        <w:rPr>
          <w:rFonts w:ascii="Arial;Helvetica;sans-serif" w:hAnsi="Arial;Helvetica;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sBATC"/>
      <w:bookmarkEnd w:id="133"/>
      <w:r>
        <w:rPr>
          <w:rFonts w:ascii="calibri;arial;sans-serif" w:hAnsi="calibri;arial;sans-serif"/>
          <w:b w:val="false"/>
          <w:i w:val="false"/>
          <w:caps w:val="false"/>
          <w:smallCaps w:val="false"/>
          <w:color w:val="000000"/>
          <w:sz w:val="16"/>
        </w:rPr>
        <w:t>​</w:t>
      </w:r>
      <w:bookmarkStart w:id="134" w:name="sS4AP"/>
      <w:bookmarkEnd w:id="134"/>
      <w:r>
        <w:rPr>
          <w:rFonts w:ascii="calibri;arial;sans-serif" w:hAnsi="calibri;arial;sans-serif"/>
          <w:b w:val="false"/>
          <w:i w:val="false"/>
          <w:caps w:val="false"/>
          <w:smallCaps w:val="false"/>
          <w:color w:val="000000"/>
          <w:sz w:val="16"/>
        </w:rPr>
        <w:t>​</w:t>
      </w:r>
      <w:bookmarkStart w:id="135" w:name="sAPWT"/>
      <w:bookmarkEnd w:id="135"/>
      <w:r>
        <w:rPr>
          <w:rFonts w:ascii="calibri;arial;sans-serif" w:hAnsi="calibri;arial;sans-serif"/>
          <w:b w:val="false"/>
          <w:i w:val="false"/>
          <w:caps w:val="false"/>
          <w:smallCaps w:val="false"/>
          <w:color w:val="000000"/>
          <w:sz w:val="16"/>
        </w:rPr>
        <w:t>​</w:t>
      </w:r>
      <w:bookmarkStart w:id="136" w:name="sBAIW"/>
      <w:bookmarkEnd w:id="136"/>
      <w:r>
        <w:rPr>
          <w:rFonts w:ascii="calibri;arial;sans-serif" w:hAnsi="calibri;arial;sans-serif"/>
          <w:b w:val="false"/>
          <w:i w:val="false"/>
          <w:caps w:val="false"/>
          <w:smallCaps w:val="false"/>
          <w:color w:val="000000"/>
          <w:sz w:val="16"/>
        </w:rPr>
        <w:t>​</w:t>
      </w:r>
      <w:bookmarkStart w:id="137" w:name="sCOPO"/>
      <w:bookmarkEnd w:id="137"/>
      <w:r>
        <w:rPr>
          <w:rFonts w:ascii="calibri;arial;sans-serif" w:hAnsi="calibri;arial;sans-serif"/>
          <w:b w:val="false"/>
          <w:i w:val="false"/>
          <w:caps w:val="false"/>
          <w:smallCaps w:val="false"/>
          <w:color w:val="000000"/>
          <w:sz w:val="16"/>
        </w:rPr>
        <w:t>​</w:t>
      </w:r>
      <w:bookmarkStart w:id="138" w:name="sS5C"/>
      <w:bookmarkEnd w:id="138"/>
      <w:r>
        <w:rPr>
          <w:rFonts w:ascii="calibri;arial;sans-serif" w:hAnsi="calibri;arial;sans-serif"/>
          <w:b w:val="false"/>
          <w:i w:val="false"/>
          <w:caps w:val="false"/>
          <w:smallCaps w:val="false"/>
          <w:color w:val="000000"/>
          <w:sz w:val="16"/>
        </w:rPr>
        <w:t>​</w:t>
      </w:r>
      <w:bookmarkStart w:id="139" w:name="sAOPD"/>
      <w:bookmarkEnd w:id="139"/>
      <w:r>
        <w:rPr>
          <w:rFonts w:ascii="calibri;arial;sans-serif" w:hAnsi="calibri;arial;sans-serif"/>
          <w:b w:val="false"/>
          <w:i w:val="false"/>
          <w:caps w:val="false"/>
          <w:smallCaps w:val="false"/>
          <w:color w:val="000000"/>
          <w:sz w:val="16"/>
        </w:rPr>
        <w:t>​</w:t>
      </w:r>
      <w:bookmarkStart w:id="140" w:name="sBOPD"/>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International Administration.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4   ENROLLMENT AND PARTICIPATION.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Offering Periods.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Enrollment.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Duration of Participation.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5   EMPLOYEE CONTRIBUTIONS.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Frequency of Payroll Deductions.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Amount of Payroll Deductions.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r>
        <w:rPr>
          <w:rFonts w:ascii="Arial;Helvetica;sans-serif" w:hAnsi="Arial;Helvetica;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A-23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sCWRU"/>
      <w:bookmarkEnd w:id="141"/>
      <w:r>
        <w:rPr>
          <w:rFonts w:ascii="calibri;arial;sans-serif" w:hAnsi="calibri;arial;sans-serif"/>
          <w:b w:val="false"/>
          <w:i w:val="false"/>
          <w:caps w:val="false"/>
          <w:smallCaps w:val="false"/>
          <w:color w:val="000000"/>
          <w:sz w:val="16"/>
        </w:rPr>
        <w:t>​</w:t>
      </w:r>
      <w:bookmarkStart w:id="142" w:name="sDPDI"/>
      <w:bookmarkEnd w:id="142"/>
      <w:r>
        <w:rPr>
          <w:rFonts w:ascii="calibri;arial;sans-serif" w:hAnsi="calibri;arial;sans-serif"/>
          <w:b w:val="false"/>
          <w:i w:val="false"/>
          <w:caps w:val="false"/>
          <w:smallCaps w:val="false"/>
          <w:color w:val="000000"/>
          <w:sz w:val="16"/>
        </w:rPr>
        <w:t>​</w:t>
      </w:r>
      <w:bookmarkStart w:id="143" w:name="sS6FT"/>
      <w:bookmarkEnd w:id="143"/>
      <w:r>
        <w:rPr>
          <w:rFonts w:ascii="calibri;arial;sans-serif" w:hAnsi="calibri;arial;sans-serif"/>
          <w:b w:val="false"/>
          <w:i w:val="false"/>
          <w:caps w:val="false"/>
          <w:smallCaps w:val="false"/>
          <w:color w:val="000000"/>
          <w:sz w:val="16"/>
        </w:rPr>
        <w:t>​</w:t>
      </w:r>
      <w:bookmarkStart w:id="144" w:name="sAAPM"/>
      <w:bookmarkEnd w:id="144"/>
      <w:r>
        <w:rPr>
          <w:rFonts w:ascii="calibri;arial;sans-serif" w:hAnsi="calibri;arial;sans-serif"/>
          <w:b w:val="false"/>
          <w:i w:val="false"/>
          <w:caps w:val="false"/>
          <w:smallCaps w:val="false"/>
          <w:color w:val="000000"/>
          <w:sz w:val="16"/>
        </w:rPr>
        <w:t>​</w:t>
      </w:r>
      <w:bookmarkStart w:id="145" w:name="sBAWA"/>
      <w:bookmarkEnd w:id="145"/>
      <w:r>
        <w:rPr>
          <w:rFonts w:ascii="calibri;arial;sans-serif" w:hAnsi="calibri;arial;sans-serif"/>
          <w:b w:val="false"/>
          <w:i w:val="false"/>
          <w:caps w:val="false"/>
          <w:smallCaps w:val="false"/>
          <w:color w:val="000000"/>
          <w:sz w:val="16"/>
        </w:rPr>
        <w:t>​</w:t>
      </w:r>
      <w:bookmarkStart w:id="146" w:name="sS7IE"/>
      <w:bookmarkEnd w:id="146"/>
      <w:r>
        <w:rPr>
          <w:rFonts w:ascii="calibri;arial;sans-serif" w:hAnsi="calibri;arial;sans-serif"/>
          <w:b w:val="false"/>
          <w:i w:val="false"/>
          <w:caps w:val="false"/>
          <w:smallCaps w:val="false"/>
          <w:color w:val="000000"/>
          <w:sz w:val="16"/>
        </w:rPr>
        <w:t>​</w:t>
      </w:r>
      <w:bookmarkStart w:id="147" w:name="sAOET"/>
      <w:bookmarkEnd w:id="147"/>
      <w:r>
        <w:rPr>
          <w:rFonts w:ascii="calibri;arial;sans-serif" w:hAnsi="calibri;arial;sans-serif"/>
          <w:b w:val="false"/>
          <w:i w:val="false"/>
          <w:caps w:val="false"/>
          <w:smallCaps w:val="false"/>
          <w:color w:val="000000"/>
          <w:sz w:val="16"/>
        </w:rPr>
        <w:t>​</w:t>
      </w:r>
      <w:bookmarkStart w:id="148" w:name="sBOAF"/>
      <w:bookmarkEnd w:id="148"/>
      <w:r>
        <w:rPr>
          <w:rFonts w:ascii="calibri;arial;sans-serif" w:hAnsi="calibri;arial;sans-serif"/>
          <w:b w:val="false"/>
          <w:i w:val="false"/>
          <w:caps w:val="false"/>
          <w:smallCaps w:val="false"/>
          <w:color w:val="000000"/>
          <w:sz w:val="16"/>
        </w:rPr>
        <w:t>​</w:t>
      </w:r>
      <w:bookmarkStart w:id="149" w:name="sCITE"/>
      <w:bookmarkEnd w:id="149"/>
      <w:r>
        <w:rPr>
          <w:rFonts w:ascii="calibri;arial;sans-serif" w:hAnsi="calibri;arial;sans-serif"/>
          <w:b w:val="false"/>
          <w:i w:val="false"/>
          <w:caps w:val="false"/>
          <w:smallCaps w:val="false"/>
          <w:color w:val="000000"/>
          <w:sz w:val="16"/>
        </w:rPr>
        <w:t>​</w:t>
      </w:r>
      <w:bookmarkStart w:id="150" w:name="sS8AA"/>
      <w:bookmarkEnd w:id="150"/>
      <w:r>
        <w:rPr>
          <w:rFonts w:ascii="calibri;arial;sans-serif" w:hAnsi="calibri;arial;sans-serif"/>
          <w:b w:val="false"/>
          <w:i w:val="false"/>
          <w:caps w:val="false"/>
          <w:smallCaps w:val="false"/>
          <w:color w:val="000000"/>
          <w:sz w:val="16"/>
        </w:rPr>
        <w:t>​</w:t>
      </w:r>
      <w:bookmarkStart w:id="151" w:name="sAATC"/>
      <w:bookmarkEnd w:id="151"/>
      <w:r>
        <w:rPr>
          <w:rFonts w:ascii="calibri;arial;sans-serif" w:hAnsi="calibri;arial;sans-serif"/>
          <w:b w:val="false"/>
          <w:i w:val="false"/>
          <w:caps w:val="false"/>
          <w:smallCaps w:val="false"/>
          <w:color w:val="000000"/>
          <w:sz w:val="16"/>
        </w:rPr>
        <w:t>​</w:t>
      </w:r>
      <w:bookmarkStart w:id="152" w:name="sBPTP"/>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Changing Withholding Rate.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 whole percentage of the Eligible Employee’s Compensation consistent with Subsection (b)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Discontinuing Payroll Deductions.   If a Participant wishes to discontinue employee contributions entirely, he or she may do so by withdrawing from the Plan pursuant to Section 6(a). In addition, employee contributions may be discontinued automatically pursuant to Section 9(b).</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6   WITHDRAWAL FROM THE PLAN.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Withdrawal.   A Participant may elect to withdraw from the Plan by giving notice pursuant to the process prescribed and 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Re-enrollment After Withdrawal.   A former Participant who has withdrawn from the Plan shall not be a Participant until he or she re-enrolls in the Plan under Section 4(b). Re-enrollment may be effective only at the commencement of an Offering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7   CHANGE IN EMPLOYMENT STATUS.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Termination of Employment.   Termination of employment as an Eligible Employee for any reason, including death, shall be treated as an automatic withdrawal from the Plan under Section 6(a). A transfer from one Participating Company to another shall not be treated as a termination of employment.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Leave of Absence.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Death.   In the event of the Participant’s death, the amount credited to his or her Plan Account shall be paid to the Participant’s estate.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8   PLAN ACCOUNTS AND PURCHASE OF SHARES.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Plan Accounts.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Purchase Price.   The Purchase Price for each share of Stock purchased during an Offering Period shall be the lesser of: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22" w:after="0"/>
        <w:ind w:left="1520" w:right="0" w:hanging="0"/>
        <w:jc w:val="lef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8"/>
        </w:rPr>
        <w:t>eighty-five percent (85%) of the Fair Market Value of such share on the Purchase Date;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40970" distB="0" distL="254000" distR="0" simplePos="0" locked="0" layoutInCell="1" allowOverlap="1" relativeHeight="448">
                <wp:simplePos x="0" y="0"/>
                <wp:positionH relativeFrom="column">
                  <wp:align>left</wp:align>
                </wp:positionH>
                <wp:positionV relativeFrom="line">
                  <wp:align>top</wp:align>
                </wp:positionV>
                <wp:extent cx="254000" cy="350520"/>
                <wp:effectExtent l="0" t="0" r="0" b="0"/>
                <wp:wrapSquare wrapText="right"/>
                <wp:docPr id="453"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1pt;mso-wrap-distance-bottom:0pt;margin-top:11.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520" w:right="0" w:hanging="0"/>
        <w:jc w:val="left"/>
        <w:rPr>
          <w:caps w:val="false"/>
          <w:smallCaps w:val="false"/>
          <w:color w:val="000000"/>
        </w:rPr>
      </w:pPr>
      <w:r>
        <w:rPr>
          <w:caps w:val="false"/>
          <w:smallCaps w:val="false"/>
          <w:color w:val="000000"/>
        </w:rPr>
        <w:t>   </w:t>
      </w:r>
      <w:r>
        <w:rPr>
          <w:rFonts w:ascii="Arial;Helvetica;sans-serif" w:hAnsi="Arial;Helvetica;sans-serif"/>
          <w:b w:val="false"/>
          <w:i w:val="false"/>
          <w:caps w:val="false"/>
          <w:smallCaps w:val="false"/>
          <w:color w:val="000000"/>
          <w:sz w:val="18"/>
        </w:rPr>
        <w:t>eighty-five percent (85%) of the Fair Market Value of such share on the Offering Date.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39700" distB="0" distL="25400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454"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Committee may specify for an alternate Purchase Price amount or formula in the terms and conditions of an Offering, but in no event may such amount or formula result in a Purchase Price less than that calculated pursuant to the immediately preceding formula.</w:t>
      </w:r>
      <w:r>
        <w:rPr>
          <w:rFonts w:ascii="Arial;Helvetica;sans-serif" w:hAnsi="Arial;Helvetica;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sCOSP"/>
      <w:bookmarkEnd w:id="153"/>
      <w:r>
        <w:rPr>
          <w:rFonts w:ascii="calibri;arial;sans-serif" w:hAnsi="calibri;arial;sans-serif"/>
          <w:b w:val="false"/>
          <w:i w:val="false"/>
          <w:caps w:val="false"/>
          <w:smallCaps w:val="false"/>
          <w:color w:val="000000"/>
          <w:sz w:val="16"/>
        </w:rPr>
        <w:t>​</w:t>
      </w:r>
      <w:bookmarkStart w:id="154" w:name="sDSII"/>
      <w:bookmarkEnd w:id="154"/>
      <w:r>
        <w:rPr>
          <w:rFonts w:ascii="calibri;arial;sans-serif" w:hAnsi="calibri;arial;sans-serif"/>
          <w:b w:val="false"/>
          <w:i w:val="false"/>
          <w:caps w:val="false"/>
          <w:smallCaps w:val="false"/>
          <w:color w:val="000000"/>
          <w:sz w:val="16"/>
        </w:rPr>
        <w:t>​</w:t>
      </w:r>
      <w:bookmarkStart w:id="155" w:name="sEOSC"/>
      <w:bookmarkEnd w:id="155"/>
      <w:r>
        <w:rPr>
          <w:rFonts w:ascii="calibri;arial;sans-serif" w:hAnsi="calibri;arial;sans-serif"/>
          <w:b w:val="false"/>
          <w:i w:val="false"/>
          <w:caps w:val="false"/>
          <w:smallCaps w:val="false"/>
          <w:color w:val="000000"/>
          <w:sz w:val="16"/>
        </w:rPr>
        <w:t>​</w:t>
      </w:r>
      <w:bookmarkStart w:id="156" w:name="sFCBA"/>
      <w:bookmarkEnd w:id="156"/>
      <w:r>
        <w:rPr>
          <w:rFonts w:ascii="calibri;arial;sans-serif" w:hAnsi="calibri;arial;sans-serif"/>
          <w:b w:val="false"/>
          <w:i w:val="false"/>
          <w:caps w:val="false"/>
          <w:smallCaps w:val="false"/>
          <w:color w:val="000000"/>
          <w:sz w:val="16"/>
        </w:rPr>
        <w:t>​</w:t>
      </w:r>
      <w:bookmarkStart w:id="157" w:name="sGATP"/>
      <w:bookmarkEnd w:id="157"/>
      <w:r>
        <w:rPr>
          <w:rFonts w:ascii="calibri;arial;sans-serif" w:hAnsi="calibri;arial;sans-serif"/>
          <w:b w:val="false"/>
          <w:i w:val="false"/>
          <w:caps w:val="false"/>
          <w:smallCaps w:val="false"/>
          <w:color w:val="000000"/>
          <w:sz w:val="16"/>
        </w:rPr>
        <w:t>​</w:t>
      </w:r>
      <w:bookmarkStart w:id="158" w:name="sS9OS"/>
      <w:bookmarkEnd w:id="158"/>
      <w:r>
        <w:rPr>
          <w:rFonts w:ascii="calibri;arial;sans-serif" w:hAnsi="calibri;arial;sans-serif"/>
          <w:b w:val="false"/>
          <w:i w:val="false"/>
          <w:caps w:val="false"/>
          <w:smallCaps w:val="false"/>
          <w:color w:val="000000"/>
          <w:sz w:val="16"/>
        </w:rPr>
        <w:t>​</w:t>
      </w:r>
      <w:bookmarkStart w:id="159" w:name="sAPLA"/>
      <w:bookmarkEnd w:id="159"/>
      <w:r>
        <w:rPr>
          <w:rFonts w:ascii="calibri;arial;sans-serif" w:hAnsi="calibri;arial;sans-serif"/>
          <w:b w:val="false"/>
          <w:i w:val="false"/>
          <w:caps w:val="false"/>
          <w:smallCaps w:val="false"/>
          <w:color w:val="000000"/>
          <w:sz w:val="16"/>
        </w:rPr>
        <w:t>​</w:t>
      </w:r>
      <w:bookmarkStart w:id="160" w:name="sBLAO"/>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   Number of Shares Purchased.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   Available Shares Insufficient.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   Issuance of Stock.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   Unused Cash Balances.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   Stockholder Approval.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9   LIMITATIONS ON STOCK OWNERSHIP.</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Five Percent Limit.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3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Ownership of stock shall be determined after applying the attribution rules of section 424(d) of the Code;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19050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455"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9pt;mso-wrap-distance-bottom:0pt;margin-top:11.9pt;mso-position-vertical:top;mso-position-vertical-relative:text;margin-left:15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Participant shall be deemed to own any stock that he or she has a right or option to purchase under this or any other plan;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19050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456"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9pt;mso-wrap-distance-bottom:0pt;margin-top:11.9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Participant shall be deemed to have the right to purchase up to the maximum number of shares of Stock that may be purchased by a Participant under the Plan under the individual limit specified pursuant to Section 8(c) with respect to each Offering Period.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1130" distB="0" distL="190500" distR="0" simplePos="0" locked="0" layoutInCell="1" allowOverlap="1" relativeHeight="452">
                <wp:simplePos x="0" y="0"/>
                <wp:positionH relativeFrom="column">
                  <wp:align>left</wp:align>
                </wp:positionH>
                <wp:positionV relativeFrom="line">
                  <wp:align>top</wp:align>
                </wp:positionV>
                <wp:extent cx="254000" cy="350520"/>
                <wp:effectExtent l="0" t="0" r="0" b="0"/>
                <wp:wrapSquare wrapText="right"/>
                <wp:docPr id="457"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9pt;mso-wrap-distance-bottom:0pt;margin-top:11.9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(b)   Dollar Limit.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A-25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sS1NT"/>
      <w:bookmarkEnd w:id="161"/>
      <w:r>
        <w:rPr>
          <w:rFonts w:ascii="calibri;arial;sans-serif" w:hAnsi="calibri;arial;sans-serif"/>
          <w:b w:val="false"/>
          <w:i w:val="false"/>
          <w:caps w:val="false"/>
          <w:smallCaps w:val="false"/>
          <w:color w:val="000000"/>
          <w:sz w:val="16"/>
        </w:rPr>
        <w:t>​</w:t>
      </w:r>
      <w:bookmarkStart w:id="162" w:name="sS1RA"/>
      <w:bookmarkEnd w:id="162"/>
      <w:r>
        <w:rPr>
          <w:rFonts w:ascii="calibri;arial;sans-serif" w:hAnsi="calibri;arial;sans-serif"/>
          <w:b w:val="false"/>
          <w:i w:val="false"/>
          <w:caps w:val="false"/>
          <w:smallCaps w:val="false"/>
          <w:color w:val="000000"/>
          <w:sz w:val="16"/>
        </w:rPr>
        <w:t>​</w:t>
      </w:r>
      <w:bookmarkStart w:id="163" w:name="sS1RA1"/>
      <w:bookmarkEnd w:id="163"/>
      <w:r>
        <w:rPr>
          <w:rFonts w:ascii="calibri;arial;sans-serif" w:hAnsi="calibri;arial;sans-serif"/>
          <w:b w:val="false"/>
          <w:i w:val="false"/>
          <w:caps w:val="false"/>
          <w:smallCaps w:val="false"/>
          <w:color w:val="000000"/>
          <w:sz w:val="16"/>
        </w:rPr>
        <w:t>​</w:t>
      </w:r>
      <w:bookmarkStart w:id="164" w:name="sS1LR"/>
      <w:bookmarkEnd w:id="164"/>
      <w:r>
        <w:rPr>
          <w:rFonts w:ascii="calibri;arial;sans-serif" w:hAnsi="calibri;arial;sans-serif"/>
          <w:b w:val="false"/>
          <w:i w:val="false"/>
          <w:caps w:val="false"/>
          <w:smallCaps w:val="false"/>
          <w:color w:val="000000"/>
          <w:sz w:val="16"/>
        </w:rPr>
        <w:t>​</w:t>
      </w:r>
      <w:bookmarkStart w:id="165" w:name="sS1OU"/>
      <w:bookmarkEnd w:id="165"/>
      <w:r>
        <w:rPr>
          <w:rFonts w:ascii="calibri;arial;sans-serif" w:hAnsi="calibri;arial;sans-serif"/>
          <w:b w:val="false"/>
          <w:i w:val="false"/>
          <w:caps w:val="false"/>
          <w:smallCaps w:val="false"/>
          <w:color w:val="000000"/>
          <w:sz w:val="16"/>
        </w:rPr>
        <w:t>​</w:t>
      </w:r>
      <w:bookmarkStart w:id="166" w:name="sASUO"/>
      <w:bookmarkEnd w:id="166"/>
      <w:r>
        <w:rPr>
          <w:rFonts w:ascii="calibri;arial;sans-serif" w:hAnsi="calibri;arial;sans-serif"/>
          <w:b w:val="false"/>
          <w:i w:val="false"/>
          <w:caps w:val="false"/>
          <w:smallCaps w:val="false"/>
          <w:color w:val="000000"/>
          <w:sz w:val="16"/>
        </w:rPr>
        <w:t>​</w:t>
      </w:r>
      <w:bookmarkStart w:id="167" w:name="sBATA"/>
      <w:bookmarkEnd w:id="167"/>
      <w:r>
        <w:rPr>
          <w:rFonts w:ascii="calibri;arial;sans-serif" w:hAnsi="calibri;arial;sans-serif"/>
          <w:b w:val="false"/>
          <w:i w:val="false"/>
          <w:caps w:val="false"/>
          <w:smallCaps w:val="false"/>
          <w:color w:val="000000"/>
          <w:sz w:val="16"/>
        </w:rPr>
        <w:t>​</w:t>
      </w:r>
      <w:bookmarkStart w:id="168" w:name="sCAOP"/>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Company), determined in accordance with the provisions of Section 423(b)(8) of the Code and applicable Treasury Regulations promulgated thereunder.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purposes of this Subsection (b), the Fair Market Value of Stock shall be determined as of the beginning of the Offering Period in which such Stock is purchased. Employee stock purchase plans not described in Section 423 of the Code shall be disregarded.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10   RIGHTS NOT TRANSFERABLE.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11   NO RIGHTS AS AN EMPLOYEE.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12   NO RIGHTS AS A STOCKHOLDER.</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Participant shall have no rights as a stockholder with respect to any shares of Stock that he or she may have a right to purchase under the Plan until such shares have been purchased on the applicable Purchase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13   SECURITIES LAW REQUIREMENTS.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14   STOCK OFFERED UNDER THE PLAN.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Authorized Shares.   Unless otherwise determined by the Committee, the maximum aggregate number of Shares available for purchase under the Plan during any calendar year is 20,000,000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   Antidilution Adjustments.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(c)   Reorganizations.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2025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sS1OD"/>
      <w:bookmarkEnd w:id="169"/>
      <w:r>
        <w:rPr>
          <w:rFonts w:ascii="calibri;arial;sans-serif" w:hAnsi="calibri;arial;sans-serif"/>
          <w:b w:val="false"/>
          <w:i w:val="false"/>
          <w:caps w:val="false"/>
          <w:smallCaps w:val="false"/>
          <w:color w:val="000000"/>
          <w:sz w:val="16"/>
        </w:rPr>
        <w:t>​</w:t>
      </w:r>
      <w:bookmarkStart w:id="170" w:name="sSE16"/>
      <w:bookmarkEnd w:id="1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15   AMENDMENT OR DISCONTINUANCE.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SECTION 16   EXECUTION.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record the adoption of the Plan by the Board, the Company has caused its authorized officer to execute the same.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ind w:left="648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LUCID GROUP, INC.</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240" w:after="0"/>
        <w:ind w:left="677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 Brian K. Tomkiel </w:t>
      </w:r>
      <w:r>
        <mc:AlternateContent>
          <mc:Choice Requires="wps">
            <w:drawing>
              <wp:anchor behindDoc="0" distT="152400" distB="0" distL="3657600" distR="0" simplePos="0" locked="0" layoutInCell="1" allowOverlap="1" relativeHeight="453">
                <wp:simplePos x="0" y="0"/>
                <wp:positionH relativeFrom="column">
                  <wp:align>left</wp:align>
                </wp:positionH>
                <wp:positionV relativeFrom="line">
                  <wp:align>top</wp:align>
                </wp:positionV>
                <wp:extent cx="186055" cy="525780"/>
                <wp:effectExtent l="0" t="0" r="0" b="0"/>
                <wp:wrapSquare wrapText="right"/>
                <wp:docPr id="458" name="Frame389"/>
                <a:graphic xmlns:a="http://schemas.openxmlformats.org/drawingml/2006/main">
                  <a:graphicData uri="http://schemas.microsoft.com/office/word/2010/wordprocessingShape">
                    <wps:wsp>
                      <wps:cNvSpPr txBox="1"/>
                      <wps:spPr>
                        <a:xfrm>
                          <a:off x="0" y="0"/>
                          <a:ext cx="186055" cy="52578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14.65pt;height:41.4pt;mso-wrap-distance-left:288pt;mso-wrap-distance-right:0pt;mso-wrap-distance-top:12pt;mso-wrap-distance-bottom:0pt;margin-top:12pt;mso-position-vertical:top;mso-position-vertical-relative:text;margin-left:185.25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283"/>
        <w:ind w:left="67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ind w:left="677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Name: Brian K. Tomkiel </w:t>
        <w:br/>
        <w:t>Title: General Counsel</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A-27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ANB"/>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righ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Annex B​</w:t>
      </w:r>
    </w:p>
    <w:p>
      <w:pPr>
        <w:pStyle w:val="TextBody"/>
        <w:bidi w:val="0"/>
        <w:spacing w:lineRule="atLeast" w:line="440" w:before="1320" w:after="283"/>
        <w:jc w:val="left"/>
        <w:rPr>
          <w:rFonts w:ascii="Times New Roman;Times;serif" w:hAnsi="Times New Roman;Times;serif"/>
          <w:b w:val="false"/>
          <w:i w:val="false"/>
          <w:caps w:val="false"/>
          <w:smallCaps w:val="false"/>
          <w:color w:val="000000"/>
          <w:sz w:val="40"/>
        </w:rPr>
      </w:pPr>
      <w:r>
        <w:rPr>
          <w:rFonts w:ascii="Times New Roman;Times;serif" w:hAnsi="Times New Roman;Times;serif"/>
          <w:b w:val="false"/>
          <w:i w:val="false"/>
          <w:caps w:val="false"/>
          <w:smallCaps w:val="false"/>
          <w:color w:val="000000"/>
          <w:sz w:val="40"/>
        </w:rPr>
        <w:t xml:space="preserve">LUCID GROUP, INC. </w:t>
        <w:br/>
        <w:t xml:space="preserve">Reconciliation of GAAP to Non-GAAP Financial Measures </w:t>
        <w:br/>
        <w:t xml:space="preserve">(Unaudited) </w:t>
        <w:br/>
        <w:t>(in thousands)</w:t>
      </w:r>
      <w:r>
        <w:rPr>
          <w:rFonts w:ascii="Times New Roman;Times;serif" w:hAnsi="Times New Roman;Times;serif"/>
          <w:b w:val="false"/>
          <w:i w:val="false"/>
          <w:caps w:val="false"/>
          <w:smallCaps w:val="false"/>
          <w:color w:val="000000"/>
          <w:spacing w:val="8"/>
          <w:sz w:val="40"/>
        </w:rPr>
        <w:t xml:space="preserve"> </w:t>
      </w:r>
    </w:p>
    <w:p>
      <w:pPr>
        <w:pStyle w:val="TextBody"/>
        <w:bidi w:val="0"/>
        <w:spacing w:lineRule="atLeast" w:line="220" w:before="40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u w:val="single"/>
        </w:rPr>
        <w:t>Free Cash Flow</w:t>
      </w:r>
      <w:r>
        <w:rPr>
          <w:rFonts w:ascii="Arial;Helvetica;sans-serif" w:hAnsi="Arial;Helvetica;sans-serif"/>
          <w:b/>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3114"/>
        <w:gridCol w:w="109"/>
        <w:gridCol w:w="109"/>
        <w:gridCol w:w="1305"/>
        <w:gridCol w:w="109"/>
        <w:gridCol w:w="109"/>
        <w:gridCol w:w="1305"/>
        <w:gridCol w:w="109"/>
        <w:gridCol w:w="109"/>
        <w:gridCol w:w="1305"/>
        <w:gridCol w:w="109"/>
        <w:gridCol w:w="109"/>
        <w:gridCol w:w="1305"/>
        <w:gridCol w:w="155"/>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3114"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5874" w:type="dxa"/>
            <w:gridSpan w:val="10"/>
            <w:tcBorders>
              <w:bottom w:val="single" w:sz="2" w:space="0" w:color="FEFEFE"/>
            </w:tcBorders>
            <w:shd w:fill="000000" w:val="clear"/>
            <w:tcMar>
              <w:bottom w:w="160" w:type="dxa"/>
            </w:tcMar>
            <w:vAlign w:val="center"/>
          </w:tcPr>
          <w:p>
            <w:pPr>
              <w:pStyle w:val="TableContents"/>
              <w:bidi w:val="0"/>
              <w:spacing w:before="0" w:after="0"/>
              <w:jc w:val="left"/>
              <w:rPr/>
            </w:pPr>
            <w:r>
              <w:rPr/>
              <w:t xml:space="preserve">Year Ended December 31, </w:t>
            </w:r>
          </w:p>
        </w:tc>
        <w:tc>
          <w:tcPr>
            <w:tcW w:w="155"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3114"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05" w:type="dxa"/>
            <w:tcBorders/>
            <w:shd w:fill="000000" w:val="clear"/>
            <w:tcMar>
              <w:bottom w:w="0" w:type="dxa"/>
            </w:tcMar>
            <w:vAlign w:val="center"/>
          </w:tcPr>
          <w:p>
            <w:pPr>
              <w:pStyle w:val="TableContents"/>
              <w:bidi w:val="0"/>
              <w:spacing w:before="0" w:after="0"/>
              <w:jc w:val="left"/>
              <w:rPr/>
            </w:pPr>
            <w:r>
              <w:rPr/>
              <w:t xml:space="preserve">2024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05" w:type="dxa"/>
            <w:tcBorders/>
            <w:shd w:fill="000000" w:val="clear"/>
            <w:tcMar>
              <w:bottom w:w="0" w:type="dxa"/>
            </w:tcMar>
            <w:vAlign w:val="center"/>
          </w:tcPr>
          <w:p>
            <w:pPr>
              <w:pStyle w:val="TableContents"/>
              <w:bidi w:val="0"/>
              <w:spacing w:before="0" w:after="0"/>
              <w:jc w:val="left"/>
              <w:rPr/>
            </w:pPr>
            <w:r>
              <w:rPr/>
              <w:t xml:space="preserve">2023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05" w:type="dxa"/>
            <w:tcBorders/>
            <w:shd w:fill="000000" w:val="clear"/>
            <w:tcMar>
              <w:bottom w:w="0" w:type="dxa"/>
            </w:tcMar>
            <w:vAlign w:val="center"/>
          </w:tcPr>
          <w:p>
            <w:pPr>
              <w:pStyle w:val="TableContents"/>
              <w:bidi w:val="0"/>
              <w:spacing w:before="0" w:after="0"/>
              <w:jc w:val="left"/>
              <w:rPr/>
            </w:pPr>
            <w:r>
              <w:rPr/>
              <w:t xml:space="preserve">2022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05" w:type="dxa"/>
            <w:tcBorders/>
            <w:shd w:fill="000000" w:val="clear"/>
            <w:tcMar>
              <w:bottom w:w="0" w:type="dxa"/>
            </w:tcMar>
            <w:vAlign w:val="center"/>
          </w:tcPr>
          <w:p>
            <w:pPr>
              <w:pStyle w:val="TableContents"/>
              <w:bidi w:val="0"/>
              <w:spacing w:before="0" w:after="0"/>
              <w:jc w:val="left"/>
              <w:rPr/>
            </w:pPr>
            <w:r>
              <w:rPr/>
              <w:t xml:space="preserve">2021 </w:t>
            </w:r>
          </w:p>
        </w:tc>
        <w:tc>
          <w:tcPr>
            <w:tcW w:w="155"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114" w:type="dxa"/>
            <w:tcBorders>
              <w:bottom w:val="single" w:sz="6" w:space="0" w:color="000000"/>
            </w:tcBorders>
            <w:tcMar>
              <w:bottom w:w="148" w:type="dxa"/>
            </w:tcMar>
            <w:vAlign w:val="center"/>
          </w:tcPr>
          <w:p>
            <w:pPr>
              <w:pStyle w:val="TableContents"/>
              <w:bidi w:val="0"/>
              <w:spacing w:before="0" w:after="283"/>
              <w:jc w:val="left"/>
              <w:rPr/>
            </w:pPr>
            <w:r>
              <w:rPr/>
              <w:t>Net cash used in operating activities (GAAP)</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$(2,019,674)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$(2,489,753)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$(2,226,258)</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$(1,058,133)</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114" w:type="dxa"/>
            <w:tcBorders>
              <w:bottom w:val="single" w:sz="6" w:space="0" w:color="000000"/>
            </w:tcBorders>
            <w:tcMar>
              <w:bottom w:w="148" w:type="dxa"/>
            </w:tcMar>
            <w:vAlign w:val="center"/>
          </w:tcPr>
          <w:p>
            <w:pPr>
              <w:pStyle w:val="TableContents"/>
              <w:bidi w:val="0"/>
              <w:spacing w:before="0" w:after="283"/>
              <w:jc w:val="left"/>
              <w:rPr/>
            </w:pPr>
            <w:r>
              <w:rPr/>
              <w:t xml:space="preserve">Capital expenditures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 xml:space="preserve">(883,841)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 xml:space="preserve">(910,644)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 xml:space="preserve">(1,074,852)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 xml:space="preserve">(421,220)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114" w:type="dxa"/>
            <w:tcBorders>
              <w:bottom w:val="single" w:sz="6" w:space="0" w:color="000000"/>
            </w:tcBorders>
            <w:tcMar>
              <w:bottom w:w="148" w:type="dxa"/>
            </w:tcMar>
            <w:vAlign w:val="center"/>
          </w:tcPr>
          <w:p>
            <w:pPr>
              <w:pStyle w:val="TableContents"/>
              <w:bidi w:val="0"/>
              <w:spacing w:before="0" w:after="283"/>
              <w:jc w:val="left"/>
              <w:rPr/>
            </w:pPr>
            <w:r>
              <w:rPr/>
              <w:t>Free cash flow (non-GAAP)</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$(2,903,515)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$(3,400,397)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$(3,301,110)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5" w:type="dxa"/>
            <w:tcBorders>
              <w:bottom w:val="single" w:sz="6" w:space="0" w:color="000000"/>
            </w:tcBorders>
            <w:tcMar>
              <w:bottom w:w="148" w:type="dxa"/>
            </w:tcMar>
            <w:vAlign w:val="center"/>
          </w:tcPr>
          <w:p>
            <w:pPr>
              <w:pStyle w:val="TableContents"/>
              <w:bidi w:val="0"/>
              <w:spacing w:before="0" w:after="283"/>
              <w:jc w:val="left"/>
              <w:rPr/>
            </w:pPr>
            <w:r>
              <w:rPr/>
              <w:t>$(1,479,353)</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168" w:type="dxa"/>
        <w:jc w:val="left"/>
        <w:tblInd w:w="720" w:type="dxa"/>
        <w:tblLayout w:type="fixed"/>
        <w:tblCellMar>
          <w:top w:w="0" w:type="dxa"/>
          <w:left w:w="0" w:type="dxa"/>
          <w:bottom w:w="0" w:type="dxa"/>
          <w:right w:w="0" w:type="dxa"/>
        </w:tblCellMar>
      </w:tblPr>
      <w:tblGrid>
        <w:gridCol w:w="124"/>
        <w:gridCol w:w="2206"/>
        <w:gridCol w:w="109"/>
        <w:gridCol w:w="109"/>
        <w:gridCol w:w="46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2025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0"/>
              <w:jc w:val="right"/>
              <w:rPr>
                <w:b/>
              </w:rPr>
            </w:pPr>
            <w:r>
              <w:rPr>
                <w:b/>
              </w:rPr>
              <w:t>B-1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45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62" descr=""/>
                    <pic:cNvPicPr>
                      <a:picLocks noChangeAspect="1" noChangeArrowheads="1"/>
                    </pic:cNvPicPr>
                  </pic:nvPicPr>
                  <pic:blipFill>
                    <a:blip r:embed="rId71"/>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Signature(s) in Box Please sign exactly as your name(s) appears on Proxy. If jointly owned, each joint owner should sign. Trustees, adminis trators, or other fiduciaries, should include title and authority. Corporations or partnerships should provide full name of corporation or partnership and title of authorized officer signing the Proxy. Vote by Internet, Telephone or Mail 24 Hours a Day, 7 Days a Week Your phone or Internet vote authorizes the named proxies to vote your shares in the same manner as if you marked, signed and returned your Proxy Card. : INTERNET/MOBILE – www.proxypush.com/LCID Use the Internet to vote your proxy. (PHONE – 1-866-883-3382 Use a touch-tone telephone to vote your proxy. * MAIL – Mark, sign and date your Proxy Card and return it in the postage-paid envelope provided by June 4, 2025. Shareowner Services P.O. Box 64945 St. Paul, MN 55164-0945 For shares held through the 2021 Stock Incentive Plan, voting instructions by proxy card, telephone or Internet must be provided by 11:59 p.m. (Pacific Time), on May 31, 2025. If you vote your proxy by Internet or by Telephone, you do NOT need to mail back your Proxy Card. Shareowner Services P.O. Box 64945 St. Paul, MN 55164-0945 The Board of Directors Recommends a Vote FOR all Nominees in Proposal 1 and FOR Proposals 2, 3 and 4. 1. Election of 01 Turqi Alnowaiser 04 Andrew Liveris 07 Ori Winitzer Vote FOR Vote WITHHELD directors: 02 Douglas Grimm 05 Nichelle Maynard-Elliott 08 Janet S. Wong all nominees from all nominees 03 Lisa M. Lambert 06 Chabi Nouri (except as marked) (Instructions: To withhold authority to vote for any indicated nominee, write the number(s) of the nominee(s) in the box provided to the right.) 2. To ratify the selection of KPMG LLP as our independent registered public accounting firm for the fiscal year ending December 31, 2025 For Against Abstain 3. To approve, on an advisory basis, the compensation for our named executive officers as disclosed in our Proxy Statement For Against Abstain 4. To approve the amendment and restatement of the Lucid Group, Inc. Amended and Restated 2021 Stock Incentive Plan For Against Abstain THIS PROXY WHEN PROPERLY EXECUTED WILL BE VOTED AS DIRECTED OR, IF NO DIRECTION IS GIVEN, WILL BE VOTED AS THE BOARD RECOMMENDS. Address Change? Mark box, sign, and indicate changes below: Date</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24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46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63" descr=""/>
                    <pic:cNvPicPr>
                      <a:picLocks noChangeAspect="1" noChangeArrowheads="1"/>
                    </pic:cNvPicPr>
                  </pic:nvPicPr>
                  <pic:blipFill>
                    <a:blip r:embed="rId72"/>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Lucid Group, Inc. 7373 Gateway Blvd. Newark, CA 94560 proxy This proxy is solicited by the Board of Directors for use at the Annual Meeting of Stockholders of Lucid Group, Inc. on June 5, 2025. By signing the proxy, you revoke all prior proxies and appoint Taoufiq Boussaid and Brian Tomkiel, or either of them, each with full power of substitution and revocation and authorize them to vote all of the shares of common stock of Lucid Group, Inc. which you are entitled to vote at the Annual Meeting of Stockholders on the matters shown on the reverse side and any other matters that may properly come before the Annual Meeting of Stockholders and all adjournments or postponement thereof. The shares of stock you hold in your account will be voted as you specify on the reverse side. If no choice is specified, the proxy will be voted FOR all Nominees in Proposal 1 and FOR Proposals 2, 3 and 4. See reverse for voting instructions. LUCID GROUP, INC. ANNUAL MEETING OF STOCKHOLDERS Thursday, June 5, 2025 9:00 a.m. Pacific Time Virtual Annual Meeting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5.gif"/><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7.jpeg"/><Relationship Id="rId16" Type="http://schemas.openxmlformats.org/officeDocument/2006/relationships/image" Target="media/image7.jpeg"/><Relationship Id="rId17" Type="http://schemas.openxmlformats.org/officeDocument/2006/relationships/image" Target="media/image7.jpeg"/><Relationship Id="rId18" Type="http://schemas.openxmlformats.org/officeDocument/2006/relationships/image" Target="media/image7.jpeg"/><Relationship Id="rId19" Type="http://schemas.openxmlformats.org/officeDocument/2006/relationships/image" Target="media/image7.jpeg"/><Relationship Id="rId20" Type="http://schemas.openxmlformats.org/officeDocument/2006/relationships/image" Target="media/image7.jpeg"/><Relationship Id="rId21" Type="http://schemas.openxmlformats.org/officeDocument/2006/relationships/image" Target="media/image7.jpeg"/><Relationship Id="rId22" Type="http://schemas.openxmlformats.org/officeDocument/2006/relationships/image" Target="media/image7.jpeg"/><Relationship Id="rId23" Type="http://schemas.openxmlformats.org/officeDocument/2006/relationships/image" Target="media/image7.jpeg"/><Relationship Id="rId24" Type="http://schemas.openxmlformats.org/officeDocument/2006/relationships/image" Target="media/image7.jpeg"/><Relationship Id="rId25" Type="http://schemas.openxmlformats.org/officeDocument/2006/relationships/image" Target="media/image7.jpeg"/><Relationship Id="rId26" Type="http://schemas.openxmlformats.org/officeDocument/2006/relationships/image" Target="media/image7.jpeg"/><Relationship Id="rId27" Type="http://schemas.openxmlformats.org/officeDocument/2006/relationships/image" Target="media/image7.jpeg"/><Relationship Id="rId28" Type="http://schemas.openxmlformats.org/officeDocument/2006/relationships/image" Target="media/image7.jpeg"/><Relationship Id="rId29" Type="http://schemas.openxmlformats.org/officeDocument/2006/relationships/image" Target="media/image7.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image" Target="media/image15.jpeg"/><Relationship Id="rId39" Type="http://schemas.openxmlformats.org/officeDocument/2006/relationships/image" Target="media/image16.jpeg"/><Relationship Id="rId40" Type="http://schemas.openxmlformats.org/officeDocument/2006/relationships/image" Target="media/image17.jpeg"/><Relationship Id="rId41" Type="http://schemas.openxmlformats.org/officeDocument/2006/relationships/image" Target="media/image18.jpeg"/><Relationship Id="rId42" Type="http://schemas.openxmlformats.org/officeDocument/2006/relationships/image" Target="media/image19.jpeg"/><Relationship Id="rId43" Type="http://schemas.openxmlformats.org/officeDocument/2006/relationships/image" Target="media/image20.jpeg"/><Relationship Id="rId44" Type="http://schemas.openxmlformats.org/officeDocument/2006/relationships/image" Target="media/image21.jpeg"/><Relationship Id="rId45" Type="http://schemas.openxmlformats.org/officeDocument/2006/relationships/image" Target="media/image22.jpeg"/><Relationship Id="rId46" Type="http://schemas.openxmlformats.org/officeDocument/2006/relationships/image" Target="media/image23.jpeg"/><Relationship Id="rId47" Type="http://schemas.openxmlformats.org/officeDocument/2006/relationships/image" Target="media/image24.jpeg"/><Relationship Id="rId48" Type="http://schemas.openxmlformats.org/officeDocument/2006/relationships/image" Target="media/image25.jpeg"/><Relationship Id="rId49" Type="http://schemas.openxmlformats.org/officeDocument/2006/relationships/image" Target="media/image26.jpeg"/><Relationship Id="rId50" Type="http://schemas.openxmlformats.org/officeDocument/2006/relationships/image" Target="media/image27.jpeg"/><Relationship Id="rId51" Type="http://schemas.openxmlformats.org/officeDocument/2006/relationships/image" Target="media/image28.jpeg"/><Relationship Id="rId52" Type="http://schemas.openxmlformats.org/officeDocument/2006/relationships/image" Target="media/image29.jpeg"/><Relationship Id="rId53" Type="http://schemas.openxmlformats.org/officeDocument/2006/relationships/image" Target="media/image30.jpeg"/><Relationship Id="rId54" Type="http://schemas.openxmlformats.org/officeDocument/2006/relationships/image" Target="media/image29.jpeg"/><Relationship Id="rId55" Type="http://schemas.openxmlformats.org/officeDocument/2006/relationships/image" Target="media/image30.jpe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29.jpeg"/><Relationship Id="rId59" Type="http://schemas.openxmlformats.org/officeDocument/2006/relationships/image" Target="media/image30.jpeg"/><Relationship Id="rId60" Type="http://schemas.openxmlformats.org/officeDocument/2006/relationships/image" Target="media/image29.jpeg"/><Relationship Id="rId61" Type="http://schemas.openxmlformats.org/officeDocument/2006/relationships/image" Target="media/image30.jpeg"/><Relationship Id="rId62" Type="http://schemas.openxmlformats.org/officeDocument/2006/relationships/image" Target="media/image31.jpeg"/><Relationship Id="rId63" Type="http://schemas.openxmlformats.org/officeDocument/2006/relationships/image" Target="media/image32.jpeg"/><Relationship Id="rId64" Type="http://schemas.openxmlformats.org/officeDocument/2006/relationships/image" Target="media/image32.jpeg"/><Relationship Id="rId65" Type="http://schemas.openxmlformats.org/officeDocument/2006/relationships/image" Target="media/image33.jpeg"/><Relationship Id="rId66" Type="http://schemas.openxmlformats.org/officeDocument/2006/relationships/image" Target="media/image33.jpeg"/><Relationship Id="rId67" Type="http://schemas.openxmlformats.org/officeDocument/2006/relationships/image" Target="media/image34.jpeg"/><Relationship Id="rId68" Type="http://schemas.openxmlformats.org/officeDocument/2006/relationships/image" Target="media/image34.jpeg"/><Relationship Id="rId69" Type="http://schemas.openxmlformats.org/officeDocument/2006/relationships/image" Target="media/image35.jpeg"/><Relationship Id="rId70" Type="http://schemas.openxmlformats.org/officeDocument/2006/relationships/image" Target="media/image35.jpeg"/><Relationship Id="rId71" Type="http://schemas.openxmlformats.org/officeDocument/2006/relationships/image" Target="media/image36.jpeg"/><Relationship Id="rId72" Type="http://schemas.openxmlformats.org/officeDocument/2006/relationships/image" Target="media/image37.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64058</Words>
  <Characters>342054</Characters>
  <CharactersWithSpaces>412334</CharactersWithSpaces>
  <Paragraphs>8791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